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314960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92710</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0" w:right="1300" w:hanging="437"/>
        <w:spacing w:after="0" w:line="243" w:lineRule="auto"/>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40" w:right="1300" w:hanging="437"/>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-310515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57" w:lineRule="exact"/>
        <w:rPr>
          <w:sz w:val="24"/>
          <w:szCs w:val="24"/>
          <w:color w:val="auto"/>
        </w:rPr>
      </w:pPr>
    </w:p>
    <w:p>
      <w:pPr>
        <w:ind w:left="3280"/>
        <w:spacing w:after="0"/>
        <w:tabs>
          <w:tab w:leader="none" w:pos="6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3587115</wp:posOffset>
            </wp:positionH>
            <wp:positionV relativeFrom="paragraph">
              <wp:posOffset>-7620</wp:posOffset>
            </wp:positionV>
            <wp:extent cx="837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88900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73025</wp:posOffset>
            </wp:positionV>
            <wp:extent cx="162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20"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4180" w:type="dxa"/>
            <w:vAlign w:val="bottom"/>
          </w:tcPr>
          <w:p>
            <w:pPr>
              <w:jc w:val="center"/>
              <w:ind w:right="155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tcPr>
          <w:p>
            <w:pPr>
              <w:jc w:val="center"/>
              <w:ind w:left="1530"/>
              <w:spacing w:after="0"/>
              <w:rPr>
                <w:sz w:val="20"/>
                <w:szCs w:val="20"/>
                <w:color w:val="auto"/>
              </w:rPr>
            </w:pPr>
            <w:r>
              <w:rPr>
                <w:rFonts w:ascii="Arial" w:cs="Arial" w:eastAsia="Arial" w:hAnsi="Arial"/>
                <w:sz w:val="18"/>
                <w:szCs w:val="18"/>
                <w:b w:val="1"/>
                <w:bCs w:val="1"/>
                <w:color w:val="auto"/>
                <w:w w:val="91"/>
              </w:rPr>
              <w:t>26-2640654</w:t>
            </w:r>
          </w:p>
        </w:tc>
      </w:tr>
      <w:tr>
        <w:trPr>
          <w:trHeight w:val="216"/>
        </w:trPr>
        <w:tc>
          <w:tcPr>
            <w:tcW w:w="418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(State or other jurisdiction</w:t>
            </w:r>
          </w:p>
        </w:tc>
        <w:tc>
          <w:tcPr>
            <w:tcW w:w="3020" w:type="dxa"/>
            <w:vAlign w:val="bottom"/>
          </w:tcPr>
          <w:p>
            <w:pPr>
              <w:jc w:val="center"/>
              <w:ind w:left="15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of incorporation or organization)</w:t>
            </w:r>
          </w:p>
        </w:tc>
        <w:tc>
          <w:tcPr>
            <w:tcW w:w="3020" w:type="dxa"/>
            <w:vAlign w:val="bottom"/>
          </w:tcPr>
          <w:p>
            <w:pPr>
              <w:jc w:val="center"/>
              <w:ind w:left="153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85725</wp:posOffset>
            </wp:positionV>
            <wp:extent cx="162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4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Title of each class</w:t>
            </w:r>
          </w:p>
        </w:tc>
        <w:tc>
          <w:tcPr>
            <w:tcW w:w="34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Trading Symbol(s)</w:t>
            </w:r>
          </w:p>
        </w:tc>
        <w:tc>
          <w:tcPr>
            <w:tcW w:w="34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420" w:type="dxa"/>
            <w:vAlign w:val="bottom"/>
            <w:tcBorders>
              <w:left w:val="single" w:sz="8" w:color="auto"/>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registered</w:t>
            </w:r>
          </w:p>
        </w:tc>
      </w:tr>
      <w:tr>
        <w:trPr>
          <w:trHeight w:val="210"/>
        </w:trPr>
        <w:tc>
          <w:tcPr>
            <w:tcW w:w="34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Common Stock, par value $0.0001</w:t>
            </w:r>
          </w:p>
        </w:tc>
        <w:tc>
          <w:tcPr>
            <w:tcW w:w="34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MRAM</w:t>
            </w:r>
          </w:p>
        </w:tc>
        <w:tc>
          <w:tcPr>
            <w:tcW w:w="34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Nasdaq Stock Market</w:t>
            </w:r>
          </w:p>
        </w:tc>
      </w:tr>
    </w:tbl>
    <w:p>
      <w:pPr>
        <w:spacing w:after="0" w:line="107"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line="185" w:lineRule="exact"/>
              <w:rPr>
                <w:sz w:val="20"/>
                <w:szCs w:val="20"/>
                <w:color w:val="auto"/>
              </w:rPr>
            </w:pPr>
            <w:r>
              <w:rPr>
                <w:rFonts w:ascii="Arial" w:cs="Arial" w:eastAsia="Arial" w:hAnsi="Arial"/>
                <w:sz w:val="18"/>
                <w:szCs w:val="18"/>
                <w:color w:val="auto"/>
                <w:w w:val="94"/>
              </w:rPr>
              <w:t>Large 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60"/>
              <w:spacing w:after="0" w:line="185" w:lineRule="exact"/>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60"/>
              <w:spacing w:after="0"/>
              <w:rPr>
                <w:sz w:val="20"/>
                <w:szCs w:val="20"/>
                <w:color w:val="auto"/>
              </w:rPr>
            </w:pPr>
            <w:r>
              <w:rPr>
                <w:rFonts w:ascii="Arial" w:cs="Arial" w:eastAsia="Arial" w:hAnsi="Arial"/>
                <w:sz w:val="18"/>
                <w:szCs w:val="18"/>
                <w:color w:val="auto"/>
              </w:rPr>
              <w:t>Small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0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6"/>
        </w:trPr>
        <w:tc>
          <w:tcPr>
            <w:tcW w:w="9480" w:type="dxa"/>
            <w:vAlign w:val="bottom"/>
            <w:gridSpan w:val="3"/>
          </w:tcPr>
          <w:p>
            <w:pPr>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w w:val="97"/>
              </w:rPr>
              <w:t>complying with any new or revised financial accounting standards provided pursuant to Section 13(a) of the Exchange Act.</w:t>
            </w:r>
          </w:p>
        </w:tc>
        <w:tc>
          <w:tcPr>
            <w:tcW w:w="760" w:type="dxa"/>
            <w:vAlign w:val="bottom"/>
          </w:tcPr>
          <w:p>
            <w:pPr>
              <w:spacing w:after="0"/>
              <w:rPr>
                <w:sz w:val="20"/>
                <w:szCs w:val="20"/>
                <w:color w:val="auto"/>
              </w:rPr>
            </w:pPr>
          </w:p>
        </w:tc>
      </w:tr>
      <w:tr>
        <w:trPr>
          <w:trHeight w:val="452"/>
        </w:trPr>
        <w:tc>
          <w:tcPr>
            <w:tcW w:w="948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7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Registrant’s Common Stock outstanding as of May 1, 2020 was 18,664,804.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6497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589280</wp:posOffset>
            </wp:positionV>
            <wp:extent cx="6497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60"/>
          </w:cols>
          <w:pgMar w:left="820" w:top="233" w:right="819" w:bottom="1440" w:gutter="0" w:footer="0" w:header="0"/>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700" w:type="dxa"/>
            <w:vAlign w:val="bottom"/>
            <w:gridSpan w:val="5"/>
            <w:vMerge w:val="restart"/>
          </w:tcPr>
          <w:p>
            <w:pPr>
              <w:jc w:val="center"/>
              <w:ind w:right="17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00" w:type="dxa"/>
            <w:vAlign w:val="bottom"/>
            <w:gridSpan w:val="5"/>
            <w:vMerge w:val="continue"/>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18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of March 31, 2020 (unaudited) and December 31,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180" w:type="dxa"/>
            <w:vAlign w:val="bottom"/>
            <w:gridSpan w:val="9"/>
          </w:tcPr>
          <w:p>
            <w:pPr>
              <w:spacing w:after="0" w:line="190"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Statements of Operations and Comprehensive Loss for the three months ended March</w:t>
              </w:r>
            </w:hyperlink>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31, 2020 and 2019 (unaudited)</w:t>
              </w:r>
            </w:hyperlink>
          </w:p>
        </w:tc>
        <w:tc>
          <w:tcPr>
            <w:tcW w:w="1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Stockholders’ Equity for the three months ended March 31, 2020 and</w:t>
              </w:r>
            </w:hyperlink>
          </w:p>
        </w:tc>
        <w:tc>
          <w:tcPr>
            <w:tcW w:w="3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(unaudited)</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Statements of Cash Flows for the three months ended March 31, 2020 and 2019</w:t>
              </w:r>
            </w:hyperlink>
          </w:p>
        </w:tc>
        <w:tc>
          <w:tcPr>
            <w:tcW w:w="58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610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9"/>
        </w:trPr>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180" w:type="dxa"/>
            <w:vAlign w:val="bottom"/>
            <w:gridSpan w:val="9"/>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2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2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3.</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4.</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5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00" w:type="dxa"/>
            <w:vAlign w:val="bottom"/>
            <w:gridSpan w:val="5"/>
          </w:tcPr>
          <w:p>
            <w:pPr>
              <w:jc w:val="center"/>
              <w:ind w:right="1800"/>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PART II—OTHER INFORMATION</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1.</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20" w:type="dxa"/>
            <w:vAlign w:val="bottom"/>
          </w:tcPr>
          <w:p>
            <w:pPr>
              <w:spacing w:after="0"/>
              <w:rPr>
                <w:rFonts w:ascii="Arial" w:cs="Arial" w:eastAsia="Arial" w:hAnsi="Arial"/>
                <w:sz w:val="18"/>
                <w:szCs w:val="18"/>
                <w:color w:val="0000EE"/>
              </w:rPr>
            </w:pPr>
            <w:hyperlink w:anchor="page23">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2.</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3.</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Defaults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4.</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5.</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6.</w:t>
              </w:r>
            </w:hyperlink>
          </w:p>
        </w:tc>
        <w:tc>
          <w:tcPr>
            <w:tcW w:w="7640" w:type="dxa"/>
            <w:vAlign w:val="bottom"/>
            <w:gridSpan w:val="10"/>
          </w:tcPr>
          <w:p>
            <w:pPr>
              <w:ind w:left="1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8460" w:type="dxa"/>
            <w:vAlign w:val="bottom"/>
            <w:gridSpan w:val="11"/>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 INDEX</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8460" w:type="dxa"/>
            <w:vAlign w:val="bottom"/>
            <w:gridSpan w:val="11"/>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5,799</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0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17"/>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63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r>
      <w:tr>
        <w:trPr>
          <w:trHeight w:val="21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6320" w:type="dxa"/>
            <w:vAlign w:val="bottom"/>
          </w:tcPr>
          <w:p>
            <w:pPr>
              <w:ind w:left="12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issued and outstanding as of March 31, 2020 and December 31, 2019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18,638,555 and 18,081,753 shares issued and outstanding as of March 31, 2020 and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170,353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167,149</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(150,394)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(148,662)</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19,961</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18,489</w:t>
            </w:r>
          </w:p>
        </w:tc>
      </w:tr>
      <w:tr>
        <w:trPr>
          <w:trHeight w:val="217"/>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1500" w:right="2040"/>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8"/>
                <w:szCs w:val="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960" w:type="dxa"/>
            <w:vAlign w:val="bottom"/>
          </w:tcPr>
          <w:p>
            <w:pPr>
              <w:spacing w:after="0" w:line="176" w:lineRule="exact"/>
              <w:rPr>
                <w:sz w:val="20"/>
                <w:szCs w:val="20"/>
                <w:color w:val="auto"/>
              </w:rPr>
            </w:pPr>
            <w:r>
              <w:rPr>
                <w:rFonts w:ascii="Arial" w:cs="Arial" w:eastAsia="Arial" w:hAnsi="Arial"/>
                <w:sz w:val="18"/>
                <w:szCs w:val="18"/>
                <w:color w:val="auto"/>
                <w:w w:val="90"/>
              </w:rPr>
              <w:t>Weighted-average shares used to compute net loss per common share, basic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18,055,693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17,097,999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6"/>
                <w:szCs w:val="16"/>
                <w:color w:val="auto"/>
              </w:rPr>
              <w:t>Operating expenses include stock-based compensation as follows: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tcPr>
          <w:p>
            <w:pPr>
              <w:ind w:left="220"/>
              <w:spacing w:after="0"/>
              <w:rPr>
                <w:sz w:val="20"/>
                <w:szCs w:val="20"/>
                <w:color w:val="auto"/>
              </w:rPr>
            </w:pPr>
            <w:r>
              <w:rPr>
                <w:rFonts w:ascii="Arial" w:cs="Arial" w:eastAsia="Arial" w:hAnsi="Arial"/>
                <w:sz w:val="16"/>
                <w:szCs w:val="16"/>
                <w:color w:val="auto"/>
              </w:rPr>
              <w:t>Total stock-based compensation</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Three Months Ended March 31, 2020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98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69"/>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49"/>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0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9"/>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18,081,753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167,149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(148,662)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in at-the-market</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220"/>
              <w:spacing w:after="0"/>
              <w:rPr>
                <w:sz w:val="20"/>
                <w:szCs w:val="20"/>
                <w:color w:val="auto"/>
              </w:rPr>
            </w:pPr>
            <w:r>
              <w:rPr>
                <w:rFonts w:ascii="Arial" w:cs="Arial" w:eastAsia="Arial" w:hAnsi="Arial"/>
                <w:sz w:val="14"/>
                <w:szCs w:val="14"/>
                <w:color w:val="auto"/>
              </w:rPr>
              <w:t>offering, net of issuance costs (Note 7)</w:t>
            </w:r>
          </w:p>
        </w:tc>
        <w:tc>
          <w:tcPr>
            <w:tcW w:w="1040" w:type="dxa"/>
            <w:vAlign w:val="bottom"/>
          </w:tcPr>
          <w:p>
            <w:pPr>
              <w:jc w:val="right"/>
              <w:spacing w:after="0"/>
              <w:rPr>
                <w:sz w:val="20"/>
                <w:szCs w:val="20"/>
                <w:color w:val="auto"/>
              </w:rPr>
            </w:pPr>
            <w:r>
              <w:rPr>
                <w:rFonts w:ascii="Arial" w:cs="Arial" w:eastAsia="Arial" w:hAnsi="Arial"/>
                <w:sz w:val="14"/>
                <w:szCs w:val="14"/>
                <w:color w:val="auto"/>
              </w:rPr>
              <w:t>468,427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2,084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incentive plans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88,375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line="142" w:lineRule="exact"/>
              <w:rPr>
                <w:sz w:val="20"/>
                <w:szCs w:val="20"/>
                <w:color w:val="auto"/>
              </w:rPr>
            </w:pPr>
            <w:r>
              <w:rPr>
                <w:rFonts w:ascii="Arial" w:cs="Arial" w:eastAsia="Arial" w:hAnsi="Arial"/>
                <w:sz w:val="14"/>
                <w:szCs w:val="14"/>
                <w:color w:val="auto"/>
              </w:rPr>
              <w:t>Balance at March 31, 2020</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18,638,555</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170,353</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(150,394)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9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Three Months Ended March 31, 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98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89"/>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49"/>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89"/>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0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9"/>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2018</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17,095,456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158,912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(133,993)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40" w:type="dxa"/>
            <w:vAlign w:val="bottom"/>
          </w:tcPr>
          <w:p>
            <w:pPr>
              <w:jc w:val="right"/>
              <w:spacing w:after="0"/>
              <w:rPr>
                <w:sz w:val="20"/>
                <w:szCs w:val="20"/>
                <w:color w:val="auto"/>
              </w:rPr>
            </w:pPr>
            <w:r>
              <w:rPr>
                <w:rFonts w:ascii="Arial" w:cs="Arial" w:eastAsia="Arial" w:hAnsi="Arial"/>
                <w:sz w:val="14"/>
                <w:szCs w:val="14"/>
                <w:color w:val="auto"/>
              </w:rPr>
              <w:t>12,607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2019</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17,108,063</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159,629</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(138,249)</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5"/>
        </w:trPr>
        <w:tc>
          <w:tcPr>
            <w:tcW w:w="53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1180" w:type="dxa"/>
            <w:vAlign w:val="bottom"/>
            <w:gridSpan w:val="2"/>
          </w:tcPr>
          <w:p>
            <w:pPr>
              <w:jc w:val="right"/>
              <w:ind w:right="745"/>
              <w:spacing w:after="0" w:line="162"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(1,732)</w:t>
            </w:r>
          </w:p>
        </w:tc>
        <w:tc>
          <w:tcPr>
            <w:tcW w:w="1000" w:type="dxa"/>
            <w:vAlign w:val="bottom"/>
            <w:gridSpan w:val="2"/>
          </w:tcPr>
          <w:p>
            <w:pPr>
              <w:jc w:val="right"/>
              <w:ind w:right="744"/>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(4,256)</w:t>
            </w: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409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393</w:t>
            </w:r>
          </w:p>
        </w:tc>
        <w:tc>
          <w:tcPr>
            <w:tcW w:w="220" w:type="dxa"/>
            <w:vAlign w:val="bottom"/>
          </w:tcPr>
          <w:p>
            <w:pPr>
              <w:spacing w:after="0"/>
              <w:rPr>
                <w:sz w:val="14"/>
                <w:szCs w:val="14"/>
                <w:color w:val="auto"/>
              </w:rPr>
            </w:pP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w:t>
            </w:r>
          </w:p>
        </w:tc>
        <w:tc>
          <w:tcPr>
            <w:tcW w:w="220" w:type="dxa"/>
            <w:vAlign w:val="bottom"/>
            <w:shd w:val="clear" w:color="auto" w:fill="CCEEFF"/>
          </w:tcPr>
          <w:p>
            <w:pPr>
              <w:spacing w:after="0"/>
              <w:rPr>
                <w:sz w:val="14"/>
                <w:szCs w:val="14"/>
                <w:color w:val="auto"/>
              </w:rPr>
            </w:pP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805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704</w:t>
            </w:r>
          </w:p>
        </w:tc>
        <w:tc>
          <w:tcPr>
            <w:tcW w:w="220" w:type="dxa"/>
            <w:vAlign w:val="bottom"/>
          </w:tcPr>
          <w:p>
            <w:pPr>
              <w:spacing w:after="0"/>
              <w:rPr>
                <w:sz w:val="14"/>
                <w:szCs w:val="14"/>
                <w:color w:val="auto"/>
              </w:rPr>
            </w:pP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gain on warrant revaluation</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81</w:t>
            </w:r>
          </w:p>
        </w:tc>
        <w:tc>
          <w:tcPr>
            <w:tcW w:w="220" w:type="dxa"/>
            <w:vAlign w:val="bottom"/>
          </w:tcPr>
          <w:p>
            <w:pPr>
              <w:spacing w:after="0"/>
              <w:rPr>
                <w:sz w:val="14"/>
                <w:szCs w:val="14"/>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(521)</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1,540</w:t>
            </w:r>
          </w:p>
        </w:tc>
        <w:tc>
          <w:tcPr>
            <w:tcW w:w="220" w:type="dxa"/>
            <w:vAlign w:val="bottom"/>
          </w:tcPr>
          <w:p>
            <w:pPr>
              <w:spacing w:after="0"/>
              <w:rPr>
                <w:sz w:val="14"/>
                <w:szCs w:val="14"/>
                <w:color w:val="auto"/>
              </w:rPr>
            </w:pP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Inventory</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(562)</w:t>
            </w: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93</w:t>
            </w:r>
          </w:p>
        </w:tc>
        <w:tc>
          <w:tcPr>
            <w:tcW w:w="220" w:type="dxa"/>
            <w:vAlign w:val="bottom"/>
          </w:tcPr>
          <w:p>
            <w:pPr>
              <w:spacing w:after="0"/>
              <w:rPr>
                <w:sz w:val="14"/>
                <w:szCs w:val="14"/>
                <w:color w:val="auto"/>
              </w:rPr>
            </w:pP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(1,067)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(955)</w:t>
            </w:r>
          </w:p>
        </w:tc>
      </w:tr>
      <w:tr>
        <w:trPr>
          <w:trHeight w:val="162"/>
        </w:trPr>
        <w:tc>
          <w:tcPr>
            <w:tcW w:w="5360" w:type="dxa"/>
            <w:vAlign w:val="bottom"/>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(435)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(187)</w:t>
            </w:r>
          </w:p>
        </w:tc>
      </w:tr>
      <w:tr>
        <w:trPr>
          <w:trHeight w:val="162"/>
        </w:trPr>
        <w:tc>
          <w:tcPr>
            <w:tcW w:w="53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Lease liabilities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(20)</w:t>
            </w:r>
          </w:p>
        </w:tc>
      </w:tr>
      <w:tr>
        <w:trPr>
          <w:trHeight w:val="155"/>
        </w:trPr>
        <w:tc>
          <w:tcPr>
            <w:tcW w:w="536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operating activities</w:t>
            </w:r>
          </w:p>
        </w:tc>
        <w:tc>
          <w:tcPr>
            <w:tcW w:w="2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(2,555)</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(3,149)</w:t>
            </w:r>
          </w:p>
        </w:tc>
        <w:tc>
          <w:tcPr>
            <w:tcW w:w="220" w:type="dxa"/>
            <w:vAlign w:val="bottom"/>
            <w:tcBorders>
              <w:bottom w:val="single" w:sz="8" w:color="CCEEFF"/>
            </w:tcBorders>
          </w:tcPr>
          <w:p>
            <w:pPr>
              <w:spacing w:after="0"/>
              <w:rPr>
                <w:sz w:val="13"/>
                <w:szCs w:val="13"/>
                <w:color w:val="auto"/>
              </w:rPr>
            </w:pPr>
          </w:p>
        </w:tc>
      </w:tr>
      <w:tr>
        <w:trPr>
          <w:trHeight w:val="156"/>
        </w:trPr>
        <w:tc>
          <w:tcPr>
            <w:tcW w:w="53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(64)</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(225)</w:t>
            </w:r>
          </w:p>
        </w:tc>
      </w:tr>
      <w:tr>
        <w:trPr>
          <w:trHeight w:val="156"/>
        </w:trPr>
        <w:tc>
          <w:tcPr>
            <w:tcW w:w="536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2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(225)</w:t>
            </w:r>
          </w:p>
        </w:tc>
        <w:tc>
          <w:tcPr>
            <w:tcW w:w="220" w:type="dxa"/>
            <w:vAlign w:val="bottom"/>
            <w:tcBorders>
              <w:top w:val="single" w:sz="8" w:color="CCEEFF"/>
            </w:tcBorders>
            <w:shd w:val="clear" w:color="auto" w:fill="CCEEFF"/>
          </w:tcPr>
          <w:p>
            <w:pPr>
              <w:spacing w:after="0"/>
              <w:rPr>
                <w:sz w:val="13"/>
                <w:szCs w:val="13"/>
                <w:color w:val="auto"/>
              </w:rPr>
            </w:pPr>
          </w:p>
        </w:tc>
      </w:tr>
      <w:tr>
        <w:trPr>
          <w:trHeight w:val="156"/>
        </w:trPr>
        <w:tc>
          <w:tcPr>
            <w:tcW w:w="536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debt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(1,500)</w:t>
            </w:r>
          </w:p>
        </w:tc>
      </w:tr>
      <w:tr>
        <w:trPr>
          <w:trHeight w:val="162"/>
        </w:trPr>
        <w:tc>
          <w:tcPr>
            <w:tcW w:w="5360" w:type="dxa"/>
            <w:vAlign w:val="bottom"/>
          </w:tcPr>
          <w:p>
            <w:pPr>
              <w:spacing w:after="0" w:line="162" w:lineRule="exact"/>
              <w:rPr>
                <w:sz w:val="20"/>
                <w:szCs w:val="20"/>
                <w:color w:val="auto"/>
              </w:rPr>
            </w:pPr>
            <w:r>
              <w:rPr>
                <w:rFonts w:ascii="Arial" w:cs="Arial" w:eastAsia="Arial" w:hAnsi="Arial"/>
                <w:sz w:val="15"/>
                <w:szCs w:val="15"/>
                <w:color w:val="auto"/>
              </w:rPr>
              <w:t>Payments on finance lease obligation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w:t>
            </w:r>
          </w:p>
        </w:tc>
      </w:tr>
      <w:tr>
        <w:trPr>
          <w:trHeight w:val="149"/>
        </w:trPr>
        <w:tc>
          <w:tcPr>
            <w:tcW w:w="53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6"/>
              </w:rPr>
              <w:t>Proceeds from exercise of stock options and purchase of shares in employee stock</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75"/>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purchase plan</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20" w:type="dxa"/>
            <w:vAlign w:val="bottom"/>
            <w:shd w:val="clear" w:color="auto" w:fill="CCEEFF"/>
          </w:tcPr>
          <w:p>
            <w:pPr>
              <w:spacing w:after="0"/>
              <w:rPr>
                <w:sz w:val="15"/>
                <w:szCs w:val="15"/>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5"/>
                <w:szCs w:val="15"/>
                <w:color w:val="auto"/>
                <w:w w:val="96"/>
              </w:rPr>
              <w:t>Proceeds from issuance of common stock in at-the-market offering, net of issuance</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5"/>
        </w:trPr>
        <w:tc>
          <w:tcPr>
            <w:tcW w:w="5360" w:type="dxa"/>
            <w:vAlign w:val="bottom"/>
          </w:tcPr>
          <w:p>
            <w:pPr>
              <w:spacing w:after="0"/>
              <w:rPr>
                <w:sz w:val="20"/>
                <w:szCs w:val="20"/>
                <w:color w:val="auto"/>
              </w:rPr>
            </w:pPr>
            <w:r>
              <w:rPr>
                <w:rFonts w:ascii="Arial" w:cs="Arial" w:eastAsia="Arial" w:hAnsi="Arial"/>
                <w:sz w:val="15"/>
                <w:szCs w:val="15"/>
                <w:color w:val="auto"/>
              </w:rPr>
              <w:t>costs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2,084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r>
      <w:tr>
        <w:trPr>
          <w:trHeight w:val="155"/>
        </w:trPr>
        <w:tc>
          <w:tcPr>
            <w:tcW w:w="536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provided by (used in) financing activities</w:t>
            </w:r>
          </w:p>
        </w:tc>
        <w:tc>
          <w:tcPr>
            <w:tcW w:w="2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2,082</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(1,490)</w:t>
            </w:r>
          </w:p>
        </w:tc>
        <w:tc>
          <w:tcPr>
            <w:tcW w:w="220" w:type="dxa"/>
            <w:vAlign w:val="bottom"/>
            <w:tcBorders>
              <w:top w:val="single" w:sz="8" w:color="CCEEFF"/>
            </w:tcBorders>
            <w:shd w:val="clear" w:color="auto" w:fill="CCEEFF"/>
          </w:tcPr>
          <w:p>
            <w:pPr>
              <w:spacing w:after="0"/>
              <w:rPr>
                <w:sz w:val="13"/>
                <w:szCs w:val="13"/>
                <w:color w:val="auto"/>
              </w:rPr>
            </w:pPr>
          </w:p>
        </w:tc>
      </w:tr>
      <w:tr>
        <w:trPr>
          <w:trHeight w:val="155"/>
        </w:trPr>
        <w:tc>
          <w:tcPr>
            <w:tcW w:w="5360" w:type="dxa"/>
            <w:vAlign w:val="bottom"/>
          </w:tcPr>
          <w:p>
            <w:pPr>
              <w:spacing w:after="0" w:line="156" w:lineRule="exact"/>
              <w:rPr>
                <w:sz w:val="20"/>
                <w:szCs w:val="20"/>
                <w:color w:val="auto"/>
              </w:rPr>
            </w:pPr>
            <w:r>
              <w:rPr>
                <w:rFonts w:ascii="Arial" w:cs="Arial" w:eastAsia="Arial" w:hAnsi="Arial"/>
                <w:sz w:val="15"/>
                <w:szCs w:val="15"/>
                <w:color w:val="auto"/>
              </w:rPr>
              <w:t>Net decrease in cash and cash equivalents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(537)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(4,864)</w:t>
            </w:r>
          </w:p>
        </w:tc>
        <w:tc>
          <w:tcPr>
            <w:tcW w:w="220" w:type="dxa"/>
            <w:vAlign w:val="bottom"/>
          </w:tcPr>
          <w:p>
            <w:pPr>
              <w:spacing w:after="0"/>
              <w:rPr>
                <w:sz w:val="13"/>
                <w:szCs w:val="13"/>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2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14,487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23,379</w:t>
            </w:r>
          </w:p>
        </w:tc>
        <w:tc>
          <w:tcPr>
            <w:tcW w:w="220" w:type="dxa"/>
            <w:vAlign w:val="bottom"/>
            <w:shd w:val="clear" w:color="auto" w:fill="CCEEFF"/>
          </w:tcPr>
          <w:p>
            <w:pPr>
              <w:spacing w:after="0"/>
              <w:rPr>
                <w:sz w:val="14"/>
                <w:szCs w:val="14"/>
                <w:color w:val="auto"/>
              </w:rPr>
            </w:pPr>
          </w:p>
        </w:tc>
      </w:tr>
      <w:tr>
        <w:trPr>
          <w:trHeight w:val="163"/>
        </w:trPr>
        <w:tc>
          <w:tcPr>
            <w:tcW w:w="536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745"/>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13,950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744"/>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18,515</w:t>
            </w:r>
          </w:p>
        </w:tc>
        <w:tc>
          <w:tcPr>
            <w:tcW w:w="220" w:type="dxa"/>
            <w:vAlign w:val="bottom"/>
            <w:tcBorders>
              <w:bottom w:val="single" w:sz="8" w:color="CCEEFF"/>
            </w:tcBorders>
          </w:tcPr>
          <w:p>
            <w:pPr>
              <w:spacing w:after="0"/>
              <w:rPr>
                <w:sz w:val="14"/>
                <w:szCs w:val="14"/>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Supplementary cash flow information:</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9"/>
        </w:trPr>
        <w:tc>
          <w:tcPr>
            <w:tcW w:w="5360" w:type="dxa"/>
            <w:vAlign w:val="bottom"/>
          </w:tcPr>
          <w:p>
            <w:pPr>
              <w:spacing w:after="0" w:line="162" w:lineRule="exact"/>
              <w:rPr>
                <w:sz w:val="20"/>
                <w:szCs w:val="20"/>
                <w:color w:val="auto"/>
              </w:rPr>
            </w:pPr>
            <w:r>
              <w:rPr>
                <w:rFonts w:ascii="Arial" w:cs="Arial" w:eastAsia="Arial" w:hAnsi="Arial"/>
                <w:sz w:val="15"/>
                <w:szCs w:val="15"/>
                <w:color w:val="auto"/>
              </w:rPr>
              <w:t>Interest paid</w:t>
            </w:r>
          </w:p>
        </w:tc>
        <w:tc>
          <w:tcPr>
            <w:tcW w:w="1180" w:type="dxa"/>
            <w:vAlign w:val="bottom"/>
            <w:gridSpan w:val="2"/>
          </w:tcPr>
          <w:p>
            <w:pPr>
              <w:jc w:val="right"/>
              <w:ind w:right="745"/>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99</w:t>
            </w:r>
          </w:p>
        </w:tc>
        <w:tc>
          <w:tcPr>
            <w:tcW w:w="120" w:type="dxa"/>
            <w:vAlign w:val="bottom"/>
          </w:tcPr>
          <w:p>
            <w:pPr>
              <w:spacing w:after="0"/>
              <w:rPr>
                <w:sz w:val="14"/>
                <w:szCs w:val="14"/>
                <w:color w:val="auto"/>
              </w:rPr>
            </w:pPr>
          </w:p>
        </w:tc>
        <w:tc>
          <w:tcPr>
            <w:tcW w:w="1000" w:type="dxa"/>
            <w:vAlign w:val="bottom"/>
            <w:gridSpan w:val="2"/>
          </w:tcPr>
          <w:p>
            <w:pPr>
              <w:jc w:val="right"/>
              <w:ind w:right="744"/>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135</w:t>
            </w:r>
          </w:p>
        </w:tc>
        <w:tc>
          <w:tcPr>
            <w:tcW w:w="220" w:type="dxa"/>
            <w:vAlign w:val="bottom"/>
          </w:tcPr>
          <w:p>
            <w:pPr>
              <w:spacing w:after="0"/>
              <w:rPr>
                <w:sz w:val="14"/>
                <w:szCs w:val="14"/>
                <w:color w:val="auto"/>
              </w:rPr>
            </w:pPr>
          </w:p>
        </w:tc>
      </w:tr>
      <w:tr>
        <w:trPr>
          <w:trHeight w:val="182"/>
        </w:trPr>
        <w:tc>
          <w:tcPr>
            <w:tcW w:w="5360" w:type="dxa"/>
            <w:vAlign w:val="bottom"/>
            <w:tcBorders>
              <w:top w:val="single" w:sz="8" w:color="CCEEFF"/>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Operating cash flows paid for operating leases</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745"/>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486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744"/>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416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56"/>
        </w:trPr>
        <w:tc>
          <w:tcPr>
            <w:tcW w:w="5360" w:type="dxa"/>
            <w:vAlign w:val="bottom"/>
            <w:tcBorders>
              <w:bottom w:val="single" w:sz="8" w:color="CCEEFF"/>
            </w:tcBorders>
          </w:tcPr>
          <w:p>
            <w:pPr>
              <w:spacing w:after="0" w:line="149" w:lineRule="exact"/>
              <w:rPr>
                <w:sz w:val="20"/>
                <w:szCs w:val="20"/>
                <w:color w:val="auto"/>
              </w:rPr>
            </w:pPr>
            <w:r>
              <w:rPr>
                <w:rFonts w:ascii="Arial" w:cs="Arial" w:eastAsia="Arial" w:hAnsi="Arial"/>
                <w:sz w:val="15"/>
                <w:szCs w:val="15"/>
                <w:color w:val="auto"/>
              </w:rPr>
              <w:t>Financing cash flows paid for finance leases</w:t>
            </w:r>
          </w:p>
        </w:tc>
        <w:tc>
          <w:tcPr>
            <w:tcW w:w="2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745"/>
              <w:spacing w:after="0" w:line="14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744"/>
              <w:spacing w:after="0" w:line="14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3</w:t>
            </w:r>
          </w:p>
        </w:tc>
        <w:tc>
          <w:tcPr>
            <w:tcW w:w="220" w:type="dxa"/>
            <w:vAlign w:val="bottom"/>
            <w:tcBorders>
              <w:bottom w:val="single" w:sz="8" w:color="CCEEFF"/>
            </w:tcBorders>
          </w:tcPr>
          <w:p>
            <w:pPr>
              <w:spacing w:after="0"/>
              <w:rPr>
                <w:sz w:val="13"/>
                <w:szCs w:val="13"/>
                <w:color w:val="auto"/>
              </w:rPr>
            </w:pPr>
          </w:p>
        </w:tc>
      </w:tr>
      <w:tr>
        <w:trPr>
          <w:trHeight w:val="162"/>
        </w:trPr>
        <w:tc>
          <w:tcPr>
            <w:tcW w:w="53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Non-cash investing and financing activities: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9"/>
        </w:trPr>
        <w:tc>
          <w:tcPr>
            <w:tcW w:w="5360" w:type="dxa"/>
            <w:vAlign w:val="bottom"/>
          </w:tcPr>
          <w:p>
            <w:pPr>
              <w:spacing w:after="0" w:line="162" w:lineRule="exact"/>
              <w:rPr>
                <w:sz w:val="20"/>
                <w:szCs w:val="20"/>
                <w:color w:val="auto"/>
              </w:rPr>
            </w:pPr>
            <w:r>
              <w:rPr>
                <w:rFonts w:ascii="Arial" w:cs="Arial" w:eastAsia="Arial" w:hAnsi="Arial"/>
                <w:sz w:val="15"/>
                <w:szCs w:val="15"/>
                <w:color w:val="auto"/>
              </w:rPr>
              <w:t>Purchase of property and equipment in accounts payable and accrued liabilities</w:t>
            </w:r>
          </w:p>
        </w:tc>
        <w:tc>
          <w:tcPr>
            <w:tcW w:w="1180" w:type="dxa"/>
            <w:vAlign w:val="bottom"/>
            <w:gridSpan w:val="2"/>
          </w:tcPr>
          <w:p>
            <w:pPr>
              <w:jc w:val="right"/>
              <w:ind w:right="745"/>
              <w:spacing w:after="0" w:line="162"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744"/>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20</w:t>
            </w:r>
          </w:p>
        </w:tc>
        <w:tc>
          <w:tcPr>
            <w:tcW w:w="220" w:type="dxa"/>
            <w:vAlign w:val="bottom"/>
          </w:tcPr>
          <w:p>
            <w:pPr>
              <w:spacing w:after="0"/>
              <w:rPr>
                <w:sz w:val="14"/>
                <w:szCs w:val="14"/>
                <w:color w:val="auto"/>
              </w:rPr>
            </w:pPr>
          </w:p>
        </w:tc>
      </w:tr>
      <w:tr>
        <w:trPr>
          <w:trHeight w:val="169"/>
        </w:trPr>
        <w:tc>
          <w:tcPr>
            <w:tcW w:w="5360" w:type="dxa"/>
            <w:vAlign w:val="bottom"/>
            <w:tcBorders>
              <w:top w:val="single" w:sz="8" w:color="CCEEFF"/>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Bonus settled in shares of common stock</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745"/>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315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744"/>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the industrial, automotive, transportation, and enterprise storage markets to design high performance, power efficient and reliable systems without the need for bulky batteries or capacitors.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320" w:lineRule="exact"/>
        <w:rPr>
          <w:sz w:val="20"/>
          <w:szCs w:val="20"/>
          <w:color w:val="auto"/>
        </w:rPr>
      </w:pPr>
    </w:p>
    <w:p>
      <w:pPr>
        <w:ind w:left="40" w:right="79" w:firstLine="401"/>
        <w:spacing w:after="0" w:line="289" w:lineRule="auto"/>
        <w:rPr>
          <w:sz w:val="20"/>
          <w:szCs w:val="20"/>
          <w:color w:val="auto"/>
        </w:rPr>
      </w:pPr>
      <w:r>
        <w:rPr>
          <w:rFonts w:ascii="Arial" w:cs="Arial" w:eastAsia="Arial" w:hAnsi="Arial"/>
          <w:sz w:val="16"/>
          <w:szCs w:val="16"/>
          <w:color w:val="auto"/>
        </w:rPr>
        <w:t>The Company believes that its existing cash and cash equivalents as of March 31, 2020, coupled with its anticipated growth and sales levels will be sufficient to meet its anticipated cash requirements for at least the next twelve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2019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months ended March 31, 2020 are not necessarily indicative of the results to be expected for the year ending December 31, 2020 or for any other interim period or for any other future year.</w:t>
      </w:r>
    </w:p>
    <w:p>
      <w:pPr>
        <w:spacing w:after="0" w:line="18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2019, included in the Company’s Annual Report on Form 10-K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reserves, product warranty reserves, deferred tax assets and related valuation allowances, and stock-based compensation. The Company believes its estimates and assumptions are reasonable; however, actual results may differ from the Company’s estimates.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establishes an allowance for product returns. The Company analyzes historical returns,</w:t>
      </w:r>
    </w:p>
    <w:p>
      <w:pPr>
        <w:spacing w:after="0" w:line="23" w:lineRule="exact"/>
        <w:rPr>
          <w:sz w:val="20"/>
          <w:szCs w:val="20"/>
          <w:color w:val="auto"/>
        </w:rPr>
      </w:pPr>
    </w:p>
    <w:p>
      <w:pPr>
        <w:ind w:left="40" w:right="99"/>
        <w:spacing w:after="0" w:line="300" w:lineRule="auto"/>
        <w:rPr>
          <w:sz w:val="20"/>
          <w:szCs w:val="20"/>
          <w:color w:val="auto"/>
        </w:rPr>
      </w:pPr>
      <w:r>
        <w:rPr>
          <w:rFonts w:ascii="Arial" w:cs="Arial" w:eastAsia="Arial" w:hAnsi="Arial"/>
          <w:sz w:val="15"/>
          <w:szCs w:val="15"/>
          <w:color w:val="auto"/>
        </w:rPr>
        <w:t>current economic trends and changes in customer demand and acceptance of products when evaluating the adequacy of sales returns. Returns are processed as credits on future purchases, as a result, the allowance is recorded against the balance of trade accounts receivable. In addition, the Company establishes an allowance for estimated price concessions related</w:t>
      </w:r>
    </w:p>
    <w:p>
      <w:pPr>
        <w:spacing w:after="0" w:line="1" w:lineRule="exact"/>
        <w:rPr>
          <w:sz w:val="20"/>
          <w:szCs w:val="20"/>
          <w:color w:val="auto"/>
        </w:rPr>
      </w:pPr>
    </w:p>
    <w:p>
      <w:pPr>
        <w:ind w:left="40" w:right="859"/>
        <w:spacing w:after="0" w:line="260" w:lineRule="auto"/>
        <w:rPr>
          <w:sz w:val="20"/>
          <w:szCs w:val="20"/>
          <w:color w:val="auto"/>
        </w:rPr>
      </w:pPr>
      <w:r>
        <w:rPr>
          <w:rFonts w:ascii="Arial" w:cs="Arial" w:eastAsia="Arial" w:hAnsi="Arial"/>
          <w:sz w:val="18"/>
          <w:szCs w:val="18"/>
          <w:color w:val="auto"/>
        </w:rPr>
        <w:t>to its distributor agreements. The Company estimates credits to distributors based on the historical rate of credits provided to distributors relative to sales.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concessions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8"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89"/>
              </w:rPr>
              <w:t>Revenue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w w:val="99"/>
              </w:rPr>
              <w:t>Accounts Receivable, net</w:t>
            </w: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Borders>
              <w:top w:val="single" w:sz="8" w:color="auto"/>
            </w:tcBorders>
            <w:gridSpan w:val="5"/>
          </w:tcPr>
          <w:p>
            <w:pPr>
              <w:jc w:val="center"/>
              <w:ind w:right="220"/>
              <w:spacing w:after="0" w:line="119"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674"/>
              <w:spacing w:after="0" w:line="119" w:lineRule="exact"/>
              <w:rPr>
                <w:sz w:val="20"/>
                <w:szCs w:val="20"/>
                <w:color w:val="auto"/>
              </w:rPr>
            </w:pPr>
            <w:r>
              <w:rPr>
                <w:rFonts w:ascii="Arial" w:cs="Arial" w:eastAsia="Arial" w:hAnsi="Arial"/>
                <w:sz w:val="13"/>
                <w:szCs w:val="13"/>
                <w:b w:val="1"/>
                <w:bCs w:val="1"/>
                <w:color w:val="auto"/>
                <w:w w:val="98"/>
              </w:rPr>
              <w:t>As of</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Customers</w:t>
            </w:r>
          </w:p>
        </w:tc>
        <w:tc>
          <w:tcPr>
            <w:tcW w:w="122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78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Customer B</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
              <w:spacing w:after="0"/>
              <w:rPr>
                <w:sz w:val="20"/>
                <w:szCs w:val="20"/>
                <w:color w:val="auto"/>
              </w:rPr>
            </w:pPr>
            <w:r>
              <w:rPr>
                <w:rFonts w:ascii="Arial" w:cs="Arial" w:eastAsia="Arial" w:hAnsi="Arial"/>
                <w:sz w:val="18"/>
                <w:szCs w:val="18"/>
                <w:color w:val="auto"/>
              </w:rPr>
              <w:t>11 %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C</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Customer 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Customer F</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line="216" w:lineRule="exact"/>
              <w:rPr>
                <w:sz w:val="20"/>
                <w:szCs w:val="20"/>
                <w:color w:val="auto"/>
              </w:rPr>
            </w:pPr>
            <w:r>
              <w:rPr>
                <w:rFonts w:ascii="Arial" w:cs="Arial" w:eastAsia="Arial" w:hAnsi="Arial"/>
                <w:sz w:val="16"/>
                <w:szCs w:val="16"/>
                <w:color w:val="auto"/>
              </w:rPr>
              <w:t xml:space="preserve">10 </w:t>
            </w:r>
            <w:r>
              <w:rPr>
                <w:rFonts w:ascii="Arial" w:cs="Arial" w:eastAsia="Arial" w:hAnsi="Arial"/>
                <w:sz w:val="25"/>
                <w:szCs w:val="25"/>
                <w:color w:val="auto"/>
                <w:vertAlign w:val="subscript"/>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77"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ectPr>
          <w:pgSz w:w="11900" w:h="16838" w:orient="portrait"/>
          <w:cols w:equalWidth="0" w:num="1">
            <w:col w:w="9019"/>
          </w:cols>
          <w:pgMar w:left="1440" w:top="125"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 w:right="339"/>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pacing w:after="0" w:line="170" w:lineRule="exact"/>
        <w:rPr>
          <w:sz w:val="20"/>
          <w:szCs w:val="20"/>
          <w:color w:val="auto"/>
        </w:rPr>
      </w:pPr>
    </w:p>
    <w:p>
      <w:pPr>
        <w:ind w:left="40" w:right="179" w:firstLine="324"/>
        <w:spacing w:after="0" w:line="293" w:lineRule="auto"/>
        <w:rPr>
          <w:sz w:val="20"/>
          <w:szCs w:val="20"/>
          <w:color w:val="auto"/>
        </w:rPr>
      </w:pPr>
      <w:r>
        <w:rPr>
          <w:rFonts w:ascii="Arial" w:cs="Arial" w:eastAsia="Arial" w:hAnsi="Arial"/>
          <w:sz w:val="16"/>
          <w:szCs w:val="16"/>
          <w:color w:val="auto"/>
        </w:rPr>
        <w:t>As of March 31, 2020,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Where quoted prices are available in an active market, securities are classified as Level 1. Level 1 assets consist of highly liquid money market funds that are included in cash equivalents. The Company’s Level 3 liability consists of warrants issued in connection with the 2019 Credit Facility (Note 6).</w:t>
      </w:r>
    </w:p>
    <w:p>
      <w:pPr>
        <w:spacing w:after="0" w:line="164"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6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Money market funds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14,144</w:t>
            </w:r>
          </w:p>
        </w:tc>
        <w:tc>
          <w:tcPr>
            <w:tcW w:w="140" w:type="dxa"/>
            <w:vAlign w:val="bottom"/>
          </w:tcPr>
          <w:p>
            <w:pPr>
              <w:spacing w:after="0"/>
              <w:rPr>
                <w:sz w:val="18"/>
                <w:szCs w:val="18"/>
                <w:color w:val="auto"/>
              </w:rPr>
            </w:pPr>
          </w:p>
        </w:tc>
        <w:tc>
          <w:tcPr>
            <w:tcW w:w="150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14,144</w:t>
            </w:r>
          </w:p>
        </w:tc>
      </w:tr>
      <w:tr>
        <w:trPr>
          <w:trHeight w:val="217"/>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14,144</w:t>
            </w:r>
          </w:p>
        </w:tc>
      </w:tr>
      <w:tr>
        <w:trPr>
          <w:trHeight w:val="216"/>
        </w:trPr>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Warrant liability</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7"/>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378"/>
        </w:trPr>
        <w:tc>
          <w:tcPr>
            <w:tcW w:w="3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6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Money market funds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12,367</w:t>
            </w:r>
          </w:p>
        </w:tc>
        <w:tc>
          <w:tcPr>
            <w:tcW w:w="140" w:type="dxa"/>
            <w:vAlign w:val="bottom"/>
          </w:tcPr>
          <w:p>
            <w:pPr>
              <w:spacing w:after="0"/>
              <w:rPr>
                <w:sz w:val="18"/>
                <w:szCs w:val="18"/>
                <w:color w:val="auto"/>
              </w:rPr>
            </w:pPr>
          </w:p>
        </w:tc>
        <w:tc>
          <w:tcPr>
            <w:tcW w:w="150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12,367</w:t>
            </w:r>
          </w:p>
        </w:tc>
      </w:tr>
      <w:tr>
        <w:trPr>
          <w:trHeight w:val="217"/>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r>
      <w:tr>
        <w:trPr>
          <w:trHeight w:val="216"/>
        </w:trPr>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Warrant liability</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No. 2019-04, </w:t>
      </w:r>
      <w:r>
        <w:rPr>
          <w:rFonts w:ascii="Arial" w:cs="Arial" w:eastAsia="Arial" w:hAnsi="Arial"/>
          <w:sz w:val="17"/>
          <w:szCs w:val="17"/>
          <w:i w:val="1"/>
          <w:iCs w:val="1"/>
          <w:color w:val="auto"/>
        </w:rPr>
        <w:t>Codification Improvements Financial Instruments-Credit Losses (Topic 326)</w:t>
      </w:r>
      <w:r>
        <w:rPr>
          <w:rFonts w:ascii="Arial" w:cs="Arial" w:eastAsia="Arial" w:hAnsi="Arial"/>
          <w:sz w:val="17"/>
          <w:szCs w:val="17"/>
          <w:color w:val="auto"/>
        </w:rPr>
        <w:t>. The new ASU provides narrow-scope amendments to help apply ASU No. 2016-13. The Company is evaluating the impact of the adoption of ASU 2016-13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jc w:val="both"/>
        <w:ind w:left="40" w:right="679" w:firstLine="324"/>
        <w:spacing w:after="0" w:line="311" w:lineRule="auto"/>
        <w:rPr>
          <w:sz w:val="20"/>
          <w:szCs w:val="20"/>
          <w:color w:val="auto"/>
        </w:rPr>
      </w:pPr>
      <w:r>
        <w:rPr>
          <w:rFonts w:ascii="Arial" w:cs="Arial" w:eastAsia="Arial" w:hAnsi="Arial"/>
          <w:sz w:val="16"/>
          <w:szCs w:val="16"/>
          <w:color w:val="auto"/>
        </w:rPr>
        <w:t>The Company sells the majority of its products to its distributors, but also to original equipment manufacturers (OEMs). The Company also recognizes revenue under licensing and royalty agreements with some customers. The following table presents the Company’s revenues disaggregated by sales channel (in thousands):</w:t>
      </w:r>
    </w:p>
    <w:p>
      <w:pPr>
        <w:spacing w:after="0" w:line="15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220" w:type="dxa"/>
            <w:vAlign w:val="bottom"/>
            <w:tcBorders>
              <w:bottom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2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0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200" w:type="dxa"/>
            <w:vAlign w:val="bottom"/>
            <w:shd w:val="clear" w:color="auto" w:fill="CCEEFF"/>
          </w:tcPr>
          <w:p>
            <w:pPr>
              <w:spacing w:after="0"/>
              <w:rPr>
                <w:sz w:val="18"/>
                <w:szCs w:val="18"/>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Borders>
              <w:bottom w:val="single" w:sz="8" w:color="CCEEFF"/>
            </w:tcBorders>
          </w:tcPr>
          <w:p>
            <w:pPr>
              <w:spacing w:after="0"/>
              <w:rPr>
                <w:sz w:val="18"/>
                <w:szCs w:val="18"/>
                <w:color w:val="auto"/>
              </w:rPr>
            </w:pPr>
          </w:p>
        </w:tc>
      </w:tr>
      <w:tr>
        <w:trPr>
          <w:trHeight w:val="217"/>
        </w:trPr>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0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22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Royalties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r>
      <w:tr>
        <w:trPr>
          <w:trHeight w:val="217"/>
        </w:trPr>
        <w:tc>
          <w:tcPr>
            <w:tcW w:w="406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220" w:type="dxa"/>
            <w:vAlign w:val="bottom"/>
          </w:tcPr>
          <w:p>
            <w:pPr>
              <w:spacing w:after="0"/>
              <w:rPr>
                <w:sz w:val="18"/>
                <w:szCs w:val="18"/>
                <w:color w:val="auto"/>
              </w:rPr>
            </w:pPr>
          </w:p>
        </w:tc>
      </w:tr>
    </w:tbl>
    <w:p>
      <w:pPr>
        <w:spacing w:after="0" w:line="202"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7"/>
          <w:szCs w:val="17"/>
          <w:color w:val="auto"/>
        </w:rPr>
        <w:t>The Company recognizes revenue in three primary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2,189</w:t>
            </w:r>
          </w:p>
        </w:tc>
        <w:tc>
          <w:tcPr>
            <w:tcW w:w="2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EMEA</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2,634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7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5,203</w:t>
            </w:r>
          </w:p>
        </w:tc>
        <w:tc>
          <w:tcPr>
            <w:tcW w:w="2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7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10,026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662"/>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4. Balance Sheet Components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4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4220" w:type="dxa"/>
            <w:vAlign w:val="bottom"/>
            <w:gridSpan w:val="3"/>
          </w:tcPr>
          <w:p>
            <w:pPr>
              <w:ind w:left="320"/>
              <w:spacing w:after="0"/>
              <w:rPr>
                <w:sz w:val="20"/>
                <w:szCs w:val="20"/>
                <w:color w:val="auto"/>
              </w:rPr>
            </w:pPr>
            <w:r>
              <w:rPr>
                <w:rFonts w:ascii="Arial" w:cs="Arial" w:eastAsia="Arial" w:hAnsi="Arial"/>
                <w:sz w:val="18"/>
                <w:szCs w:val="18"/>
                <w:color w:val="auto"/>
                <w:w w:val="95"/>
              </w:rPr>
              <w:t>Inventory consisted of the following (in thousands):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5"/>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spacing w:after="0"/>
              <w:rPr>
                <w:sz w:val="24"/>
                <w:szCs w:val="24"/>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r>
      <w:tr>
        <w:trPr>
          <w:trHeight w:val="210"/>
        </w:trPr>
        <w:tc>
          <w:tcPr>
            <w:tcW w:w="88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900" w:type="dxa"/>
            <w:vAlign w:val="bottom"/>
            <w:tcBorders>
              <w:left w:val="single" w:sz="8" w:color="CCEEFF"/>
            </w:tcBorders>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6,329</w:t>
            </w:r>
          </w:p>
        </w:tc>
        <w:tc>
          <w:tcPr>
            <w:tcW w:w="9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w:t>
            </w:r>
          </w:p>
        </w:tc>
        <w:tc>
          <w:tcPr>
            <w:tcW w:w="900" w:type="dxa"/>
            <w:vAlign w:val="bottom"/>
            <w:tcBorders>
              <w:left w:val="single" w:sz="8" w:color="CCEEFF"/>
            </w:tcBorders>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7,944</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7,863</w:t>
            </w:r>
          </w:p>
        </w:tc>
        <w:tc>
          <w:tcPr>
            <w:tcW w:w="900" w:type="dxa"/>
            <w:vAlign w:val="bottom"/>
          </w:tcPr>
          <w:p>
            <w:pPr>
              <w:spacing w:after="0"/>
              <w:rPr>
                <w:sz w:val="18"/>
                <w:szCs w:val="18"/>
                <w:color w:val="auto"/>
              </w:rPr>
            </w:pPr>
          </w:p>
        </w:tc>
      </w:tr>
      <w:tr>
        <w:trPr>
          <w:trHeight w:val="864"/>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Accrued joint development agreement expenses</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7"/>
        </w:trPr>
        <w:tc>
          <w:tcPr>
            <w:tcW w:w="536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color w:val="auto"/>
        </w:rPr>
        <w:t>As of March 31, 2020, the Company completed the corporate restructuring activity initiated during the year ended December 31, 2019. Cash paid for employee severance and benefit arrangements in connection with the restructuring activity were $373,000 during the period ended March 31, 2020.</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leases consist primarily of office space expiring at various dates through 2022.</w:t>
      </w:r>
    </w:p>
    <w:p>
      <w:pPr>
        <w:spacing w:after="0" w:line="225"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leases were as follows (in thousands):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40" w:type="dxa"/>
            <w:vAlign w:val="bottom"/>
          </w:tcPr>
          <w:p>
            <w:pPr>
              <w:spacing w:after="0"/>
              <w:rPr>
                <w:sz w:val="20"/>
                <w:szCs w:val="20"/>
                <w:color w:val="auto"/>
              </w:rPr>
            </w:pPr>
            <w:r>
              <w:rPr>
                <w:rFonts w:ascii="Arial" w:cs="Arial" w:eastAsia="Arial" w:hAnsi="Arial"/>
                <w:sz w:val="14"/>
                <w:szCs w:val="14"/>
                <w:b w:val="1"/>
                <w:bCs w:val="1"/>
                <w:color w:val="auto"/>
              </w:rPr>
              <w:t>As of March 31, 2020</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(remaining nine months)</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2021</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1,763</w:t>
            </w: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r>
      <w:tr>
        <w:trPr>
          <w:trHeight w:val="224"/>
        </w:trPr>
        <w:tc>
          <w:tcPr>
            <w:tcW w:w="4340" w:type="dxa"/>
            <w:vAlign w:val="bottom"/>
          </w:tcPr>
          <w:p>
            <w:pPr>
              <w:ind w:left="220"/>
              <w:spacing w:after="0"/>
              <w:rPr>
                <w:sz w:val="20"/>
                <w:szCs w:val="20"/>
                <w:color w:val="auto"/>
              </w:rPr>
            </w:pPr>
            <w:r>
              <w:rPr>
                <w:rFonts w:ascii="Arial" w:cs="Arial" w:eastAsia="Arial" w:hAnsi="Arial"/>
                <w:sz w:val="18"/>
                <w:szCs w:val="18"/>
                <w:color w:val="auto"/>
              </w:rPr>
              <w:t>Total undiscounted lease payments</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3,201</w:t>
            </w:r>
          </w:p>
        </w:tc>
        <w:tc>
          <w:tcPr>
            <w:tcW w:w="180" w:type="dxa"/>
            <w:vAlign w:val="bottom"/>
          </w:tcPr>
          <w:p>
            <w:pPr>
              <w:spacing w:after="0"/>
              <w:rPr>
                <w:sz w:val="19"/>
                <w:szCs w:val="19"/>
                <w:color w:val="auto"/>
              </w:rPr>
            </w:pPr>
          </w:p>
        </w:tc>
      </w:tr>
    </w:tbl>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40" w:right="359" w:firstLine="324"/>
        <w:spacing w:after="0" w:line="275" w:lineRule="auto"/>
        <w:rPr>
          <w:sz w:val="20"/>
          <w:szCs w:val="20"/>
          <w:color w:val="auto"/>
        </w:rPr>
      </w:pPr>
      <w:r>
        <w:rPr>
          <w:rFonts w:ascii="Arial" w:cs="Arial" w:eastAsia="Arial" w:hAnsi="Arial"/>
          <w:sz w:val="17"/>
          <w:szCs w:val="17"/>
          <w:color w:val="auto"/>
        </w:rPr>
        <w:t>In August 2019, the Company executed an Amended and Restated Loan and Security Agreement (the 2019 Credit Facility), which amended and restated the 2017 Credit Facility, providing for a formula revolving line of credit (Line of Credit) and a term loan (2019 Term Loan) with Silicon Valley Bank (SVB) to refinance in full the outstanding principal balance of $8.0 million under the 2017 Credit Facility. In August 2019, the Company paid the final payment of $0.8 million, which was due upon the refinancing of the 2017 Credit Facility.</w:t>
      </w:r>
    </w:p>
    <w:p>
      <w:pPr>
        <w:spacing w:after="0" w:line="176"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Line of Credit allows for a maximum draw of $5.0 million, subject to a formula borrowing base, has a two-year term and bears interest at a floating rate equal to the Wall Street Journal (WSJ) prime rate plus 1.5%, per annum, subject to a floor of 6.75%. As of March 31, 2020, the interest rate was 6.75%. The Line of Credit provides for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At execution, $2.0 million from the Line of Credit was used to refinance a portion of the outstanding balance of the 2017 Credit Facility, and $3.0 million remains available under the Line of Credit, subject to borrowing base availability. As of March 31, 2020, the effective interest rate under the Line of Credit was 10.57% and the outstanding balance was $2.0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99" w:firstLine="324"/>
        <w:spacing w:after="0" w:line="253" w:lineRule="auto"/>
        <w:rPr>
          <w:sz w:val="20"/>
          <w:szCs w:val="20"/>
          <w:color w:val="auto"/>
        </w:rPr>
      </w:pPr>
      <w:r>
        <w:rPr>
          <w:rFonts w:ascii="Arial" w:cs="Arial" w:eastAsia="Arial" w:hAnsi="Arial"/>
          <w:sz w:val="18"/>
          <w:szCs w:val="18"/>
          <w:color w:val="auto"/>
        </w:rPr>
        <w:t>The 2019 Term Loan provides for a $6.0 million term loan, which was used to refinance the remaining balance of the 2017 Credit Facility. The 2019 Term Loan has a term of 42 months, and a 12-month interest only period followed by 30 months of equal principal payments, plus accrued interest. The 2019 Term Loan bears interest at a floating rate equal to the WSJ prime rate minus 0.75%, subject to a floor of 4.75%. As of March 31, 2020, the interest rate was 4.75%.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March 31, 2020, the effective interest rate under the 2019 Term Loan was 8.66%.</w:t>
      </w:r>
    </w:p>
    <w:p>
      <w:pPr>
        <w:spacing w:after="0" w:line="194"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In conjunction with entering into the 2019 Credit Facility, on August 5, 2019, the Company and SVB amended and restated the warrant issued to SVB in connection with the First Amendment, which was a warrant to purchase 9,375 shares of the Company’s common stock at $8.91 per share, to add an option by SVB to put the warrant back to the Company for $50,000 upon expiration or a liquidity event, to be prorated if SVB exercises a portion of the warrant. The warrant expires on July 6, 2023. As of August 5, 2019, the warrant was classified as a liability and recorded at fair value within other liabilities in the Company’s condensed balance sheet. Due to the put right, the warrant is subject to fair value remeasurement at each subsequent reporting date until the exercise or expiration of the warrant. Any resulting change in the fair value of the warrant will be recorded as other income, net in the Company’s condensed statement of operations and comprehensive loss.</w:t>
      </w:r>
    </w:p>
    <w:p>
      <w:pPr>
        <w:spacing w:after="0" w:line="196"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Collateral for the 2019 Credit Facility includes all of the Company’s assets except for intellectual property. The Company is required to comply with certain covenants under the 2019 Credit Facility, including requirements to maintain a minimum liquidity ratio,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at March 31, 2020.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March 31, 2020, management does not believe that it is probable that the clause will be triggered within the next 12 months, and therefore the term loan is classified as long-term.</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value of the Company’s 2019 Credit Facility at March 31, 2020 was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carrying value of the Company’s 2019 Credit Facility at December 31, 2019 was as follows (in thousands):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27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00" w:type="dxa"/>
            <w:vAlign w:val="bottom"/>
          </w:tcPr>
          <w:p>
            <w:pPr>
              <w:jc w:val="right"/>
              <w:ind w:right="8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includes the principal repayments due under the 2019 Credit Facility (in thousands):</w:t>
      </w: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Principal</w:t>
            </w:r>
          </w:p>
        </w:tc>
      </w:tr>
      <w:tr>
        <w:trPr>
          <w:trHeight w:val="148"/>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Repayment as of</w:t>
            </w:r>
          </w:p>
        </w:tc>
      </w:tr>
      <w:tr>
        <w:trPr>
          <w:trHeight w:val="171"/>
        </w:trPr>
        <w:tc>
          <w:tcPr>
            <w:tcW w:w="5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March 31, 2020</w:t>
            </w: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2020 (remaining nine months)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16"/>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17"/>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left="40" w:right="99" w:firstLine="324"/>
        <w:spacing w:after="0" w:line="289" w:lineRule="auto"/>
        <w:rPr>
          <w:sz w:val="20"/>
          <w:szCs w:val="20"/>
          <w:color w:val="auto"/>
        </w:rPr>
      </w:pPr>
      <w:r>
        <w:rPr>
          <w:rFonts w:ascii="Arial" w:cs="Arial" w:eastAsia="Arial" w:hAnsi="Arial"/>
          <w:sz w:val="16"/>
          <w:szCs w:val="16"/>
          <w:color w:val="auto"/>
        </w:rPr>
        <w:t>In August 2019, the Company entered into an Open Market Sale Agreement, or the 2019 Sales Agreement, with Jefferies, LLC, or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“at-the-market” offering under the Securities Act of 1933, as amended. Under the 2019 Sales Agreement, the Company agreed to pay Jefferies a commission of up to 3% of the gross proceeds of any sales made pursuant to the Sales Agreement. During the three months ended March 31, 2020, the Company received net proceeds of $2.1 million after deducting commissions and expenses payable by the Company, from the sale of 468,427 shares of common stock pursuant to the 2019 Sales Agreement. As of March 31, 2020, the Company had an aggregate of $17.7 million available for future sales under the 2019 Sales Agreement.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the stock option and award activity for the three months ended March 31, 2020:</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Options and</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9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Per</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 (years)</w:t>
            </w: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638,227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1,931,903</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Authorized</w:t>
            </w:r>
          </w:p>
        </w:tc>
        <w:tc>
          <w:tcPr>
            <w:tcW w:w="820" w:type="dxa"/>
            <w:vAlign w:val="bottom"/>
          </w:tcPr>
          <w:p>
            <w:pPr>
              <w:jc w:val="right"/>
              <w:spacing w:after="0"/>
              <w:rPr>
                <w:sz w:val="20"/>
                <w:szCs w:val="20"/>
                <w:color w:val="auto"/>
              </w:rPr>
            </w:pPr>
            <w:r>
              <w:rPr>
                <w:rFonts w:ascii="Arial" w:cs="Arial" w:eastAsia="Arial" w:hAnsi="Arial"/>
                <w:sz w:val="18"/>
                <w:szCs w:val="18"/>
                <w:color w:val="auto"/>
              </w:rPr>
              <w:t>542,452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(228,013)</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RSUs cancelled/forfeited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24,697</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(631,055)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Options cancelled/forfeited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120,313</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(125,834)</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Balance—March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2,437,124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line="203" w:lineRule="exact"/>
              <w:rPr>
                <w:sz w:val="20"/>
                <w:szCs w:val="20"/>
                <w:color w:val="auto"/>
              </w:rPr>
            </w:pPr>
            <w:r>
              <w:rPr>
                <w:rFonts w:ascii="Arial" w:cs="Arial" w:eastAsia="Arial" w:hAnsi="Arial"/>
                <w:sz w:val="18"/>
                <w:szCs w:val="18"/>
                <w:color w:val="auto"/>
              </w:rPr>
              <w:t>Options exercisable—March 31, 2020</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1,133,244</w:t>
            </w:r>
          </w:p>
        </w:tc>
        <w:tc>
          <w:tcPr>
            <w:tcW w:w="60" w:type="dxa"/>
            <w:vAlign w:val="bottom"/>
          </w:tcPr>
          <w:p>
            <w:pPr>
              <w:spacing w:after="0"/>
              <w:rPr>
                <w:sz w:val="18"/>
                <w:szCs w:val="18"/>
                <w:color w:val="auto"/>
              </w:rPr>
            </w:pPr>
          </w:p>
        </w:tc>
        <w:tc>
          <w:tcPr>
            <w:tcW w:w="200" w:type="dxa"/>
            <w:vAlign w:val="bottom"/>
            <w:gridSpan w:val="2"/>
          </w:tcPr>
          <w:p>
            <w:pPr>
              <w:ind w:left="80"/>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7.08</w:t>
            </w:r>
          </w:p>
        </w:tc>
        <w:tc>
          <w:tcPr>
            <w:tcW w:w="140" w:type="dxa"/>
            <w:vAlign w:val="bottom"/>
          </w:tcPr>
          <w:p>
            <w:pPr>
              <w:spacing w:after="0"/>
              <w:rPr>
                <w:sz w:val="18"/>
                <w:szCs w:val="18"/>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The total grant date fair value of options vested was $799,000 and $710,000 during the three months ended March 31, 2020 and 2019, respectively.</w:t>
      </w:r>
    </w:p>
    <w:p>
      <w:pPr>
        <w:spacing w:after="0" w:line="170" w:lineRule="exact"/>
        <w:rPr>
          <w:sz w:val="20"/>
          <w:szCs w:val="20"/>
          <w:color w:val="auto"/>
        </w:rPr>
      </w:pPr>
    </w:p>
    <w:p>
      <w:pPr>
        <w:ind w:left="40" w:right="459" w:firstLine="324"/>
        <w:spacing w:after="0" w:line="277" w:lineRule="auto"/>
        <w:rPr>
          <w:sz w:val="20"/>
          <w:szCs w:val="20"/>
          <w:color w:val="auto"/>
        </w:rPr>
      </w:pPr>
      <w:r>
        <w:rPr>
          <w:rFonts w:ascii="Arial" w:cs="Arial" w:eastAsia="Arial" w:hAnsi="Arial"/>
          <w:sz w:val="18"/>
          <w:szCs w:val="18"/>
          <w:color w:val="auto"/>
        </w:rPr>
        <w:t>The weighted-average grant date fair value of employee options granted was $1.52 and $4.00 per share during the three months ended March 31, 2020 and 2019,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40" w:right="179" w:firstLine="324"/>
        <w:spacing w:after="0" w:line="311" w:lineRule="auto"/>
        <w:rPr>
          <w:sz w:val="20"/>
          <w:szCs w:val="20"/>
          <w:color w:val="auto"/>
        </w:rPr>
      </w:pPr>
      <w:r>
        <w:rPr>
          <w:rFonts w:ascii="Arial" w:cs="Arial" w:eastAsia="Arial" w:hAnsi="Arial"/>
          <w:sz w:val="16"/>
          <w:szCs w:val="16"/>
          <w:color w:val="auto"/>
        </w:rPr>
        <w:t>In January 2020, there was an increase of 180,817 shares reserved for issuance under the Company’s Employee Stock Purchase Plan (ESPP). The Company had 576,817 shares available for future issuance under the Company’s ESPP as of March 31, 2020. Employees did not purchase any shares during the three months ended March 31, 2020 and 2019.</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Restricted Stock Units (RSUs) activity for the three months ended March 31, 2020:</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211,962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228,013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(24,697)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7"/>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Balance—March 31,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199" w:firstLine="324"/>
        <w:spacing w:after="0" w:line="263"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March 31, 2020, there was $1.1 million of unrecognized stock-based compensation expense related to RSUs to be recognized over a weighted-average period of 2.9 years.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As of March 31, 2020, there was $4.2 million of total unrecognized compensation expense related to unvested options which is expected to be recognized over a weighted-average period of 3.1 years. Compensation cost capitalized within inventory at March 31, 2020 and at December 31, 2019 was not material.</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Significant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Since October 17, 2014, the Company has participated in a joint development agreement with GLOBALFOUNDRIES Inc., a semiconductor foundry, for the joint development of STT-MRAM technology to produce of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76"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77"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87"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Company incurred project costs of $0.8 million for the three months ended March 31, 2019, which were recognized in research and development expense. No project costs were incurred during the three months ended March 31, 2020. The Company entered into a Statement of Work (SOW) and an Amendment to the SOW, under the JDA with GF effective August 2016 and June 2018, respectively. The Company is entitled to revenues under the SOW and its Amendment upon delivery and acceptance of product. The Company did not recognize any revenue from GF during the three months ended March 31, 2020 and 2019.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left="40" w:right="259" w:firstLine="405"/>
        <w:spacing w:after="0" w:line="275" w:lineRule="auto"/>
        <w:rPr>
          <w:sz w:val="20"/>
          <w:szCs w:val="20"/>
          <w:color w:val="auto"/>
        </w:rPr>
      </w:pPr>
      <w:r>
        <w:rPr>
          <w:rFonts w:ascii="Arial" w:cs="Arial" w:eastAsia="Arial" w:hAnsi="Arial"/>
          <w:sz w:val="17"/>
          <w:szCs w:val="17"/>
          <w:color w:val="auto"/>
        </w:rPr>
        <w:t>In September 2018, the Company entered into a Joint Collaboration Agreement (JCA) with Silterra Malaysia Sdn. Bhd. (Silterra), and another third party. The JCA will create additional manufacturing capacity for the Company’s Toggle MRAM products. Initial production is expected to start in 2020. Under the JCA the Company will pay non-recurring engineering costs of $1.0 million. As of March 31, 2020, the Company has paid $600,000 of JCA costs. There were no JCA costs paid for during the three months ended March 31, 2020.</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Net Loss Per Common Share</w:t>
      </w:r>
    </w:p>
    <w:p>
      <w:pPr>
        <w:spacing w:after="0" w:line="229"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1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96"/>
        </w:trPr>
        <w:tc>
          <w:tcPr>
            <w:tcW w:w="50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7"/>
                <w:szCs w:val="17"/>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2,437,124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1,796,103</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326,903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168,408</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2,791,863</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1,992,347</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399"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2019.</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40" w:right="99" w:firstLine="324"/>
        <w:spacing w:after="0" w:line="268"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359" w:firstLine="401"/>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IP.</w:t>
      </w:r>
    </w:p>
    <w:p>
      <w:pPr>
        <w:spacing w:after="0" w:line="177" w:lineRule="exact"/>
        <w:rPr>
          <w:sz w:val="20"/>
          <w:szCs w:val="20"/>
          <w:color w:val="auto"/>
        </w:rPr>
      </w:pPr>
    </w:p>
    <w:p>
      <w:pPr>
        <w:ind w:left="40" w:right="159" w:firstLine="401"/>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 to industry-leading original equipment manufacturers (OEMs) and original design manufacturers (ODMs).</w:t>
      </w:r>
    </w:p>
    <w:p>
      <w:pPr>
        <w:spacing w:after="0" w:line="170" w:lineRule="exact"/>
        <w:rPr>
          <w:sz w:val="20"/>
          <w:szCs w:val="20"/>
          <w:color w:val="auto"/>
        </w:rPr>
      </w:pPr>
    </w:p>
    <w:p>
      <w:pPr>
        <w:ind w:left="40" w:right="199" w:firstLine="401"/>
        <w:spacing w:after="0" w:line="257" w:lineRule="auto"/>
        <w:rPr>
          <w:sz w:val="20"/>
          <w:szCs w:val="20"/>
          <w:color w:val="auto"/>
        </w:rPr>
      </w:pPr>
      <w:r>
        <w:rPr>
          <w:rFonts w:ascii="Arial" w:cs="Arial" w:eastAsia="Arial" w:hAnsi="Arial"/>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STT-MRAM products as part of our strategic relationship with GLOBALFOUNDRIES.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40" w:right="99" w:firstLine="401"/>
        <w:spacing w:after="0" w:line="293"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 depreciation and amortization, stock-based compensation expense, and restructuring costs.</w:t>
      </w:r>
    </w:p>
    <w:p>
      <w:pPr>
        <w:spacing w:after="0" w:line="164" w:lineRule="exact"/>
        <w:rPr>
          <w:sz w:val="20"/>
          <w:szCs w:val="20"/>
          <w:color w:val="auto"/>
        </w:rPr>
      </w:pPr>
    </w:p>
    <w:p>
      <w:pPr>
        <w:ind w:left="40" w:right="99" w:firstLine="401"/>
        <w:spacing w:after="0" w:line="30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w:t>
      </w:r>
    </w:p>
    <w:p>
      <w:pPr>
        <w:sectPr>
          <w:pgSz w:w="11900" w:h="16838" w:orient="portrait"/>
          <w:cols w:equalWidth="0" w:num="1">
            <w:col w:w="9019"/>
          </w:cols>
          <w:pgMar w:left="1440" w:top="125"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259"/>
        <w:spacing w:after="0" w:line="263" w:lineRule="auto"/>
        <w:rPr>
          <w:sz w:val="20"/>
          <w:szCs w:val="20"/>
          <w:color w:val="auto"/>
        </w:rPr>
      </w:pPr>
      <w:r>
        <w:rPr>
          <w:rFonts w:ascii="Arial" w:cs="Arial" w:eastAsia="Arial" w:hAnsi="Arial"/>
          <w:sz w:val="18"/>
          <w:szCs w:val="18"/>
          <w:color w:val="auto"/>
        </w:rPr>
        <w:t>directors. Adjusted EBITDA was $(0.3) million and $(2.9) million for the three months ended March 31, 2020 and 2019, respectively. The following table presents a reconciliation of net loss, the most directly comparable GAAP measure, to Adjusted EBIDTA for the periods indicated:</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386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(1,732)</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(4,256)</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386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12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r>
    </w:tbl>
    <w:p>
      <w:pPr>
        <w:spacing w:after="0" w:line="202"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i w:val="1"/>
          <w:iCs w:val="1"/>
          <w:color w:val="auto"/>
        </w:rPr>
        <w:t>Design wins</w:t>
      </w:r>
      <w:r>
        <w:rPr>
          <w:rFonts w:ascii="Arial" w:cs="Arial" w:eastAsia="Arial" w:hAnsi="Arial"/>
          <w:sz w:val="18"/>
          <w:szCs w:val="18"/>
          <w:color w:val="auto"/>
        </w:rPr>
        <w:t>. To continue to grow our revenue, we must continue to achieve design wins for our MRAM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the first quarter of 2020 were 37 compared to 14 in the first quarter of 2019.</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29"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The full long-term impact of the coronavirus 2019 (COVID-19) on our business is uncertain and we are unable to predict the impacts it will have going forward. Recent impacts included the extended China factory shutdowns that resulted from the COVID-19 outbreak, which created a longer than usual pause in new orders and we believe also slowed Toggle demand growth in the weeks since then. We continue to see an impact as reflected in reduced demand from some customers and distributors. Overall, our business remains operational in the midst of the pandemic, and we continue to work closely with our manufacturing partners and suppliers to support the demand for our products. In an effort to protect the health and safety of our employees, we transitioned most employees and contractors to working from home, suspended all business travel, and implemented social distancing guidelines for our employees and contractors who must work in our manufacturing and laboratory locations. The remote working environment has had some impact on manufacturing yield improvement projects given delays in data gathering, analysis and inefficiencies of teams solving technical problems via remote-only means, which impacts our cost of sales. We will continue to monitor the situation and take further actions, which may include further altering our operations, in order to protect the best interests of our employees, customers and suppliers and comply with government requirements.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0"/>
          </w:tcPr>
          <w:p>
            <w:pPr>
              <w:jc w:val="right"/>
              <w:ind w:right="169"/>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4"/>
          </w:tcPr>
          <w:p>
            <w:pPr>
              <w:jc w:val="center"/>
              <w:ind w:right="111"/>
              <w:spacing w:after="0" w:line="119" w:lineRule="exact"/>
              <w:rPr>
                <w:sz w:val="20"/>
                <w:szCs w:val="20"/>
                <w:color w:val="auto"/>
              </w:rPr>
            </w:pPr>
            <w:r>
              <w:rPr>
                <w:rFonts w:ascii="Arial" w:cs="Arial" w:eastAsia="Arial" w:hAnsi="Arial"/>
                <w:sz w:val="13"/>
                <w:szCs w:val="13"/>
                <w:b w:val="1"/>
                <w:bCs w:val="1"/>
                <w:color w:val="auto"/>
                <w:w w:val="97"/>
              </w:rPr>
              <w:t>(As a percentage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2"/>
              </w:rPr>
              <w:t>revenue)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9"/>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79" w:firstLine="401"/>
        <w:spacing w:after="0" w:line="277" w:lineRule="auto"/>
        <w:rPr>
          <w:sz w:val="20"/>
          <w:szCs w:val="20"/>
          <w:color w:val="auto"/>
        </w:rPr>
      </w:pPr>
      <w:r>
        <w:rPr>
          <w:rFonts w:ascii="Arial" w:cs="Arial" w:eastAsia="Arial" w:hAnsi="Arial"/>
          <w:sz w:val="18"/>
          <w:szCs w:val="18"/>
          <w:color w:val="auto"/>
        </w:rPr>
        <w:t>We generated 69% and 72% of our revenue from products sold through distributors for the three months ended March 31, 2020 and 2019, respectively.</w:t>
      </w:r>
    </w:p>
    <w:p>
      <w:pPr>
        <w:spacing w:after="0" w:line="170" w:lineRule="exact"/>
        <w:rPr>
          <w:sz w:val="20"/>
          <w:szCs w:val="20"/>
          <w:color w:val="auto"/>
        </w:rPr>
      </w:pPr>
    </w:p>
    <w:p>
      <w:pPr>
        <w:ind w:left="40" w:right="279" w:firstLine="401"/>
        <w:spacing w:after="0" w:line="257"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We have organized our sales team and representatives into three primary regions: North America; Europe, Middle East and Africa (EMEA); and Asia-Pacific and Japan (APJ). We recognize revenue by geography based on the region in which our products are sold, and not to where the end products in which they are assembled are shipped. Our revenue by region for the periods indicated was as follows (in thousands):</w:t>
      </w:r>
    </w:p>
    <w:p>
      <w:pPr>
        <w:spacing w:after="0" w:line="26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17"/>
        </w:trPr>
        <w:tc>
          <w:tcPr>
            <w:tcW w:w="302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571"/>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4"/>
            <w:vMerge w:val="restart"/>
          </w:tcPr>
          <w:p>
            <w:pPr>
              <w:jc w:val="right"/>
              <w:ind w:right="1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Total revenue increased by $0.1 million, or 0.8%, from $10.0 million during the three months ended March 31, 2019, to $10.1 million during the three months ended March 31, 2020. Product sales increased by $0.6 million or 6.8% from $9.0 million to $9.6 million. The increase was driven by new product sales.</w:t>
      </w:r>
    </w:p>
    <w:p>
      <w:pPr>
        <w:spacing w:after="0" w:line="184"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Licensing, royalty, and other revenue is a highly variable revenue item characterized by a small number of transactions annually with revenue based on size and terms of each transaction. Licensing, royalty, and other revenue decreased by $0.5 million from $1.0 million during the three months ended March 31, 2019, to $0.5 million during the three months ended March 31, 2020. The decrease was primarily due to loss of a customer.</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86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7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228"/>
              <w:spacing w:after="0" w:line="142" w:lineRule="exact"/>
              <w:rPr>
                <w:sz w:val="20"/>
                <w:szCs w:val="20"/>
                <w:color w:val="auto"/>
              </w:rPr>
            </w:pPr>
            <w:r>
              <w:rPr>
                <w:rFonts w:ascii="Arial" w:cs="Arial" w:eastAsia="Arial" w:hAnsi="Arial"/>
                <w:sz w:val="14"/>
                <w:szCs w:val="14"/>
                <w:b w:val="1"/>
                <w:bCs w:val="1"/>
                <w:color w:val="auto"/>
                <w:w w:val="98"/>
              </w:rPr>
              <w:t>Amount</w:t>
            </w:r>
          </w:p>
        </w:tc>
        <w:tc>
          <w:tcPr>
            <w:tcW w:w="3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680" w:type="dxa"/>
            <w:vAlign w:val="bottom"/>
            <w:gridSpan w:val="5"/>
          </w:tcPr>
          <w:p>
            <w:pPr>
              <w:ind w:lef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98"/>
              </w:rPr>
              <w:t>$  4,757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$ 5,241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 (484)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(9.2)%</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Gross margin</w:t>
            </w:r>
          </w:p>
        </w:tc>
        <w:tc>
          <w:tcPr>
            <w:tcW w:w="900" w:type="dxa"/>
            <w:vAlign w:val="bottom"/>
          </w:tcPr>
          <w:p>
            <w:pPr>
              <w:jc w:val="right"/>
              <w:spacing w:after="0"/>
              <w:rPr>
                <w:sz w:val="20"/>
                <w:szCs w:val="20"/>
                <w:color w:val="auto"/>
              </w:rPr>
            </w:pPr>
            <w:r>
              <w:rPr>
                <w:rFonts w:ascii="Arial" w:cs="Arial" w:eastAsia="Arial" w:hAnsi="Arial"/>
                <w:sz w:val="18"/>
                <w:szCs w:val="18"/>
                <w:color w:val="auto"/>
              </w:rPr>
              <w:t>52.9 %</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47.7 %</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59" w:firstLine="324"/>
        <w:spacing w:after="0" w:line="342" w:lineRule="auto"/>
        <w:rPr>
          <w:sz w:val="20"/>
          <w:szCs w:val="20"/>
          <w:color w:val="auto"/>
        </w:rPr>
      </w:pPr>
      <w:r>
        <w:rPr>
          <w:rFonts w:ascii="Arial" w:cs="Arial" w:eastAsia="Arial" w:hAnsi="Arial"/>
          <w:sz w:val="16"/>
          <w:szCs w:val="16"/>
          <w:color w:val="auto"/>
        </w:rPr>
        <w:t>Cost of sales decreased by $0.4 million or 9.2%, from $5.2 million during the three months ended March 31, 2019, to $4.8 million during the three months ended March 31, 2020. The decrease was due to improved manufacturing yields.</w:t>
      </w:r>
    </w:p>
    <w:p>
      <w:pPr>
        <w:spacing w:after="0" w:line="124" w:lineRule="exact"/>
        <w:rPr>
          <w:sz w:val="20"/>
          <w:szCs w:val="20"/>
          <w:color w:val="auto"/>
        </w:rPr>
      </w:pPr>
    </w:p>
    <w:p>
      <w:pPr>
        <w:ind w:left="40" w:right="459"/>
        <w:spacing w:after="0" w:line="259" w:lineRule="auto"/>
        <w:rPr>
          <w:sz w:val="20"/>
          <w:szCs w:val="20"/>
          <w:color w:val="auto"/>
        </w:rPr>
      </w:pPr>
      <w:r>
        <w:rPr>
          <w:rFonts w:ascii="Arial" w:cs="Arial" w:eastAsia="Arial" w:hAnsi="Arial"/>
          <w:sz w:val="18"/>
          <w:szCs w:val="18"/>
          <w:color w:val="auto"/>
        </w:rPr>
        <w:t>Gross margin increased from 47.7% during the three months ended March 31, 2019, to 52.9% during the three months ended March 31, 2020. The increase in gross margin was due to improvements in manufacturing yields of our mature products as well as a one-time benefit from the sell through of previously expensed fully qualified 1Gb STT-MRAM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401"/>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4" w:lineRule="exact"/>
        <w:rPr>
          <w:sz w:val="20"/>
          <w:szCs w:val="20"/>
          <w:color w:val="auto"/>
        </w:rPr>
      </w:pPr>
    </w:p>
    <w:p>
      <w:pPr>
        <w:ind w:left="40" w:right="159" w:firstLine="401"/>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the design and development of our products and technologies, development wafers required to validate and characterize our technology, and expenses associated with our joint development activities.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w:t>
      </w:r>
    </w:p>
    <w:p>
      <w:pPr>
        <w:spacing w:after="0" w:line="38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4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5"/>
              </w:rPr>
              <w:t>$  3,030</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3,998</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 (968)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1120" w:type="dxa"/>
            <w:vAlign w:val="bottom"/>
            <w:gridSpan w:val="2"/>
          </w:tcPr>
          <w:p>
            <w:pPr>
              <w:jc w:val="right"/>
              <w:ind w:right="199"/>
              <w:spacing w:after="0"/>
              <w:rPr>
                <w:sz w:val="20"/>
                <w:szCs w:val="20"/>
                <w:color w:val="auto"/>
              </w:rPr>
            </w:pPr>
            <w:r>
              <w:rPr>
                <w:rFonts w:ascii="Arial" w:cs="Arial" w:eastAsia="Arial" w:hAnsi="Arial"/>
                <w:sz w:val="18"/>
                <w:szCs w:val="18"/>
                <w:color w:val="auto"/>
              </w:rPr>
              <w:t>30 %</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40 %</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Research and development expenses decreased by $1.0 million or 24.2%, from $4.0 million during the three months ended March 31, 2019, to $3.0 million during the three months ended March 31, 2020. The decrease was due to a $0.8 million decrease in expenses incurred in connection with our joint development agreement with GLOBALFOUNDRIES due to less spending on STT-MRAM process and product development, a $0.2 million decrease in employee and contract labor related costs due to a decrease in headcount as a result of our corporate restructuring completed in January 2020, and a $0.2 million decrease in spending on direct materials and supplies used in research and development activities due to the timing of purchases, partially offset by a $0.2 million increase in software costs.</w:t>
      </w:r>
    </w:p>
    <w:p>
      <w:pPr>
        <w:spacing w:after="0" w:line="15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4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5"/>
              </w:rPr>
              <w:t>$  2,800</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3,595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 (795)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120" w:type="dxa"/>
            <w:vAlign w:val="bottom"/>
            <w:gridSpan w:val="2"/>
          </w:tcPr>
          <w:p>
            <w:pPr>
              <w:jc w:val="right"/>
              <w:ind w:right="199"/>
              <w:spacing w:after="0"/>
              <w:rPr>
                <w:sz w:val="20"/>
                <w:szCs w:val="20"/>
                <w:color w:val="auto"/>
              </w:rPr>
            </w:pPr>
            <w:r>
              <w:rPr>
                <w:rFonts w:ascii="Arial" w:cs="Arial" w:eastAsia="Arial" w:hAnsi="Arial"/>
                <w:sz w:val="18"/>
                <w:szCs w:val="18"/>
                <w:color w:val="auto"/>
              </w:rPr>
              <w:t>28 %</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36 %</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by $0.8 million or 22.1%, from</w:t>
      </w:r>
      <w:r>
        <w:rPr>
          <w:rFonts w:ascii="Arial" w:cs="Arial" w:eastAsia="Arial" w:hAnsi="Arial"/>
          <w:sz w:val="18"/>
          <w:szCs w:val="18"/>
          <w:i w:val="1"/>
          <w:iCs w:val="1"/>
          <w:color w:val="auto"/>
        </w:rPr>
        <w:t xml:space="preserve"> </w:t>
      </w:r>
      <w:r>
        <w:rPr>
          <w:rFonts w:ascii="Arial" w:cs="Arial" w:eastAsia="Arial" w:hAnsi="Arial"/>
          <w:sz w:val="18"/>
          <w:szCs w:val="18"/>
          <w:color w:val="auto"/>
        </w:rPr>
        <w:t>$3.6 million during the three months ended March 31, 2019, to $2.8 million during the three months ended March 31, 2020. The decrease was primarily due to a $0.4 million decrease in employee and contract labor related costs due to a decrease in headcount as a result of our corporate restructuring completed in January 2020 and a $0.4 million decrease in professional service related costs.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4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5"/>
              </w:rPr>
              <w:t>$  1,103</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1,364</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 (261)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120" w:type="dxa"/>
            <w:vAlign w:val="bottom"/>
            <w:gridSpan w:val="2"/>
          </w:tcPr>
          <w:p>
            <w:pPr>
              <w:jc w:val="right"/>
              <w:ind w:right="199"/>
              <w:spacing w:after="0"/>
              <w:rPr>
                <w:sz w:val="20"/>
                <w:szCs w:val="20"/>
                <w:color w:val="auto"/>
              </w:rPr>
            </w:pPr>
            <w:r>
              <w:rPr>
                <w:rFonts w:ascii="Arial" w:cs="Arial" w:eastAsia="Arial" w:hAnsi="Arial"/>
                <w:sz w:val="18"/>
                <w:szCs w:val="18"/>
                <w:color w:val="auto"/>
              </w:rPr>
              <w:t>11 %</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14 %</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39" w:firstLine="324"/>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by $0.3 million or 19.1%, from $1.4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2019, to $1.1 million during the three months ended March 31, 2020. The decrease was primarily due to a decrease in employee and contract labor related costs due to a decrease in headcount as a result of our corporate restructuring completed in January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360"/>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gridSpan w:val="4"/>
          </w:tcPr>
          <w:p>
            <w:pPr>
              <w:jc w:val="center"/>
              <w:ind w:right="182"/>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172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  (39)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Interest expense remained relatively flat at $0.2 million during the three months ended March 31, 2020, compared to the three months ended March 31, 2019. The slight decrease was partially due to a decrease in non-cash interest related to the amortization of debt discounts derived from the issuance of a warrant, the end of term fee and debt issuance costs and a decrease in interest paid on our credit facilities as a result of a lower outstanding principal balance under our 2019 credit facilities.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5"/>
              </w:rPr>
              <w:t>Three Months Ended</w:t>
            </w: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240"/>
              <w:spacing w:after="0"/>
              <w:rPr>
                <w:sz w:val="20"/>
                <w:szCs w:val="20"/>
                <w:color w:val="auto"/>
              </w:rPr>
            </w:pPr>
            <w:r>
              <w:rPr>
                <w:rFonts w:ascii="Arial" w:cs="Arial" w:eastAsia="Arial" w:hAnsi="Arial"/>
                <w:sz w:val="14"/>
                <w:szCs w:val="14"/>
                <w:b w:val="1"/>
                <w:bCs w:val="1"/>
                <w:color w:val="auto"/>
              </w:rPr>
              <w:t>March 31,</w:t>
            </w: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 (105)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379" w:firstLine="324"/>
        <w:spacing w:after="0" w:line="263" w:lineRule="auto"/>
        <w:rPr>
          <w:sz w:val="20"/>
          <w:szCs w:val="20"/>
          <w:color w:val="auto"/>
        </w:rPr>
      </w:pPr>
      <w:r>
        <w:rPr>
          <w:rFonts w:ascii="Arial" w:cs="Arial" w:eastAsia="Arial" w:hAnsi="Arial"/>
          <w:sz w:val="18"/>
          <w:szCs w:val="18"/>
          <w:color w:val="auto"/>
        </w:rPr>
        <w:t>Other income, net decreased by $0.1 million during the three months ended March 31, 2020, compared to the three months ended March 31, 2019. The decrease was primarily due to a decrease in interest income earned on our cash balances during the quarter.</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We have generated significant losses since our inception and had an accumulated deficit of $150.4 million as of March 31, 2020, compared to $148.7 million as of December 31, 2019. We have financed our operations primarily through the sale of our common stock in our initial public offering (IPO) and follow-on public offering, sales of our common stock under our at-the-market sales agreement, sales of our redeemable convertible preferred stock, debt financing and the sale of our products. As of March 31, 2020, we had $14.0 million of cash and cash equivalents, compared to $14.5 million as of December 31, 2019.</w:t>
      </w:r>
    </w:p>
    <w:p>
      <w:pPr>
        <w:spacing w:after="0" w:line="192" w:lineRule="exact"/>
        <w:rPr>
          <w:sz w:val="20"/>
          <w:szCs w:val="20"/>
          <w:color w:val="auto"/>
        </w:rPr>
      </w:pPr>
    </w:p>
    <w:p>
      <w:pPr>
        <w:ind w:left="40" w:right="119" w:firstLine="324"/>
        <w:spacing w:after="0" w:line="296" w:lineRule="auto"/>
        <w:rPr>
          <w:sz w:val="20"/>
          <w:szCs w:val="20"/>
          <w:color w:val="auto"/>
        </w:rPr>
      </w:pPr>
      <w:r>
        <w:rPr>
          <w:rFonts w:ascii="Arial" w:cs="Arial" w:eastAsia="Arial" w:hAnsi="Arial"/>
          <w:sz w:val="16"/>
          <w:szCs w:val="16"/>
          <w:color w:val="auto"/>
        </w:rPr>
        <w:t>In May 2017, we executed a Loan and Security Agreement (2017 Credit Facility) with Silicon Valley Bank for a $12.0 million term loan, which we subsequently amended in January 2019 and June 2019. In August 2019, we executed an Amended and Restated Loan and Security Agreement (the 2019 Credit Facility) providing for a formula revolving line of credit (Line of Credit) and a term loan (2019 Term Loan) with Silicon Valley Bank to refinance in full the outstanding principal balance under the 2017 Credit Facility. The 2019 Credit Facility amended and restated the 2017 Credit Facility.</w:t>
      </w:r>
    </w:p>
    <w:p>
      <w:pPr>
        <w:spacing w:after="0" w:line="161"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In August 2019, we entered into an open market sale agreement (2019 Sales Agreement) with Jefferies, LLC (Jefferies), for the offer and sale of shares of our common stock having an aggregate offering of up to $25.0 million from time to time through Jefferies, acting as sales agent. The issuance and sale of these shares by us pursuant to the 2019 Sales Agreement were deemed an “at-the-market” offering under the Securities Act of 1933, as amended. Under the 2019 Sales Agreement, we agreed to pay Jefferies a commission of up to 3% of the gross proceeds of any sales made pursuant to the 2019 Sales Agreement. During the three months ended March 31, 2020, we received net proceeds of $2.1 million after deducting commissions and expenses payable by us, from the sale of 468,427 shares of common stock pursuant to the 2019 Sales Agreement. As of March 31, 2020, we had an aggregate of $17.7 million available for future sales under the 2019 Sales Agreement. The Company has currently suspended ATM sales.</w:t>
      </w:r>
    </w:p>
    <w:p>
      <w:pPr>
        <w:spacing w:after="0" w:line="181" w:lineRule="exact"/>
        <w:rPr>
          <w:sz w:val="20"/>
          <w:szCs w:val="20"/>
          <w:color w:val="auto"/>
        </w:rPr>
      </w:pPr>
    </w:p>
    <w:p>
      <w:pPr>
        <w:ind w:left="40" w:right="139" w:firstLine="324"/>
        <w:spacing w:after="0" w:line="301" w:lineRule="auto"/>
        <w:rPr>
          <w:sz w:val="20"/>
          <w:szCs w:val="20"/>
          <w:color w:val="auto"/>
        </w:rPr>
      </w:pPr>
      <w:r>
        <w:rPr>
          <w:rFonts w:ascii="Arial" w:cs="Arial" w:eastAsia="Arial" w:hAnsi="Arial"/>
          <w:sz w:val="16"/>
          <w:szCs w:val="16"/>
          <w:color w:val="auto"/>
        </w:rPr>
        <w:t>We believe that our existing cash and cash equivalents as of March 31, 2020, coupled with the amount available under our Line of Credit entered into in August 2019, our anticipated growth and sales levels will be sufficient to meet our anticipated cash requirements for at least the next twelve months. Our future capital requirements will depend on many factors, including our revenue growth rate, our ability to control operating expenses and achieve our cost reduction targets.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Three Months Ended</w:t>
      </w:r>
    </w:p>
    <w:p>
      <w:pPr>
        <w:ind w:left="67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5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jc w:val="right"/>
              <w:ind w:right="475"/>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2,082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During the three months ended March 31, 2020, cash used in operating activities was $2.6 million, which consisted of a net loss of $1.7 million, adjusted by non-cash charges of $1.3 million and a change of $2.1 million in our net operating assets and liabilities. The non-cash charges primarily consisted of stock-based compensation of $0.8 million, depreciation and amortization of $0.4 million, and interest expense related to the amortization of debt issuance costs of $0.1 million. The change in our net operating assets and liabilities was primarily due to a decrease of $1.5 million in accounts payable and accrued liabilities due to the timing of payments, an increase in accounts receivable of $0.5 million due to timing of cash receipts for outstanding balances, and an increase of $0.1 million in inventory due to adjusting purchasing practices to meet expected sales volumes.</w:t>
      </w:r>
    </w:p>
    <w:p>
      <w:pPr>
        <w:spacing w:after="0" w:line="178"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During the three months ended March 31, 2019, cash used in operating activities was $3.1 million, which consisted of a net loss of $4.3 million, adjusted by non-cash charges of $1.2 million and a change of $0.1 million in our net operating assets and liabilities. The non-cash charges primarily consisted of stock-based compensation of $0.7 million, depreciation and amortization of $0.4 million, and interest expense related to the amortization of debt issuance costs of $0.1 million. The change in our net operating assets and liabilities was primarily due to a decrease of $1.1 million in accrued liabilities and accounts payable due to a decrease in accrued payroll costs and the timing of payments and an increase of $0.6 million in inventory due to decreased sales. These uses of cash were offset by a decrease in accounts receivable of $1.5 million due to a lower sales volume and timing of cash receipts for outstanding balances and a decrease of $0.1 million in prepaid expenses and other current assets due to the timing of payments.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Cash used in investing activities during the three months ended March 31, 2020 and 2019, was $0.1 million and $0.2 million, respectively, for the purchase of manufacturing and computer equipment.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40" w:right="319" w:firstLine="324"/>
        <w:spacing w:after="0" w:line="263" w:lineRule="auto"/>
        <w:rPr>
          <w:sz w:val="20"/>
          <w:szCs w:val="20"/>
          <w:color w:val="auto"/>
        </w:rPr>
      </w:pPr>
      <w:r>
        <w:rPr>
          <w:rFonts w:ascii="Arial" w:cs="Arial" w:eastAsia="Arial" w:hAnsi="Arial"/>
          <w:sz w:val="18"/>
          <w:szCs w:val="18"/>
          <w:color w:val="auto"/>
        </w:rPr>
        <w:t>Cash provided by financing activities during the three months ended March 31, 2020 was $2.1 million, consisting solely of net proceeds from the sale of our common stock in our at-the-market offering under our 2019 Sales Agreement with Jefferies.</w:t>
      </w:r>
    </w:p>
    <w:p>
      <w:pPr>
        <w:spacing w:after="0" w:line="184"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Cash used in financing activities during the three months ended March 31, 2019, was $1.5 million primarily consisting of $1.5 million in payments of long-term debt.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311" w:lineRule="auto"/>
        <w:rPr>
          <w:sz w:val="20"/>
          <w:szCs w:val="20"/>
          <w:color w:val="auto"/>
        </w:rPr>
      </w:pPr>
      <w:r>
        <w:rPr>
          <w:rFonts w:ascii="Arial" w:cs="Arial" w:eastAsia="Arial" w:hAnsi="Arial"/>
          <w:sz w:val="16"/>
          <w:szCs w:val="16"/>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color w:val="auto"/>
        </w:rPr>
        <w:t>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left="40" w:right="179" w:firstLine="324"/>
        <w:spacing w:after="0" w:line="286" w:lineRule="auto"/>
        <w:rPr>
          <w:sz w:val="20"/>
          <w:szCs w:val="20"/>
          <w:color w:val="auto"/>
        </w:rPr>
      </w:pPr>
      <w:r>
        <w:rPr>
          <w:rFonts w:ascii="Arial" w:cs="Arial" w:eastAsia="Arial" w:hAnsi="Arial"/>
          <w:sz w:val="17"/>
          <w:szCs w:val="17"/>
          <w:color w:val="auto"/>
        </w:rPr>
        <w:t>There have been no changes to our critical accounting policies and estimates described in the Annual Report on Form 10-K for the year ended December 31, 2019, filed with the Securities and Exchange Commission (SEC) on March 12, 2020, that have had a material impact on our condensed financial statements and related notes.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40" w:right="279" w:firstLine="324"/>
        <w:spacing w:after="0" w:line="279" w:lineRule="auto"/>
        <w:rPr>
          <w:sz w:val="20"/>
          <w:szCs w:val="20"/>
          <w:color w:val="auto"/>
        </w:rPr>
      </w:pPr>
      <w:r>
        <w:rPr>
          <w:rFonts w:ascii="Arial" w:cs="Arial" w:eastAsia="Arial" w:hAnsi="Arial"/>
          <w:sz w:val="17"/>
          <w:szCs w:val="17"/>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13a-15(e) and 15d-15(e) under the Securities Exchange Act of 1934, as amended), as of March 31, 2020, the end of the period covered by this quarterly report on Form 10-Q.</w:t>
      </w:r>
    </w:p>
    <w:p>
      <w:pPr>
        <w:spacing w:after="0" w:line="171"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Based on this evaluation, our CEO and CFO concluded that our disclosure controls and procedures were effective at the reasonable assurance level as of March 31, 2020.</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In connection with the preparation of our unaudited condensed financial statements for the quarter ended September 30, 2018, we identified an error in the previously filed financial statements that has caused us to restate and amend the our previously issued condensed financial statements and related financial information as of and for the three and six months ended June 30, 2018. This error was the result of a material weakness in our internal control over financial reporting, which we are remediating as of March 31, 2020 through the plan outlined below.</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Management’s plan to remediate the material weakness.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remediate this material weakness, we took the following actions:</w:t>
      </w:r>
    </w:p>
    <w:p>
      <w:pPr>
        <w:spacing w:after="0" w:line="225" w:lineRule="exact"/>
        <w:rPr>
          <w:sz w:val="20"/>
          <w:szCs w:val="20"/>
          <w:color w:val="auto"/>
        </w:rPr>
      </w:pPr>
    </w:p>
    <w:p>
      <w:pPr>
        <w:ind w:left="600" w:right="259" w:hanging="232"/>
        <w:spacing w:after="0" w:line="263"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updated our information technology tools, including our ERP system, to enhance our ability to monitor inventory and its movement through our manufacturing process and to provide checks and balances to third-party reports.</w:t>
      </w:r>
    </w:p>
    <w:p>
      <w:pPr>
        <w:spacing w:after="0" w:line="183" w:lineRule="exact"/>
        <w:rPr>
          <w:rFonts w:ascii="Arial" w:cs="Arial" w:eastAsia="Arial" w:hAnsi="Arial"/>
          <w:sz w:val="18"/>
          <w:szCs w:val="18"/>
          <w:color w:val="auto"/>
        </w:rPr>
      </w:pPr>
    </w:p>
    <w:p>
      <w:pPr>
        <w:ind w:left="600" w:right="339" w:hanging="23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put in place management dashboard tools to alert all involved as to the performance of inventory against our business goals.</w:t>
      </w:r>
    </w:p>
    <w:p>
      <w:pPr>
        <w:spacing w:after="0" w:line="170" w:lineRule="exact"/>
        <w:rPr>
          <w:rFonts w:ascii="Arial" w:cs="Arial" w:eastAsia="Arial" w:hAnsi="Arial"/>
          <w:sz w:val="18"/>
          <w:szCs w:val="18"/>
          <w:color w:val="auto"/>
        </w:rPr>
      </w:pPr>
    </w:p>
    <w:p>
      <w:pPr>
        <w:ind w:left="600" w:right="619" w:hanging="23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established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600" w:right="279" w:hanging="23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provided additional training to our Operations Teams and updating procedures with our third-party Assembly Houses.</w:t>
      </w:r>
    </w:p>
    <w:p>
      <w:pPr>
        <w:spacing w:after="0" w:line="170" w:lineRule="exact"/>
        <w:rPr>
          <w:rFonts w:ascii="Arial" w:cs="Arial" w:eastAsia="Arial" w:hAnsi="Arial"/>
          <w:sz w:val="18"/>
          <w:szCs w:val="18"/>
          <w:color w:val="auto"/>
        </w:rPr>
      </w:pPr>
    </w:p>
    <w:p>
      <w:pPr>
        <w:ind w:left="600" w:right="99" w:hanging="23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additional qualified personnel to assist management with its financial statement close process and provide oversight of our financial reporting.</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As of January 1, 2020, we implemented the new ERP system. We will continue to monitor stability of the platform and further enhance the business controls around inventory management. We continue to assess our accounting policies and internal controls documentation to ensure they are effective in helping us manage the business.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40" w:right="239" w:firstLine="324"/>
        <w:spacing w:after="0" w:line="259" w:lineRule="auto"/>
        <w:rPr>
          <w:sz w:val="20"/>
          <w:szCs w:val="20"/>
          <w:color w:val="auto"/>
        </w:rPr>
      </w:pPr>
      <w:r>
        <w:rPr>
          <w:rFonts w:ascii="Arial" w:cs="Arial" w:eastAsia="Arial" w:hAnsi="Arial"/>
          <w:sz w:val="18"/>
          <w:szCs w:val="18"/>
          <w:color w:val="auto"/>
        </w:rPr>
        <w:t>Except with respect to the remediation described above, there have been no changes in our internal control over financial reporting (as defined in Rules 13a-15(e) and 15d-15(e) under the Securities Exchange Act of 1934, as amended) that occurred during the three months ended March 31, 2020 that have materially affected, or are reasonably likely to materially affect, our internal control over financial reporting.</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 In addition, many of the following risks and uncertainties may be exacerbated by the COVID-19 pandemic and any worsening of the global business and economic environment as a result.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color w:val="auto"/>
        </w:rPr>
        <w:t>Our total revenue was approximately $10.1 million for the three months ended March 31, 2020, and $37.5 million for the year ended December 31, 2019, and, as of March 31, 2020, we had cash and cash equivalents of approximately $14.0 million. Our existing capital may be insufficient to meet our long-term requirements. Based on our current operating plan including the execution of our reorganization plan announced in January 2020, we believe our cash and cash equivalents and availability under our revolving line of credit facility will be sufficient to fund our operating requirements for at least 12 months. Our reorganization plan completed in January 2020, which included a reduction in headcount of approximately 15%, was done to reduce operating expenses, increase operating efficiency and enhance our ability to become profitable.</w:t>
      </w:r>
    </w:p>
    <w:p>
      <w:pPr>
        <w:spacing w:after="0" w:line="166" w:lineRule="exact"/>
        <w:rPr>
          <w:sz w:val="20"/>
          <w:szCs w:val="20"/>
          <w:color w:val="auto"/>
        </w:rPr>
      </w:pPr>
    </w:p>
    <w:p>
      <w:pPr>
        <w:ind w:left="40" w:right="139" w:firstLine="324"/>
        <w:spacing w:after="0" w:line="275" w:lineRule="auto"/>
        <w:rPr>
          <w:sz w:val="20"/>
          <w:szCs w:val="20"/>
          <w:color w:val="auto"/>
        </w:rPr>
      </w:pPr>
      <w:r>
        <w:rPr>
          <w:rFonts w:ascii="Arial" w:cs="Arial" w:eastAsia="Arial" w:hAnsi="Arial"/>
          <w:sz w:val="17"/>
          <w:szCs w:val="17"/>
          <w:color w:val="auto"/>
        </w:rPr>
        <w:t>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76"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8"/>
          <w:szCs w:val="18"/>
          <w:color w:val="auto"/>
        </w:rPr>
        <w:t>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COVID-19 Pandemic is having and may continue to have an adverse impact on our business.</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The full long-term impact of the coronavirus 2019 (COVID-19) on our business is uncertain and we are unable to predict the impacts it will have going forward. Recent impacts included the extended China factory shutdowns that resulted from the COVID-19 outbreak, which created a longer than usual pause in new orders and we believe also slowed Toggle demand growth in the weeks since then. We continue to see an impact as reflected in reduced demand from some customers and distributors. Further, the remote working environment we have implemented for our employees has had some impact on manufacturing yield improvement projects given delays in data gathering, analysis and inefficiencies of teams solving technical problems via remote-only means, which impacts our cost of sales. Although we will continue to monitor the situation and take further actions, which may include further altering our operations, in order to protect the best interests of our employees, customers and suppliers and comply with government requirements, the ultimate duration or severity of the COVID-19 pandemic is unknown, and we cannot predict how much, or for how long, we will be impacted by this pandemic.</w:t>
      </w:r>
    </w:p>
    <w:p>
      <w:pPr>
        <w:spacing w:after="0" w:line="182"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left="40" w:right="159" w:firstLine="324"/>
        <w:spacing w:after="0" w:line="273" w:lineRule="auto"/>
        <w:rPr>
          <w:sz w:val="20"/>
          <w:szCs w:val="20"/>
          <w:color w:val="auto"/>
        </w:rPr>
      </w:pPr>
      <w:r>
        <w:rPr>
          <w:rFonts w:ascii="Arial" w:cs="Arial" w:eastAsia="Arial" w:hAnsi="Arial"/>
          <w:sz w:val="17"/>
          <w:szCs w:val="17"/>
          <w:color w:val="auto"/>
        </w:rPr>
        <w:t>We have incurred net losses since our inception. We incurred net losses of $14.7 million and $1.7 million for the year ended December 31, 2019, and the three months ended March 31, 2020, respectively. As of March 31, 2020, we had an accumulated deficit of $150.4 million. Our restructuring plan completed in January 2020, which targets achieving cash-flow break even on a quarterly basis by the end of 2020, is dependent on controlling expenses, growing revenue, and achieving specific product cost objectives. One or more of these financial metrics may not be achieved and pose a significant risk to our ability to achieve our cash-flow objective.</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the projected recession resulting from the COVID-19 pandemic, increased competition,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to transition to profitability and generate consistent positive cash flows is uncertain.</w:t>
      </w:r>
    </w:p>
    <w:p>
      <w:pPr>
        <w:spacing w:after="0" w:line="181"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If we fail to generate sufficient revenue to support our operations, we may not be able to achieve or sustain profitability. If revenue does not grow sufficiently, we may not be able to meet our debt covenants, including the liquidity ratio and sales targets.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4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7"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enterprise storage industries and changes in macroeconomic conditions. If we do not manage these risks and overcome these difficulties successfully, our business will suffer.</w:t>
      </w:r>
    </w:p>
    <w:p>
      <w:pPr>
        <w:spacing w:after="0" w:line="129" w:lineRule="exact"/>
        <w:rPr>
          <w:sz w:val="20"/>
          <w:szCs w:val="20"/>
          <w:color w:val="auto"/>
        </w:rPr>
      </w:pPr>
    </w:p>
    <w:p>
      <w:pPr>
        <w:ind w:left="40" w:right="499"/>
        <w:spacing w:after="0" w:line="263"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4" w:lineRule="exact"/>
        <w:rPr>
          <w:sz w:val="20"/>
          <w:szCs w:val="20"/>
          <w:color w:val="auto"/>
        </w:rPr>
      </w:pPr>
    </w:p>
    <w:p>
      <w:pPr>
        <w:ind w:left="40" w:right="79" w:firstLine="401"/>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40" w:right="119" w:firstLine="401"/>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9" w:lineRule="exact"/>
        <w:rPr>
          <w:sz w:val="20"/>
          <w:szCs w:val="20"/>
          <w:color w:val="auto"/>
        </w:rPr>
      </w:pPr>
    </w:p>
    <w:p>
      <w:pPr>
        <w:jc w:val="both"/>
        <w:ind w:left="4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left="40" w:right="63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620" w:right="219" w:firstLine="29"/>
        <w:spacing w:after="0" w:line="263"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capacity and materials shortages during periods of high demand;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reduced control over delivery schedules, inventories and quality;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misappropriation of our intellectual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exclusive representatives for certain customer engagements;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limited warranties on wafers or products supplied to us;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w:t>
      </w:r>
    </w:p>
    <w:p>
      <w:pPr>
        <w:sectPr>
          <w:pgSz w:w="11900" w:h="16838" w:orient="portrait"/>
          <w:cols w:equalWidth="0" w:num="1">
            <w:col w:w="9019"/>
          </w:cols>
          <w:pgMar w:left="1440" w:top="125"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99"/>
        <w:spacing w:after="0" w:line="254" w:lineRule="auto"/>
        <w:rPr>
          <w:sz w:val="20"/>
          <w:szCs w:val="20"/>
          <w:color w:val="auto"/>
        </w:rPr>
      </w:pPr>
      <w:r>
        <w:rPr>
          <w:rFonts w:ascii="Arial" w:cs="Arial" w:eastAsia="Arial" w:hAnsi="Arial"/>
          <w:sz w:val="18"/>
          <w:szCs w:val="18"/>
          <w:color w:val="auto"/>
        </w:rPr>
        <w:t>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92"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2" w:lineRule="exact"/>
        <w:rPr>
          <w:sz w:val="20"/>
          <w:szCs w:val="20"/>
          <w:color w:val="auto"/>
        </w:rPr>
      </w:pPr>
    </w:p>
    <w:p>
      <w:pPr>
        <w:ind w:left="40" w:right="219"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5" w:lineRule="exact"/>
        <w:rPr>
          <w:sz w:val="20"/>
          <w:szCs w:val="20"/>
          <w:color w:val="auto"/>
        </w:rPr>
      </w:pPr>
    </w:p>
    <w:p>
      <w:pPr>
        <w:ind w:left="620" w:right="219" w:firstLine="29"/>
        <w:spacing w:after="0" w:line="263"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experience difficulties in transferring technology to a foundry;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control over the operations of foundries is limited;</w:t>
      </w:r>
    </w:p>
    <w:p>
      <w:pPr>
        <w:spacing w:after="0" w:line="225" w:lineRule="exact"/>
        <w:rPr>
          <w:sz w:val="20"/>
          <w:szCs w:val="20"/>
          <w:color w:val="auto"/>
        </w:rPr>
      </w:pPr>
    </w:p>
    <w:p>
      <w:pPr>
        <w:ind w:left="620" w:right="299" w:firstLine="29"/>
        <w:spacing w:after="0" w:line="277" w:lineRule="auto"/>
        <w:rPr>
          <w:sz w:val="20"/>
          <w:szCs w:val="20"/>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sz w:val="20"/>
          <w:szCs w:val="20"/>
          <w:color w:val="auto"/>
        </w:rPr>
      </w:pPr>
    </w:p>
    <w:p>
      <w:pPr>
        <w:ind w:left="620" w:right="639" w:firstLine="29"/>
        <w:spacing w:after="0" w:line="308" w:lineRule="auto"/>
        <w:rPr>
          <w:sz w:val="20"/>
          <w:szCs w:val="20"/>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may be inadequate to fund increased capital requirements;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our arrangements may turn out to be unfavorable;</w:t>
      </w:r>
    </w:p>
    <w:p>
      <w:pPr>
        <w:spacing w:after="0" w:line="225" w:lineRule="exact"/>
        <w:rPr>
          <w:sz w:val="20"/>
          <w:szCs w:val="20"/>
          <w:color w:val="auto"/>
        </w:rPr>
      </w:pPr>
    </w:p>
    <w:p>
      <w:pPr>
        <w:ind w:left="620" w:right="79" w:firstLine="29"/>
        <w:spacing w:after="0" w:line="277" w:lineRule="auto"/>
        <w:rPr>
          <w:sz w:val="20"/>
          <w:szCs w:val="20"/>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term of the agreement, as amended, is the completion, termination, or expiration of the last statement of work</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entered into pursuant to the joint development agreement.</w:t>
      </w:r>
    </w:p>
    <w:p>
      <w:pPr>
        <w:spacing w:after="0" w:line="225"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84"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2"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our business will be adversely affected. In addition, the adverse impact of an unfavorable economy may adversely impact consumer spending, which may adversely impact our customers’ spending and demand for our products.</w:t>
      </w:r>
    </w:p>
    <w:p>
      <w:pPr>
        <w:spacing w:after="0" w:line="178"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we generated limited revenue from sales of our STT-MRAM products to date. While we expect revenue from our STT-MRAM products to increase, if we are unable to generate more customer adoption of our 1Gb product and address new growth opportunities with subsequent STT-</w:t>
      </w:r>
    </w:p>
    <w:p>
      <w:pPr>
        <w:sectPr>
          <w:pgSz w:w="11900" w:h="16838" w:orient="portrait"/>
          <w:cols w:equalWidth="0" w:num="1">
            <w:col w:w="9019"/>
          </w:cols>
          <w:pgMar w:left="1440" w:top="125"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4" w:lineRule="exact"/>
        <w:rPr>
          <w:sz w:val="20"/>
          <w:szCs w:val="20"/>
          <w:color w:val="auto"/>
        </w:rPr>
      </w:pPr>
    </w:p>
    <w:p>
      <w:pPr>
        <w:ind w:left="40" w:right="87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We sell to customers, including original equipment manufacturers (OEMs) and original design manufacturers (ODMs),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72" w:lineRule="exact"/>
        <w:rPr>
          <w:sz w:val="20"/>
          <w:szCs w:val="20"/>
          <w:color w:val="auto"/>
        </w:rPr>
      </w:pPr>
    </w:p>
    <w:p>
      <w:pPr>
        <w:ind w:left="40" w:right="179" w:firstLine="324"/>
        <w:spacing w:after="0" w:line="291" w:lineRule="auto"/>
        <w:rPr>
          <w:sz w:val="20"/>
          <w:szCs w:val="20"/>
          <w:color w:val="auto"/>
        </w:rPr>
      </w:pPr>
      <w:r>
        <w:rPr>
          <w:rFonts w:ascii="Arial" w:cs="Arial" w:eastAsia="Arial" w:hAnsi="Arial"/>
          <w:sz w:val="16"/>
          <w:szCs w:val="16"/>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382"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24% of our total revenue for the three months ended March 31, 2020, and none of these customers accounted for more than 10% of our revenue during that period. Our four largest end customers together accounted for 22% of our total revenue for the year ended December 31, 2019,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6"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significant investments to compete more effectively against our products. These competitors could develop technologies or architectures that make our products or technologies obsolete.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relationships with our customers and other industry participants;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of our products and prices of our competitors’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develop innovative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competitors’ greater resources to make acquisitions;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obtain adequate capital to finance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sz w:val="20"/>
          <w:szCs w:val="20"/>
          <w:color w:val="auto"/>
        </w:rPr>
      </w:pPr>
    </w:p>
    <w:p>
      <w:pPr>
        <w:ind w:left="620" w:right="539" w:firstLine="29"/>
        <w:spacing w:after="0" w:line="277" w:lineRule="auto"/>
        <w:rPr>
          <w:sz w:val="20"/>
          <w:szCs w:val="20"/>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2"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2"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jc w:val="both"/>
        <w:ind w:left="40" w:right="239" w:firstLine="324"/>
        <w:spacing w:after="0" w:line="311"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259"/>
        <w:spacing w:after="0" w:line="296" w:lineRule="auto"/>
        <w:rPr>
          <w:sz w:val="20"/>
          <w:szCs w:val="20"/>
          <w:color w:val="auto"/>
        </w:rPr>
      </w:pPr>
      <w:r>
        <w:rPr>
          <w:rFonts w:ascii="Arial" w:cs="Arial" w:eastAsia="Arial" w:hAnsi="Arial"/>
          <w:sz w:val="16"/>
          <w:szCs w:val="16"/>
          <w:color w:val="auto"/>
        </w:rPr>
        <w:t>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Any such problems could result in: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delays in development, manufacture and roll-out of new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development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of, or delays in, market acceptance;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diversion of technical and other resources from our other development efforts;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claims for damages by our customers or others against us;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72" w:lineRule="exact"/>
        <w:rPr>
          <w:sz w:val="20"/>
          <w:szCs w:val="20"/>
          <w:color w:val="auto"/>
        </w:rPr>
      </w:pPr>
    </w:p>
    <w:p>
      <w:pPr>
        <w:ind w:left="40" w:right="199" w:firstLine="324"/>
        <w:spacing w:after="0" w:line="269"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increase product value. We are dependent on our relationships with our third-party foundries to transition to smaller geometry processes successfully. We cannot assure our stockholders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85"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w:t>
      </w:r>
    </w:p>
    <w:p>
      <w:pPr>
        <w:sectPr>
          <w:pgSz w:w="11900" w:h="16838" w:orient="portrait"/>
          <w:cols w:equalWidth="0" w:num="1">
            <w:col w:w="9019"/>
          </w:cols>
          <w:pgMar w:left="1440" w:top="125"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their products and solutions. These technical requirements may change as the customer introduces new or enhanced products and solutions.</w:t>
      </w:r>
    </w:p>
    <w:p>
      <w:pPr>
        <w:spacing w:after="0" w:line="170"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2"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76"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6"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 substantial damages for infringement;</w:t>
      </w:r>
    </w:p>
    <w:p>
      <w:pPr>
        <w:spacing w:after="0" w:line="225" w:lineRule="exact"/>
        <w:rPr>
          <w:sz w:val="20"/>
          <w:szCs w:val="20"/>
          <w:color w:val="auto"/>
        </w:rPr>
      </w:pPr>
    </w:p>
    <w:p>
      <w:pPr>
        <w:ind w:left="620" w:right="579" w:firstLine="29"/>
        <w:spacing w:after="0" w:line="277" w:lineRule="auto"/>
        <w:rPr>
          <w:sz w:val="20"/>
          <w:szCs w:val="20"/>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sz w:val="20"/>
          <w:szCs w:val="20"/>
          <w:color w:val="auto"/>
        </w:rPr>
      </w:pPr>
    </w:p>
    <w:p>
      <w:pPr>
        <w:ind w:left="620" w:right="1059" w:firstLine="29"/>
        <w:spacing w:after="0" w:line="277" w:lineRule="auto"/>
        <w:rPr>
          <w:sz w:val="20"/>
          <w:szCs w:val="20"/>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sz w:val="20"/>
          <w:szCs w:val="20"/>
          <w:color w:val="auto"/>
        </w:rPr>
      </w:pPr>
    </w:p>
    <w:p>
      <w:pPr>
        <w:ind w:left="620" w:right="239" w:firstLine="29"/>
        <w:spacing w:after="0" w:line="277" w:lineRule="auto"/>
        <w:rPr>
          <w:sz w:val="20"/>
          <w:szCs w:val="20"/>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sz w:val="20"/>
          <w:szCs w:val="20"/>
          <w:color w:val="auto"/>
        </w:rPr>
      </w:pPr>
    </w:p>
    <w:p>
      <w:pPr>
        <w:ind w:left="620" w:right="379" w:firstLine="29"/>
        <w:spacing w:after="0" w:line="277" w:lineRule="auto"/>
        <w:rPr>
          <w:sz w:val="20"/>
          <w:szCs w:val="20"/>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7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w:t>
      </w:r>
    </w:p>
    <w:p>
      <w:pPr>
        <w:sectPr>
          <w:pgSz w:w="11900" w:h="16838" w:orient="portrait"/>
          <w:cols w:equalWidth="0" w:num="1">
            <w:col w:w="9019"/>
          </w:cols>
          <w:pgMar w:left="1440" w:top="125"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339"/>
        <w:spacing w:after="0" w:line="277" w:lineRule="auto"/>
        <w:rPr>
          <w:sz w:val="20"/>
          <w:szCs w:val="20"/>
          <w:color w:val="auto"/>
        </w:rPr>
      </w:pPr>
      <w:r>
        <w:rPr>
          <w:rFonts w:ascii="Arial" w:cs="Arial" w:eastAsia="Arial" w:hAnsi="Arial"/>
          <w:sz w:val="18"/>
          <w:szCs w:val="18"/>
          <w:color w:val="auto"/>
        </w:rPr>
        <w:t>especially our key engineers, or our inability to attract and retain qualified engineers, could harm our business, financial condition and results of operations.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We are seeking to expand our operations outside of the United States which exposes us to significant risks.</w:t>
      </w:r>
    </w:p>
    <w:p>
      <w:pPr>
        <w:spacing w:after="0" w:line="237"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longer and more difficult customer qualification and credit checks;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greater difficulty collecting accounts receivable and longer payment cycles;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need for various local approvals to operate in some countries;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compliance with local laws and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sz w:val="20"/>
          <w:szCs w:val="20"/>
          <w:color w:val="auto"/>
        </w:rPr>
      </w:pPr>
    </w:p>
    <w:p>
      <w:pPr>
        <w:ind w:left="620" w:right="519" w:firstLine="29"/>
        <w:spacing w:after="0" w:line="277" w:lineRule="auto"/>
        <w:rPr>
          <w:sz w:val="20"/>
          <w:szCs w:val="20"/>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sz w:val="20"/>
          <w:szCs w:val="20"/>
          <w:color w:val="auto"/>
        </w:rPr>
      </w:pPr>
    </w:p>
    <w:p>
      <w:pPr>
        <w:ind w:left="620" w:right="139" w:firstLine="29"/>
        <w:spacing w:after="0" w:line="277" w:lineRule="auto"/>
        <w:rPr>
          <w:sz w:val="20"/>
          <w:szCs w:val="20"/>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sz w:val="20"/>
          <w:szCs w:val="20"/>
          <w:color w:val="auto"/>
        </w:rPr>
      </w:pPr>
    </w:p>
    <w:p>
      <w:pPr>
        <w:ind w:left="620" w:right="59" w:firstLine="29"/>
        <w:spacing w:after="0" w:line="259" w:lineRule="auto"/>
        <w:rPr>
          <w:sz w:val="20"/>
          <w:szCs w:val="20"/>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and different sources of competition;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w:t>
      </w:r>
    </w:p>
    <w:p>
      <w:pPr>
        <w:sectPr>
          <w:pgSz w:w="11900" w:h="16838" w:orient="portrait"/>
          <w:cols w:equalWidth="0" w:num="1">
            <w:col w:w="9019"/>
          </w:cols>
          <w:pgMar w:left="1440" w:top="125"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79"/>
        <w:spacing w:after="0" w:line="290" w:lineRule="auto"/>
        <w:rPr>
          <w:sz w:val="20"/>
          <w:szCs w:val="20"/>
          <w:color w:val="auto"/>
        </w:rPr>
      </w:pPr>
      <w:r>
        <w:rPr>
          <w:rFonts w:ascii="Arial" w:cs="Arial" w:eastAsia="Arial" w:hAnsi="Arial"/>
          <w:sz w:val="16"/>
          <w:szCs w:val="16"/>
          <w:color w:val="auto"/>
        </w:rPr>
        <w:t>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65"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7" w:lineRule="exact"/>
        <w:rPr>
          <w:sz w:val="20"/>
          <w:szCs w:val="20"/>
          <w:color w:val="auto"/>
        </w:rPr>
      </w:pPr>
    </w:p>
    <w:p>
      <w:pPr>
        <w:ind w:left="40" w:right="299"/>
        <w:spacing w:after="0" w:line="381"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left="40" w:right="579" w:firstLine="324"/>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dispose of or sell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 or merge with other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create liens on our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 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make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enter into transactions with affiliates;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40" w:right="79" w:firstLine="324"/>
        <w:spacing w:after="0" w:line="267"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2019, we had federal net operating loss carryforwards of approximately $131.8 million of which $99.8 million will begin to expire in 2028 if not utilized, and $32.0 million will carryover indefinitely. As of December 31, 2019, we had state net operating loss carryforwards of approximately $50.2 million of which $48.5 million will begin to expire in 2023 if not utilized, and $1.7 million will carryover indefinitely. The federal NOLs generated prior to 2018 will continue to be governed by the NOL tax rules as they existed prior to the adoption of the changes in the tax laws that occurred in 2017, which means that generally they will expire 20 years after they were generated if not used prior thereto. The changes in the tax law that occurred in 2017 repealed the 20-year carryforward and two-year carryback of NOLs originating after December 31, 2017 and also limits the NOL deduction to 80% of taxable income for tax years beginning after December 31, 2017. Any NOLs generated in 2018 will be carried forward and will not expire. There is no current impact to the us as we continue to be in a tax loss position for US tax purposes.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91" w:lineRule="exact"/>
        <w:rPr>
          <w:sz w:val="20"/>
          <w:szCs w:val="20"/>
          <w:color w:val="auto"/>
        </w:rPr>
      </w:pPr>
    </w:p>
    <w:p>
      <w:pPr>
        <w:ind w:left="40" w:right="179"/>
        <w:spacing w:after="0" w:line="311"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9" w:lineRule="exact"/>
        <w:rPr>
          <w:sz w:val="20"/>
          <w:szCs w:val="20"/>
          <w:color w:val="auto"/>
        </w:rPr>
      </w:pPr>
    </w:p>
    <w:p>
      <w:pPr>
        <w:ind w:left="40" w:right="179" w:firstLine="324"/>
        <w:spacing w:after="0" w:line="289" w:lineRule="auto"/>
        <w:rPr>
          <w:sz w:val="20"/>
          <w:szCs w:val="20"/>
          <w:color w:val="auto"/>
        </w:rPr>
      </w:pPr>
      <w:r>
        <w:rPr>
          <w:rFonts w:ascii="Arial" w:cs="Arial" w:eastAsia="Arial" w:hAnsi="Arial"/>
          <w:sz w:val="16"/>
          <w:szCs w:val="16"/>
          <w:color w:val="auto"/>
        </w:rPr>
        <w:t>We have accounting and finance staff members to maintain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40" w:right="19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5"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40" w:right="299" w:firstLine="324"/>
        <w:spacing w:after="0" w:line="311" w:lineRule="auto"/>
        <w:rPr>
          <w:sz w:val="20"/>
          <w:szCs w:val="20"/>
          <w:color w:val="auto"/>
        </w:rPr>
      </w:pPr>
      <w:r>
        <w:rPr>
          <w:rFonts w:ascii="Arial" w:cs="Arial" w:eastAsia="Arial" w:hAnsi="Arial"/>
          <w:sz w:val="16"/>
          <w:szCs w:val="16"/>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color w:val="auto"/>
        </w:rPr>
        <w:t>third-party service providers could negatively impact our business, operations and financial results, as well as our relationship with our customers.</w:t>
      </w:r>
    </w:p>
    <w:p>
      <w:pPr>
        <w:spacing w:after="0" w:line="170"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237" w:lineRule="exact"/>
        <w:rPr>
          <w:sz w:val="20"/>
          <w:szCs w:val="20"/>
          <w:color w:val="auto"/>
        </w:rPr>
      </w:pPr>
    </w:p>
    <w:p>
      <w:pPr>
        <w:jc w:val="both"/>
        <w:ind w:left="40" w:right="479" w:firstLine="324"/>
        <w:spacing w:after="0" w:line="286" w:lineRule="auto"/>
        <w:rPr>
          <w:sz w:val="20"/>
          <w:szCs w:val="20"/>
          <w:color w:val="auto"/>
        </w:rPr>
      </w:pPr>
      <w:r>
        <w:rPr>
          <w:rFonts w:ascii="Arial" w:cs="Arial" w:eastAsia="Arial" w:hAnsi="Arial"/>
          <w:sz w:val="17"/>
          <w:szCs w:val="17"/>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receipt, reduction, delay or cancellation of orders by large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gain or loss of significant customers or distributors;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and success of our launch of new or enhanced products and those of our competitors;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acceptance of our products and our customers’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level of growth or decline in the industrial, automotive, transportation, enterprise storage and other markets;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and extent of research and development and sales and marketing expenditures;</w:t>
      </w:r>
    </w:p>
    <w:p>
      <w:pPr>
        <w:spacing w:after="0" w:line="225" w:lineRule="exact"/>
        <w:rPr>
          <w:sz w:val="20"/>
          <w:szCs w:val="20"/>
          <w:color w:val="auto"/>
        </w:rPr>
      </w:pPr>
    </w:p>
    <w:p>
      <w:pPr>
        <w:ind w:left="620" w:right="139" w:firstLine="29"/>
        <w:spacing w:after="0" w:line="277" w:lineRule="auto"/>
        <w:rPr>
          <w:sz w:val="20"/>
          <w:szCs w:val="20"/>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our product mix;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reduce the manufacturing costs of our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competitive pressures resulting in lower than expected average selling prices;</w:t>
      </w:r>
    </w:p>
    <w:p>
      <w:pPr>
        <w:spacing w:after="0" w:line="225" w:lineRule="exact"/>
        <w:rPr>
          <w:sz w:val="20"/>
          <w:szCs w:val="20"/>
          <w:color w:val="auto"/>
        </w:rPr>
      </w:pPr>
    </w:p>
    <w:p>
      <w:pPr>
        <w:ind w:left="620" w:right="319" w:firstLine="29"/>
        <w:spacing w:after="0" w:line="277" w:lineRule="auto"/>
        <w:rPr>
          <w:sz w:val="20"/>
          <w:szCs w:val="20"/>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cyclical and seasonal fluctuations in our 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fluctuations in the manufacturing yields of our third-party manufacturers;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quality issues that arise from manufacturing issues at our third-party manufacturers;</w:t>
      </w:r>
    </w:p>
    <w:p>
      <w:pPr>
        <w:spacing w:after="0" w:line="225" w:lineRule="exact"/>
        <w:rPr>
          <w:sz w:val="20"/>
          <w:szCs w:val="20"/>
          <w:color w:val="auto"/>
        </w:rPr>
      </w:pPr>
    </w:p>
    <w:p>
      <w:pPr>
        <w:jc w:val="both"/>
        <w:ind w:left="620" w:right="179" w:firstLine="29"/>
        <w:spacing w:after="0" w:line="263" w:lineRule="auto"/>
        <w:rPr>
          <w:sz w:val="20"/>
          <w:szCs w:val="20"/>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of expenses related to the acquisition of technologies or businesses;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rates of return or price concessions in excess of those expected or forecasted;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associated with the repair and replacement of defective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unexpected inventory write-downs or write-offs;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associated with litigation over intellectual property rights and other litigation;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accounting standards, such as revenue recognition, which we were required to adopt beginning in 2018;</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tax laws, such as the Tax Cuts and Jobs Act of 2017 recently enacted;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length and unpredictability of the purchasing and budgeting cycles of our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of key personnel or the inability to attract qualified engineers;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left="40" w:right="159" w:firstLine="324"/>
        <w:spacing w:after="0" w:line="296"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40" w:right="51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liability claims or other litigation;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earnings estimates or recommendations by securities analysts; and</w:t>
      </w:r>
    </w:p>
    <w:p>
      <w:pPr>
        <w:spacing w:after="0" w:line="225" w:lineRule="exact"/>
        <w:rPr>
          <w:sz w:val="20"/>
          <w:szCs w:val="20"/>
          <w:color w:val="auto"/>
        </w:rPr>
      </w:pPr>
    </w:p>
    <w:p>
      <w:pPr>
        <w:ind w:left="620" w:right="619" w:firstLine="29"/>
        <w:spacing w:after="0" w:line="277" w:lineRule="auto"/>
        <w:rPr>
          <w:sz w:val="20"/>
          <w:szCs w:val="20"/>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40" w:right="339" w:firstLine="324"/>
        <w:spacing w:after="0" w:line="259"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87" w:lineRule="exact"/>
        <w:rPr>
          <w:sz w:val="20"/>
          <w:szCs w:val="20"/>
          <w:color w:val="auto"/>
        </w:rPr>
      </w:pPr>
    </w:p>
    <w:p>
      <w:pPr>
        <w:ind w:left="4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left="4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20" w:right="139" w:firstLine="29"/>
        <w:spacing w:after="0" w:line="263" w:lineRule="auto"/>
        <w:rPr>
          <w:sz w:val="20"/>
          <w:szCs w:val="20"/>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4" w:lineRule="exact"/>
        <w:rPr>
          <w:sz w:val="20"/>
          <w:szCs w:val="20"/>
          <w:color w:val="auto"/>
        </w:rPr>
      </w:pPr>
    </w:p>
    <w:p>
      <w:pPr>
        <w:ind w:left="620" w:right="359" w:firstLine="29"/>
        <w:spacing w:after="0" w:line="259" w:lineRule="auto"/>
        <w:rPr>
          <w:sz w:val="20"/>
          <w:szCs w:val="20"/>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7" w:lineRule="exact"/>
        <w:rPr>
          <w:sz w:val="20"/>
          <w:szCs w:val="20"/>
          <w:color w:val="auto"/>
        </w:rPr>
      </w:pPr>
    </w:p>
    <w:p>
      <w:pPr>
        <w:ind w:left="620" w:right="239" w:firstLine="29"/>
        <w:spacing w:after="0" w:line="277" w:lineRule="auto"/>
        <w:rPr>
          <w:sz w:val="20"/>
          <w:szCs w:val="20"/>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170" w:lineRule="exact"/>
        <w:rPr>
          <w:sz w:val="20"/>
          <w:szCs w:val="20"/>
          <w:color w:val="auto"/>
        </w:rPr>
      </w:pPr>
    </w:p>
    <w:p>
      <w:pPr>
        <w:ind w:left="620" w:right="299" w:firstLine="29"/>
        <w:spacing w:after="0" w:line="257" w:lineRule="auto"/>
        <w:rPr>
          <w:sz w:val="20"/>
          <w:szCs w:val="20"/>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bylaws, although our bylaws may be amended by a simple majority vote of our board of directors;</w:t>
      </w:r>
    </w:p>
    <w:p>
      <w:pPr>
        <w:spacing w:after="0" w:line="188" w:lineRule="exact"/>
        <w:rPr>
          <w:sz w:val="20"/>
          <w:szCs w:val="20"/>
          <w:color w:val="auto"/>
        </w:rPr>
      </w:pPr>
    </w:p>
    <w:p>
      <w:pPr>
        <w:ind w:left="620" w:right="219" w:firstLine="29"/>
        <w:spacing w:after="0" w:line="279" w:lineRule="auto"/>
        <w:rPr>
          <w:sz w:val="20"/>
          <w:szCs w:val="20"/>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sz w:val="20"/>
          <w:szCs w:val="20"/>
          <w:color w:val="auto"/>
        </w:rPr>
      </w:pPr>
    </w:p>
    <w:p>
      <w:pPr>
        <w:ind w:left="620" w:right="159" w:firstLine="29"/>
        <w:spacing w:after="0" w:line="286" w:lineRule="auto"/>
        <w:rPr>
          <w:sz w:val="20"/>
          <w:szCs w:val="20"/>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40" w:right="199" w:firstLine="324"/>
        <w:spacing w:after="0" w:line="31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w:t>
      </w:r>
    </w:p>
    <w:p>
      <w:pPr>
        <w:sectPr>
          <w:pgSz w:w="11900" w:h="16838" w:orient="portrait"/>
          <w:cols w:equalWidth="0" w:num="1">
            <w:col w:w="9019"/>
          </w:cols>
          <w:pgMar w:left="1440" w:top="125"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color w:val="auto"/>
        </w:rPr>
        <w:t>acquired in excess of 15% of our outstanding voting stock, unless the merger or combination is approved in a prescribed manner.</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Recent Sales of Unregistered Securities and 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rPr>
              <w:t>Incorporation By Reference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20" w:type="dxa"/>
            <w:vAlign w:val="bottom"/>
            <w:gridSpan w:val="15"/>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16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center"/>
              <w:ind w:left="12"/>
              <w:spacing w:after="0"/>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SEC File No.</w:t>
            </w:r>
          </w:p>
        </w:tc>
        <w:tc>
          <w:tcPr>
            <w:tcW w:w="160" w:type="dxa"/>
            <w:vAlign w:val="bottom"/>
            <w:tcBorders>
              <w:top w:val="single" w:sz="8" w:color="auto"/>
            </w:tcBorders>
            <w:vMerge w:val="restart"/>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0"/>
                <w:szCs w:val="10"/>
                <w:color w:val="auto"/>
              </w:rPr>
            </w:pP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5"/>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6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2680" w:type="dxa"/>
            <w:vAlign w:val="bottom"/>
            <w:tcBorders>
              <w:bottom w:val="single" w:sz="8" w:color="0000EE"/>
            </w:tcBorders>
            <w:gridSpan w:val="5"/>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Amended and Restated Certificate of</w:t>
              </w:r>
            </w:hyperlink>
          </w:p>
        </w:tc>
        <w:tc>
          <w:tcPr>
            <w:tcW w:w="1040" w:type="dxa"/>
            <w:vAlign w:val="bottom"/>
            <w:gridSpan w:val="14"/>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Incorporation.</w:t>
              </w:r>
            </w:hyperlink>
          </w:p>
        </w:tc>
        <w:tc>
          <w:tcPr>
            <w:tcW w:w="2680" w:type="dxa"/>
            <w:vAlign w:val="bottom"/>
            <w:gridSpan w:val="16"/>
          </w:tcPr>
          <w:p>
            <w:pPr>
              <w:spacing w:after="0"/>
              <w:rPr>
                <w:sz w:val="17"/>
                <w:szCs w:val="17"/>
                <w:color w:val="auto"/>
              </w:rPr>
            </w:pPr>
          </w:p>
        </w:tc>
        <w:tc>
          <w:tcPr>
            <w:tcW w:w="540" w:type="dxa"/>
            <w:vAlign w:val="bottom"/>
          </w:tcPr>
          <w:p>
            <w:pPr>
              <w:jc w:val="center"/>
              <w:ind w:left="12"/>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ind w:left="172"/>
              <w:spacing w:after="0" w:line="196" w:lineRule="exact"/>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2"/>
                <w:szCs w:val="22"/>
                <w:color w:val="auto"/>
              </w:rPr>
            </w:pPr>
          </w:p>
        </w:tc>
        <w:tc>
          <w:tcPr>
            <w:tcW w:w="2800" w:type="dxa"/>
            <w:vAlign w:val="bottom"/>
            <w:tcBorders>
              <w:bottom w:val="single" w:sz="8" w:color="0000EE"/>
            </w:tcBorders>
            <w:gridSpan w:val="6"/>
          </w:tcPr>
          <w:p>
            <w:pPr>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Amendment to Amended and Restated</w:t>
              </w:r>
            </w:hyperlink>
          </w:p>
        </w:tc>
        <w:tc>
          <w:tcPr>
            <w:tcW w:w="920" w:type="dxa"/>
            <w:vAlign w:val="bottom"/>
            <w:gridSpan w:val="13"/>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gridSpan w:val="19"/>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Certificate of Incorporation</w:t>
              </w:r>
            </w:hyperlink>
          </w:p>
        </w:tc>
        <w:tc>
          <w:tcPr>
            <w:tcW w:w="540" w:type="dxa"/>
            <w:vAlign w:val="bottom"/>
          </w:tcPr>
          <w:p>
            <w:pPr>
              <w:jc w:val="center"/>
              <w:ind w:left="12"/>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ind w:left="172"/>
              <w:spacing w:after="0" w:line="196" w:lineRule="exact"/>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5/22/2019</w:t>
            </w: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98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Bylaws.</w:t>
              </w:r>
            </w:hyperlink>
          </w:p>
        </w:tc>
        <w:tc>
          <w:tcPr>
            <w:tcW w:w="1740" w:type="dxa"/>
            <w:vAlign w:val="bottom"/>
            <w:gridSpan w:val="15"/>
          </w:tcPr>
          <w:p>
            <w:pPr>
              <w:spacing w:after="0"/>
              <w:rPr>
                <w:sz w:val="24"/>
                <w:szCs w:val="24"/>
                <w:color w:val="auto"/>
              </w:rPr>
            </w:pPr>
          </w:p>
        </w:tc>
        <w:tc>
          <w:tcPr>
            <w:tcW w:w="540" w:type="dxa"/>
            <w:vAlign w:val="bottom"/>
          </w:tcPr>
          <w:p>
            <w:pPr>
              <w:jc w:val="center"/>
              <w:ind w:left="12"/>
              <w:spacing w:after="0"/>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5/22/2019</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1"/>
                <w:szCs w:val="21"/>
                <w:color w:val="auto"/>
              </w:rPr>
            </w:pPr>
          </w:p>
        </w:tc>
        <w:tc>
          <w:tcPr>
            <w:tcW w:w="3720" w:type="dxa"/>
            <w:vAlign w:val="bottom"/>
            <w:gridSpan w:val="19"/>
          </w:tcPr>
          <w:p>
            <w:pPr>
              <w:spacing w:after="0"/>
              <w:rPr>
                <w:rFonts w:ascii="Arial" w:cs="Arial" w:eastAsia="Arial" w:hAnsi="Arial"/>
                <w:sz w:val="18"/>
                <w:szCs w:val="18"/>
                <w:color w:val="0000EE"/>
              </w:rPr>
            </w:pPr>
            <w:hyperlink r:id="rId61">
              <w:r>
                <w:rPr>
                  <w:rFonts w:ascii="Arial" w:cs="Arial" w:eastAsia="Arial" w:hAnsi="Arial"/>
                  <w:sz w:val="18"/>
                  <w:szCs w:val="18"/>
                  <w:color w:val="0000EE"/>
                </w:rPr>
                <w:t>Form of Common Stock Certificate of the</w:t>
              </w:r>
            </w:hyperlink>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Company.</w:t>
              </w:r>
            </w:hyperlink>
          </w:p>
        </w:tc>
        <w:tc>
          <w:tcPr>
            <w:tcW w:w="700" w:type="dxa"/>
            <w:vAlign w:val="bottom"/>
            <w:gridSpan w:val="11"/>
          </w:tcPr>
          <w:p>
            <w:pPr>
              <w:spacing w:after="0"/>
              <w:rPr>
                <w:sz w:val="17"/>
                <w:szCs w:val="17"/>
                <w:color w:val="auto"/>
              </w:rPr>
            </w:pPr>
          </w:p>
        </w:tc>
        <w:tc>
          <w:tcPr>
            <w:tcW w:w="540" w:type="dxa"/>
            <w:vAlign w:val="bottom"/>
          </w:tcPr>
          <w:p>
            <w:pPr>
              <w:jc w:val="center"/>
              <w:ind w:left="12"/>
              <w:spacing w:after="0" w:line="196" w:lineRule="exact"/>
              <w:rPr>
                <w:sz w:val="20"/>
                <w:szCs w:val="20"/>
                <w:color w:val="auto"/>
              </w:rPr>
            </w:pPr>
            <w:r>
              <w:rPr>
                <w:rFonts w:ascii="Arial" w:cs="Arial" w:eastAsia="Arial" w:hAnsi="Arial"/>
                <w:sz w:val="18"/>
                <w:szCs w:val="18"/>
                <w:color w:val="auto"/>
                <w:w w:val="85"/>
              </w:rPr>
              <w:t>S-1</w:t>
            </w:r>
          </w:p>
        </w:tc>
        <w:tc>
          <w:tcPr>
            <w:tcW w:w="1320" w:type="dxa"/>
            <w:vAlign w:val="bottom"/>
            <w:gridSpan w:val="3"/>
          </w:tcPr>
          <w:p>
            <w:pPr>
              <w:jc w:val="center"/>
              <w:ind w:left="172"/>
              <w:spacing w:after="0" w:line="196" w:lineRule="exact"/>
              <w:rPr>
                <w:sz w:val="20"/>
                <w:szCs w:val="20"/>
                <w:color w:val="auto"/>
              </w:rPr>
            </w:pPr>
            <w:r>
              <w:rPr>
                <w:rFonts w:ascii="Arial" w:cs="Arial" w:eastAsia="Arial" w:hAnsi="Arial"/>
                <w:sz w:val="18"/>
                <w:szCs w:val="18"/>
                <w:color w:val="auto"/>
                <w:w w:val="89"/>
              </w:rPr>
              <w:t>333-213569</w:t>
            </w:r>
          </w:p>
        </w:tc>
        <w:tc>
          <w:tcPr>
            <w:tcW w:w="1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9/09/2016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3180" w:type="dxa"/>
            <w:vAlign w:val="bottom"/>
            <w:tcBorders>
              <w:bottom w:val="single" w:sz="8" w:color="0000EE"/>
            </w:tcBorders>
            <w:gridSpan w:val="11"/>
          </w:tcPr>
          <w:p>
            <w:pPr>
              <w:spacing w:after="0"/>
              <w:rPr>
                <w:rFonts w:ascii="Arial" w:cs="Arial" w:eastAsia="Arial" w:hAnsi="Arial"/>
                <w:sz w:val="18"/>
                <w:szCs w:val="18"/>
                <w:color w:val="0000EE"/>
                <w:w w:val="87"/>
              </w:rPr>
            </w:pPr>
            <w:hyperlink r:id="rId62">
              <w:r>
                <w:rPr>
                  <w:rFonts w:ascii="Arial" w:cs="Arial" w:eastAsia="Arial" w:hAnsi="Arial"/>
                  <w:sz w:val="18"/>
                  <w:szCs w:val="18"/>
                  <w:color w:val="0000EE"/>
                  <w:w w:val="87"/>
                </w:rPr>
                <w:t>Amended and Restated Warrant to Purchase</w:t>
              </w:r>
            </w:hyperlink>
          </w:p>
        </w:tc>
        <w:tc>
          <w:tcPr>
            <w:tcW w:w="540" w:type="dxa"/>
            <w:vAlign w:val="bottom"/>
            <w:gridSpan w:val="8"/>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Common Stock, dated as of August 5, 2019,</w:t>
              </w:r>
            </w:hyperlink>
          </w:p>
        </w:tc>
        <w:tc>
          <w:tcPr>
            <w:tcW w:w="52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19"/>
          </w:tcPr>
          <w:p>
            <w:pPr>
              <w:spacing w:after="0"/>
              <w:rPr>
                <w:rFonts w:ascii="Arial" w:cs="Arial" w:eastAsia="Arial" w:hAnsi="Arial"/>
                <w:sz w:val="18"/>
                <w:szCs w:val="18"/>
                <w:u w:val="single" w:color="auto"/>
                <w:color w:val="0000EE"/>
                <w:w w:val="97"/>
              </w:rPr>
            </w:pPr>
            <w:hyperlink r:id="rId62">
              <w:r>
                <w:rPr>
                  <w:rFonts w:ascii="Arial" w:cs="Arial" w:eastAsia="Arial" w:hAnsi="Arial"/>
                  <w:sz w:val="18"/>
                  <w:szCs w:val="18"/>
                  <w:u w:val="single" w:color="auto"/>
                  <w:color w:val="0000EE"/>
                  <w:w w:val="97"/>
                </w:rPr>
                <w:t>between the Company and Silicon Valley Bank.</w:t>
              </w:r>
            </w:hyperlink>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center"/>
              <w:ind w:left="12"/>
              <w:spacing w:after="0"/>
              <w:rPr>
                <w:sz w:val="20"/>
                <w:szCs w:val="20"/>
                <w:color w:val="auto"/>
              </w:rPr>
            </w:pPr>
            <w:r>
              <w:rPr>
                <w:rFonts w:ascii="Arial" w:cs="Arial" w:eastAsia="Arial" w:hAnsi="Arial"/>
                <w:sz w:val="18"/>
                <w:szCs w:val="18"/>
                <w:color w:val="auto"/>
                <w:w w:val="89"/>
              </w:rPr>
              <w:t>10-Q</w:t>
            </w:r>
          </w:p>
        </w:tc>
        <w:tc>
          <w:tcPr>
            <w:tcW w:w="132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11/07/2019</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3720" w:type="dxa"/>
            <w:vAlign w:val="bottom"/>
            <w:gridSpan w:val="19"/>
          </w:tcPr>
          <w:p>
            <w:pPr>
              <w:spacing w:after="0"/>
              <w:rPr>
                <w:sz w:val="20"/>
                <w:szCs w:val="20"/>
                <w:color w:val="auto"/>
              </w:rPr>
            </w:pPr>
            <w:r>
              <w:rPr>
                <w:rFonts w:ascii="Arial" w:cs="Arial" w:eastAsia="Arial" w:hAnsi="Arial"/>
                <w:sz w:val="18"/>
                <w:szCs w:val="18"/>
                <w:color w:val="auto"/>
                <w:w w:val="98"/>
              </w:rPr>
              <w:t>Reference is made to Exhibits 3.1, 3.2 and 3.3.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1"/>
                <w:szCs w:val="21"/>
                <w:color w:val="auto"/>
              </w:rPr>
            </w:pPr>
          </w:p>
        </w:tc>
        <w:tc>
          <w:tcPr>
            <w:tcW w:w="3280" w:type="dxa"/>
            <w:vAlign w:val="bottom"/>
            <w:tcBorders>
              <w:bottom w:val="single" w:sz="8" w:color="0000EE"/>
            </w:tcBorders>
            <w:gridSpan w:val="13"/>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Description of 2020 Executive Officer Bonus</w:t>
              </w:r>
            </w:hyperlink>
          </w:p>
        </w:tc>
        <w:tc>
          <w:tcPr>
            <w:tcW w:w="440" w:type="dxa"/>
            <w:vAlign w:val="bottom"/>
            <w:gridSpan w:val="6"/>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gridSpan w:val="19"/>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Plan</w:t>
              </w:r>
            </w:hyperlink>
          </w:p>
        </w:tc>
        <w:tc>
          <w:tcPr>
            <w:tcW w:w="540" w:type="dxa"/>
            <w:vAlign w:val="bottom"/>
          </w:tcPr>
          <w:p>
            <w:pPr>
              <w:jc w:val="center"/>
              <w:ind w:left="12"/>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ind w:left="172"/>
              <w:spacing w:after="0" w:line="196" w:lineRule="exact"/>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7"/>
                <w:szCs w:val="17"/>
                <w:color w:val="auto"/>
              </w:rPr>
            </w:pPr>
          </w:p>
        </w:tc>
        <w:tc>
          <w:tcPr>
            <w:tcW w:w="10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3"/>
              </w:rPr>
              <w:t>Item 2.05</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2/20/2020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2"/>
                <w:szCs w:val="22"/>
                <w:color w:val="auto"/>
              </w:rPr>
            </w:pPr>
          </w:p>
        </w:tc>
        <w:tc>
          <w:tcPr>
            <w:tcW w:w="33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Separation Agreement, dated January 8, 2020,</w:t>
              </w:r>
            </w:hyperlink>
          </w:p>
        </w:tc>
        <w:tc>
          <w:tcPr>
            <w:tcW w:w="380" w:type="dxa"/>
            <w:vAlign w:val="bottom"/>
            <w:gridSpan w:val="4"/>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19"/>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between Jeffrey Winzeler and the Company</w:t>
              </w:r>
            </w:hyperlink>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202"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Offer Letter, dated July 10, 2019, by and</w:t>
              </w:r>
            </w:hyperlink>
          </w:p>
        </w:tc>
        <w:tc>
          <w:tcPr>
            <w:tcW w:w="78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19"/>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between the registrant and Matthew Tenorio</w:t>
              </w:r>
            </w:hyperlink>
          </w:p>
        </w:tc>
        <w:tc>
          <w:tcPr>
            <w:tcW w:w="540" w:type="dxa"/>
            <w:vAlign w:val="bottom"/>
          </w:tcPr>
          <w:p>
            <w:pPr>
              <w:jc w:val="center"/>
              <w:ind w:left="12"/>
              <w:spacing w:after="0"/>
              <w:rPr>
                <w:sz w:val="20"/>
                <w:szCs w:val="20"/>
                <w:color w:val="auto"/>
              </w:rPr>
            </w:pPr>
            <w:r>
              <w:rPr>
                <w:rFonts w:ascii="Arial" w:cs="Arial" w:eastAsia="Arial" w:hAnsi="Arial"/>
                <w:sz w:val="18"/>
                <w:szCs w:val="18"/>
                <w:color w:val="auto"/>
                <w:w w:val="94"/>
              </w:rPr>
              <w:t>10-K</w:t>
            </w:r>
          </w:p>
        </w:tc>
        <w:tc>
          <w:tcPr>
            <w:tcW w:w="132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10.35</w:t>
            </w:r>
          </w:p>
        </w:tc>
        <w:tc>
          <w:tcPr>
            <w:tcW w:w="1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3/13/2020</w:t>
            </w:r>
          </w:p>
        </w:tc>
        <w:tc>
          <w:tcPr>
            <w:tcW w:w="0" w:type="dxa"/>
            <w:vAlign w:val="bottom"/>
          </w:tcPr>
          <w:p>
            <w:pPr>
              <w:spacing w:after="0"/>
              <w:rPr>
                <w:sz w:val="1"/>
                <w:szCs w:val="1"/>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3140" w:type="dxa"/>
            <w:vAlign w:val="bottom"/>
            <w:tcBorders>
              <w:bottom w:val="single" w:sz="8" w:color="0000EE"/>
            </w:tcBorders>
            <w:gridSpan w:val="10"/>
          </w:tcPr>
          <w:p>
            <w:pPr>
              <w:spacing w:after="0" w:line="202"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Certification of Principal Executive Officer</w:t>
              </w:r>
            </w:hyperlink>
          </w:p>
        </w:tc>
        <w:tc>
          <w:tcPr>
            <w:tcW w:w="58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Pursuant to Rules 13a-14(a) and 15d-14(a) under</w:t>
              </w:r>
            </w:hyperlink>
          </w:p>
        </w:tc>
        <w:tc>
          <w:tcPr>
            <w:tcW w:w="1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gridSpan w:val="19"/>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the Securities Exchange Act of 1934, as Adopted</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Borders>
              <w:top w:val="single" w:sz="8" w:color="0000EE"/>
            </w:tcBorders>
            <w:gridSpan w:val="17"/>
          </w:tcPr>
          <w:p>
            <w:pPr>
              <w:spacing w:after="0"/>
              <w:rPr>
                <w:rFonts w:ascii="Arial" w:cs="Arial" w:eastAsia="Arial" w:hAnsi="Arial"/>
                <w:sz w:val="18"/>
                <w:szCs w:val="18"/>
                <w:u w:val="single" w:color="auto"/>
                <w:color w:val="0000EE"/>
                <w:w w:val="93"/>
              </w:rPr>
            </w:pPr>
            <w:hyperlink w:anchor="page49">
              <w:r>
                <w:rPr>
                  <w:rFonts w:ascii="Arial" w:cs="Arial" w:eastAsia="Arial" w:hAnsi="Arial"/>
                  <w:sz w:val="18"/>
                  <w:szCs w:val="18"/>
                  <w:u w:val="single" w:color="auto"/>
                  <w:color w:val="0000EE"/>
                  <w:w w:val="93"/>
                </w:rPr>
                <w:t>Pursuant to Section 302 of the Sarbanes-Oxley</w:t>
              </w:r>
            </w:hyperlink>
          </w:p>
        </w:tc>
        <w:tc>
          <w:tcPr>
            <w:tcW w:w="1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19"/>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Act of 2002.</w:t>
              </w:r>
            </w:hyperlink>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1"/>
                <w:szCs w:val="21"/>
                <w:color w:val="auto"/>
              </w:rPr>
            </w:pPr>
          </w:p>
        </w:tc>
        <w:tc>
          <w:tcPr>
            <w:tcW w:w="372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Certification of Principal Financial Officer</w:t>
              </w:r>
            </w:hyperlink>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9"/>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Pursuant to Rules 13a-14(a) and 15d-14(a) under</w:t>
              </w:r>
            </w:hyperlink>
          </w:p>
        </w:tc>
        <w:tc>
          <w:tcPr>
            <w:tcW w:w="1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gridSpan w:val="19"/>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the Securities Exchange Act of 1934, as Adopted</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Borders>
              <w:top w:val="single" w:sz="8" w:color="0000EE"/>
            </w:tcBorders>
            <w:gridSpan w:val="17"/>
          </w:tcPr>
          <w:p>
            <w:pPr>
              <w:spacing w:after="0"/>
              <w:rPr>
                <w:rFonts w:ascii="Arial" w:cs="Arial" w:eastAsia="Arial" w:hAnsi="Arial"/>
                <w:sz w:val="18"/>
                <w:szCs w:val="18"/>
                <w:u w:val="single" w:color="auto"/>
                <w:color w:val="0000EE"/>
                <w:w w:val="93"/>
              </w:rPr>
            </w:pPr>
            <w:hyperlink w:anchor="page50">
              <w:r>
                <w:rPr>
                  <w:rFonts w:ascii="Arial" w:cs="Arial" w:eastAsia="Arial" w:hAnsi="Arial"/>
                  <w:sz w:val="18"/>
                  <w:szCs w:val="18"/>
                  <w:u w:val="single" w:color="auto"/>
                  <w:color w:val="0000EE"/>
                  <w:w w:val="93"/>
                </w:rPr>
                <w:t>Pursuant to Section 302 of the Sarbanes-Oxley</w:t>
              </w:r>
            </w:hyperlink>
          </w:p>
        </w:tc>
        <w:tc>
          <w:tcPr>
            <w:tcW w:w="1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19"/>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Act of 2002.</w:t>
              </w:r>
            </w:hyperlink>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1"/>
                <w:szCs w:val="21"/>
                <w:color w:val="auto"/>
              </w:rPr>
            </w:pPr>
          </w:p>
        </w:tc>
        <w:tc>
          <w:tcPr>
            <w:tcW w:w="344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Certification of Principal Executive Officer and</w:t>
              </w:r>
            </w:hyperlink>
          </w:p>
        </w:tc>
        <w:tc>
          <w:tcPr>
            <w:tcW w:w="280" w:type="dxa"/>
            <w:vAlign w:val="bottom"/>
            <w:gridSpan w:val="3"/>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gridSpan w:val="19"/>
          </w:tcPr>
          <w:p>
            <w:pPr>
              <w:spacing w:after="0" w:line="196"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Principal Financial Officer Pursuant to 18 U.S.C.</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Section 1350, as Adopted Pursuant to Section</w:t>
              </w:r>
            </w:hyperlink>
          </w:p>
        </w:tc>
        <w:tc>
          <w:tcPr>
            <w:tcW w:w="1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906 of the Sarbanes-Oxley Act of 2002.</w:t>
              </w:r>
            </w:hyperlink>
          </w:p>
        </w:tc>
        <w:tc>
          <w:tcPr>
            <w:tcW w:w="420" w:type="dxa"/>
            <w:vAlign w:val="bottom"/>
            <w:gridSpan w:val="5"/>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72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720" w:type="dxa"/>
            <w:vAlign w:val="bottom"/>
            <w:gridSpan w:val="19"/>
          </w:tcPr>
          <w:p>
            <w:pPr>
              <w:spacing w:after="0"/>
              <w:rPr>
                <w:sz w:val="20"/>
                <w:szCs w:val="20"/>
                <w:color w:val="auto"/>
              </w:rPr>
            </w:pPr>
            <w:r>
              <w:rPr>
                <w:rFonts w:ascii="Arial" w:cs="Arial" w:eastAsia="Arial" w:hAnsi="Arial"/>
                <w:sz w:val="18"/>
                <w:szCs w:val="18"/>
                <w:color w:val="auto"/>
                <w:w w:val="97"/>
              </w:rPr>
              <w:t>XBRL Taxonomy Extension Schema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720" w:type="dxa"/>
            <w:vAlign w:val="bottom"/>
            <w:gridSpan w:val="19"/>
          </w:tcPr>
          <w:p>
            <w:pPr>
              <w:spacing w:after="0"/>
              <w:rPr>
                <w:sz w:val="20"/>
                <w:szCs w:val="20"/>
                <w:color w:val="auto"/>
              </w:rPr>
            </w:pPr>
            <w:r>
              <w:rPr>
                <w:rFonts w:ascii="Arial" w:cs="Arial" w:eastAsia="Arial" w:hAnsi="Arial"/>
                <w:sz w:val="18"/>
                <w:szCs w:val="18"/>
                <w:color w:val="auto"/>
              </w:rPr>
              <w:t>XBRL Taxonomy Extension Calculation</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720" w:type="dxa"/>
            <w:vAlign w:val="bottom"/>
            <w:gridSpan w:val="19"/>
          </w:tcPr>
          <w:p>
            <w:pPr>
              <w:spacing w:after="0"/>
              <w:rPr>
                <w:sz w:val="20"/>
                <w:szCs w:val="20"/>
                <w:color w:val="auto"/>
              </w:rPr>
            </w:pPr>
            <w:r>
              <w:rPr>
                <w:rFonts w:ascii="Arial" w:cs="Arial" w:eastAsia="Arial" w:hAnsi="Arial"/>
                <w:sz w:val="18"/>
                <w:szCs w:val="18"/>
                <w:color w:val="auto"/>
                <w:w w:val="98"/>
              </w:rPr>
              <w:t>XBRL Taxonomy Extension Definition Linkbase</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72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72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5" w:lineRule="exact"/>
        <w:rPr>
          <w:sz w:val="20"/>
          <w:szCs w:val="20"/>
          <w:color w:val="auto"/>
        </w:rPr>
      </w:pPr>
    </w:p>
    <w:p>
      <w:pPr>
        <w:ind w:left="360" w:hanging="316"/>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Furnished herewith.</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6060" w:type="dxa"/>
            <w:vAlign w:val="bottom"/>
            <w:gridSpan w:val="2"/>
          </w:tcPr>
          <w:p>
            <w:pPr>
              <w:ind w:left="2260"/>
              <w:spacing w:after="0"/>
              <w:rPr>
                <w:sz w:val="20"/>
                <w:szCs w:val="20"/>
                <w:color w:val="auto"/>
              </w:rPr>
            </w:pPr>
            <w:r>
              <w:rPr>
                <w:rFonts w:ascii="Arial" w:cs="Arial" w:eastAsia="Arial" w:hAnsi="Arial"/>
                <w:sz w:val="18"/>
                <w:szCs w:val="18"/>
                <w:color w:val="auto"/>
              </w:rPr>
              <w:t>Everspin Technologies, Inc.</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Date: May 7, 2020</w:t>
            </w:r>
          </w:p>
        </w:tc>
        <w:tc>
          <w:tcPr>
            <w:tcW w:w="6060" w:type="dxa"/>
            <w:vAlign w:val="bottom"/>
            <w:gridSpan w:val="2"/>
          </w:tcPr>
          <w:p>
            <w:pPr>
              <w:ind w:left="2260"/>
              <w:spacing w:after="0"/>
              <w:rPr>
                <w:sz w:val="20"/>
                <w:szCs w:val="20"/>
                <w:color w:val="auto"/>
              </w:rPr>
            </w:pPr>
            <w:r>
              <w:rPr>
                <w:rFonts w:ascii="Arial" w:cs="Arial" w:eastAsia="Arial" w:hAnsi="Arial"/>
                <w:sz w:val="18"/>
                <w:szCs w:val="18"/>
                <w:color w:val="auto"/>
              </w:rPr>
              <w:t>By: /s/ Kevin Conley</w:t>
            </w:r>
          </w:p>
        </w:tc>
      </w:tr>
      <w:tr>
        <w:trPr>
          <w:trHeight w:val="195"/>
        </w:trPr>
        <w:tc>
          <w:tcPr>
            <w:tcW w:w="2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Conley</w:t>
            </w:r>
          </w:p>
        </w:tc>
      </w:tr>
      <w:tr>
        <w:trPr>
          <w:trHeight w:val="216"/>
        </w:trPr>
        <w:tc>
          <w:tcPr>
            <w:tcW w:w="2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(Duly Authorized Officer and Principal</w:t>
            </w:r>
          </w:p>
        </w:tc>
      </w:tr>
      <w:tr>
        <w:trPr>
          <w:trHeight w:val="230"/>
        </w:trPr>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32"/>
        </w:trPr>
        <w:tc>
          <w:tcPr>
            <w:tcW w:w="2860" w:type="dxa"/>
            <w:vAlign w:val="bottom"/>
          </w:tcPr>
          <w:p>
            <w:pPr>
              <w:spacing w:after="0"/>
              <w:rPr>
                <w:sz w:val="24"/>
                <w:szCs w:val="24"/>
                <w:color w:val="auto"/>
              </w:rPr>
            </w:pPr>
          </w:p>
        </w:tc>
        <w:tc>
          <w:tcPr>
            <w:tcW w:w="6060" w:type="dxa"/>
            <w:vAlign w:val="bottom"/>
            <w:gridSpan w:val="2"/>
          </w:tcPr>
          <w:p>
            <w:pPr>
              <w:ind w:left="2260"/>
              <w:spacing w:after="0"/>
              <w:rPr>
                <w:sz w:val="20"/>
                <w:szCs w:val="20"/>
                <w:color w:val="auto"/>
              </w:rPr>
            </w:pPr>
            <w:r>
              <w:rPr>
                <w:rFonts w:ascii="Arial" w:cs="Arial" w:eastAsia="Arial" w:hAnsi="Arial"/>
                <w:sz w:val="18"/>
                <w:szCs w:val="18"/>
                <w:color w:val="auto"/>
              </w:rPr>
              <w:t>Everspin Technologies, Inc.</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Date: May 7, 2020</w:t>
            </w:r>
          </w:p>
        </w:tc>
        <w:tc>
          <w:tcPr>
            <w:tcW w:w="6060" w:type="dxa"/>
            <w:vAlign w:val="bottom"/>
            <w:gridSpan w:val="2"/>
          </w:tcPr>
          <w:p>
            <w:pPr>
              <w:ind w:left="2260"/>
              <w:spacing w:after="0"/>
              <w:rPr>
                <w:sz w:val="20"/>
                <w:szCs w:val="20"/>
                <w:color w:val="auto"/>
              </w:rPr>
            </w:pPr>
            <w:r>
              <w:rPr>
                <w:rFonts w:ascii="Arial" w:cs="Arial" w:eastAsia="Arial" w:hAnsi="Arial"/>
                <w:sz w:val="18"/>
                <w:szCs w:val="18"/>
                <w:color w:val="auto"/>
              </w:rPr>
              <w:t>By: /s/ Matthew Tenorio</w:t>
            </w:r>
          </w:p>
        </w:tc>
      </w:tr>
      <w:tr>
        <w:trPr>
          <w:trHeight w:val="195"/>
        </w:trPr>
        <w:tc>
          <w:tcPr>
            <w:tcW w:w="2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Tenorio</w:t>
            </w:r>
          </w:p>
        </w:tc>
      </w:tr>
      <w:tr>
        <w:trPr>
          <w:trHeight w:val="216"/>
        </w:trPr>
        <w:tc>
          <w:tcPr>
            <w:tcW w:w="2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62"/>
        </w:trPr>
        <w:tc>
          <w:tcPr>
            <w:tcW w:w="2860" w:type="dxa"/>
            <w:vAlign w:val="bottom"/>
          </w:tcPr>
          <w:p>
            <w:pPr>
              <w:spacing w:after="0"/>
              <w:rPr>
                <w:sz w:val="24"/>
                <w:szCs w:val="24"/>
                <w:color w:val="auto"/>
              </w:rPr>
            </w:pPr>
          </w:p>
        </w:tc>
        <w:tc>
          <w:tcPr>
            <w:tcW w:w="2540" w:type="dxa"/>
            <w:vAlign w:val="bottom"/>
          </w:tcPr>
          <w:p>
            <w:pPr>
              <w:ind w:left="1520"/>
              <w:spacing w:after="0"/>
              <w:rPr>
                <w:sz w:val="20"/>
                <w:szCs w:val="20"/>
                <w:color w:val="auto"/>
              </w:rPr>
            </w:pPr>
            <w:r>
              <w:rPr>
                <w:rFonts w:ascii="Arial" w:cs="Arial" w:eastAsia="Arial" w:hAnsi="Arial"/>
                <w:sz w:val="18"/>
                <w:szCs w:val="18"/>
                <w:color w:val="auto"/>
              </w:rPr>
              <w:t>42</w:t>
            </w:r>
          </w:p>
        </w:tc>
        <w:tc>
          <w:tcPr>
            <w:tcW w:w="352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42" w:name="page43"/>
    <w:bookmarkEnd w:id="42"/>
    <w:p>
      <w:pPr>
        <w:jc w:val="right"/>
        <w:ind w:right="119"/>
        <w:spacing w:after="0"/>
        <w:rPr>
          <w:sz w:val="20"/>
          <w:szCs w:val="20"/>
          <w:color w:val="auto"/>
        </w:rPr>
      </w:pPr>
      <w:r>
        <w:rPr>
          <w:rFonts w:ascii="Arial" w:cs="Arial" w:eastAsia="Arial" w:hAnsi="Arial"/>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108585</wp:posOffset>
            </wp:positionV>
            <wp:extent cx="225425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2542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January 8, 2020</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Jeff Winzeler</w:t>
      </w:r>
    </w:p>
    <w:p>
      <w:pPr>
        <w:ind w:left="180"/>
        <w:spacing w:after="0" w:line="204" w:lineRule="auto"/>
        <w:rPr>
          <w:sz w:val="20"/>
          <w:szCs w:val="20"/>
          <w:color w:val="auto"/>
        </w:rPr>
      </w:pPr>
      <w:r>
        <w:rPr>
          <w:rFonts w:ascii="Arial" w:cs="Arial" w:eastAsia="Arial" w:hAnsi="Arial"/>
          <w:sz w:val="22"/>
          <w:szCs w:val="22"/>
          <w:color w:val="auto"/>
        </w:rPr>
        <w:t>2565 S. Sycamore Village Dr.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Gold Canyon, AZ 85118</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Dear Jeff:</w:t>
      </w:r>
    </w:p>
    <w:p>
      <w:pPr>
        <w:spacing w:after="0" w:line="133" w:lineRule="exact"/>
        <w:rPr>
          <w:sz w:val="20"/>
          <w:szCs w:val="20"/>
          <w:color w:val="auto"/>
        </w:rPr>
      </w:pPr>
    </w:p>
    <w:p>
      <w:pPr>
        <w:jc w:val="both"/>
        <w:ind w:left="180" w:right="119"/>
        <w:spacing w:after="0" w:line="235" w:lineRule="auto"/>
        <w:rPr>
          <w:sz w:val="20"/>
          <w:szCs w:val="20"/>
          <w:color w:val="auto"/>
        </w:rPr>
      </w:pPr>
      <w:r>
        <w:rPr>
          <w:rFonts w:ascii="Arial" w:cs="Arial" w:eastAsia="Arial" w:hAnsi="Arial"/>
          <w:sz w:val="22"/>
          <w:szCs w:val="22"/>
          <w:color w:val="auto"/>
        </w:rPr>
        <w:t>This letter sets forth the substance of the separation agreement (the “</w:t>
      </w:r>
      <w:r>
        <w:rPr>
          <w:rFonts w:ascii="Arial" w:cs="Arial" w:eastAsia="Arial" w:hAnsi="Arial"/>
          <w:sz w:val="22"/>
          <w:szCs w:val="22"/>
          <w:b w:val="1"/>
          <w:bCs w:val="1"/>
          <w:color w:val="auto"/>
        </w:rPr>
        <w:t>Agreement</w:t>
      </w:r>
      <w:r>
        <w:rPr>
          <w:rFonts w:ascii="Arial" w:cs="Arial" w:eastAsia="Arial" w:hAnsi="Arial"/>
          <w:sz w:val="22"/>
          <w:szCs w:val="22"/>
          <w:color w:val="auto"/>
        </w:rPr>
        <w:t>”) that Everspin Technologies, Inc. (the “</w:t>
      </w:r>
      <w:r>
        <w:rPr>
          <w:rFonts w:ascii="Arial" w:cs="Arial" w:eastAsia="Arial" w:hAnsi="Arial"/>
          <w:sz w:val="22"/>
          <w:szCs w:val="22"/>
          <w:b w:val="1"/>
          <w:bCs w:val="1"/>
          <w:color w:val="auto"/>
        </w:rPr>
        <w:t>Company</w:t>
      </w:r>
      <w:r>
        <w:rPr>
          <w:rFonts w:ascii="Arial" w:cs="Arial" w:eastAsia="Arial" w:hAnsi="Arial"/>
          <w:sz w:val="22"/>
          <w:szCs w:val="22"/>
          <w:color w:val="auto"/>
        </w:rPr>
        <w:t>”) is offering to you.</w:t>
      </w:r>
    </w:p>
    <w:p>
      <w:pPr>
        <w:spacing w:after="0" w:line="112" w:lineRule="exact"/>
        <w:rPr>
          <w:sz w:val="20"/>
          <w:szCs w:val="20"/>
          <w:color w:val="auto"/>
        </w:rPr>
      </w:pPr>
    </w:p>
    <w:p>
      <w:pPr>
        <w:jc w:val="both"/>
        <w:ind w:left="600" w:right="119" w:hanging="411"/>
        <w:spacing w:after="0" w:line="243" w:lineRule="auto"/>
        <w:tabs>
          <w:tab w:leader="none" w:pos="580" w:val="left"/>
        </w:tabs>
        <w:rPr>
          <w:sz w:val="20"/>
          <w:szCs w:val="20"/>
          <w:color w:val="auto"/>
        </w:rPr>
      </w:pPr>
      <w:r>
        <w:rPr>
          <w:rFonts w:ascii="Arial" w:cs="Arial" w:eastAsia="Arial" w:hAnsi="Arial"/>
          <w:sz w:val="22"/>
          <w:szCs w:val="22"/>
          <w:b w:val="1"/>
          <w:bCs w:val="1"/>
          <w:color w:val="auto"/>
        </w:rPr>
        <w:t>1</w:t>
      </w:r>
      <w:r>
        <w:rPr>
          <w:rFonts w:ascii="Arial" w:cs="Arial" w:eastAsia="Arial" w:hAnsi="Arial"/>
          <w:sz w:val="22"/>
          <w:szCs w:val="22"/>
          <w:color w:val="auto"/>
        </w:rPr>
        <w:t>.</w:t>
      </w:r>
      <w:r>
        <w:rPr>
          <w:rFonts w:ascii="Arial" w:cs="Arial" w:eastAsia="Arial" w:hAnsi="Arial"/>
          <w:sz w:val="22"/>
          <w:szCs w:val="22"/>
          <w:b w:val="1"/>
          <w:bCs w:val="1"/>
          <w:color w:val="auto"/>
        </w:rPr>
        <w:tab/>
        <w:t>S</w:t>
      </w:r>
      <w:r>
        <w:rPr>
          <w:rFonts w:ascii="Arial" w:cs="Arial" w:eastAsia="Arial" w:hAnsi="Arial"/>
          <w:sz w:val="17"/>
          <w:szCs w:val="17"/>
          <w:b w:val="1"/>
          <w:bCs w:val="1"/>
          <w:color w:val="auto"/>
        </w:rPr>
        <w:t>EPARATION</w:t>
      </w:r>
      <w:r>
        <w:rPr>
          <w:rFonts w:ascii="Arial" w:cs="Arial" w:eastAsia="Arial" w:hAnsi="Arial"/>
          <w:sz w:val="22"/>
          <w:szCs w:val="22"/>
          <w:color w:val="auto"/>
        </w:rPr>
        <w:t>. Your last day of work with the Company and your employment termination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January 31</w:t>
      </w:r>
      <w:r>
        <w:rPr>
          <w:rFonts w:ascii="Arial" w:cs="Arial" w:eastAsia="Arial" w:hAnsi="Arial"/>
          <w:sz w:val="10"/>
          <w:szCs w:val="10"/>
          <w:color w:val="auto"/>
        </w:rPr>
        <w:t>st</w:t>
      </w:r>
      <w:r>
        <w:rPr>
          <w:rFonts w:ascii="Arial" w:cs="Arial" w:eastAsia="Arial" w:hAnsi="Arial"/>
          <w:sz w:val="22"/>
          <w:szCs w:val="22"/>
          <w:color w:val="auto"/>
        </w:rPr>
        <w:t>, 2020 (the “</w:t>
      </w:r>
      <w:r>
        <w:rPr>
          <w:rFonts w:ascii="Arial" w:cs="Arial" w:eastAsia="Arial" w:hAnsi="Arial"/>
          <w:sz w:val="22"/>
          <w:szCs w:val="22"/>
          <w:b w:val="1"/>
          <w:bCs w:val="1"/>
          <w:color w:val="auto"/>
        </w:rPr>
        <w:t>Separation Date</w:t>
      </w:r>
      <w:r>
        <w:rPr>
          <w:rFonts w:ascii="Arial" w:cs="Arial" w:eastAsia="Arial" w:hAnsi="Arial"/>
          <w:sz w:val="22"/>
          <w:szCs w:val="22"/>
          <w:color w:val="auto"/>
        </w:rPr>
        <w:t>”).</w:t>
      </w:r>
    </w:p>
    <w:p>
      <w:pPr>
        <w:spacing w:after="0" w:line="109" w:lineRule="exact"/>
        <w:rPr>
          <w:sz w:val="20"/>
          <w:szCs w:val="20"/>
          <w:color w:val="auto"/>
        </w:rPr>
      </w:pPr>
    </w:p>
    <w:p>
      <w:pPr>
        <w:jc w:val="both"/>
        <w:ind w:left="600" w:right="119" w:hanging="411"/>
        <w:spacing w:after="0" w:line="229" w:lineRule="auto"/>
        <w:tabs>
          <w:tab w:leader="none" w:pos="580" w:val="left"/>
        </w:tabs>
        <w:rPr>
          <w:sz w:val="20"/>
          <w:szCs w:val="20"/>
          <w:color w:val="auto"/>
        </w:rPr>
      </w:pPr>
      <w:r>
        <w:rPr>
          <w:rFonts w:ascii="Arial" w:cs="Arial" w:eastAsia="Arial" w:hAnsi="Arial"/>
          <w:sz w:val="22"/>
          <w:szCs w:val="22"/>
          <w:b w:val="1"/>
          <w:bCs w:val="1"/>
          <w:color w:val="auto"/>
        </w:rPr>
        <w:t>2</w:t>
      </w:r>
      <w:r>
        <w:rPr>
          <w:rFonts w:ascii="Arial" w:cs="Arial" w:eastAsia="Arial" w:hAnsi="Arial"/>
          <w:sz w:val="22"/>
          <w:szCs w:val="22"/>
          <w:color w:val="auto"/>
        </w:rPr>
        <w:t>.</w:t>
      </w:r>
      <w:r>
        <w:rPr>
          <w:rFonts w:ascii="Arial" w:cs="Arial" w:eastAsia="Arial" w:hAnsi="Arial"/>
          <w:sz w:val="22"/>
          <w:szCs w:val="22"/>
          <w:b w:val="1"/>
          <w:bCs w:val="1"/>
          <w:color w:val="auto"/>
        </w:rPr>
        <w:tab/>
        <w:t>A</w:t>
      </w:r>
      <w:r>
        <w:rPr>
          <w:rFonts w:ascii="Arial" w:cs="Arial" w:eastAsia="Arial" w:hAnsi="Arial"/>
          <w:sz w:val="17"/>
          <w:szCs w:val="17"/>
          <w:b w:val="1"/>
          <w:bCs w:val="1"/>
          <w:color w:val="auto"/>
        </w:rPr>
        <w:t>CCRUED</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ALARY</w:t>
      </w:r>
      <w:r>
        <w:rPr>
          <w:rFonts w:ascii="Arial" w:cs="Arial" w:eastAsia="Arial" w:hAnsi="Arial"/>
          <w:sz w:val="22"/>
          <w:szCs w:val="22"/>
          <w:b w:val="1"/>
          <w:bCs w:val="1"/>
          <w:color w:val="auto"/>
        </w:rPr>
        <w:t xml:space="preserve">. </w:t>
      </w:r>
      <w:r>
        <w:rPr>
          <w:rFonts w:ascii="Arial" w:cs="Arial" w:eastAsia="Arial" w:hAnsi="Arial"/>
          <w:sz w:val="22"/>
          <w:szCs w:val="22"/>
          <w:color w:val="auto"/>
        </w:rPr>
        <w:t>On the Separation Date, the Company will pay you all accrued salary</w:t>
      </w:r>
      <w:r>
        <w:rPr>
          <w:rFonts w:ascii="Arial" w:cs="Arial" w:eastAsia="Arial" w:hAnsi="Arial"/>
          <w:sz w:val="22"/>
          <w:szCs w:val="22"/>
          <w:b w:val="1"/>
          <w:bCs w:val="1"/>
          <w:color w:val="auto"/>
        </w:rPr>
        <w:t xml:space="preserve"> </w:t>
      </w:r>
      <w:r>
        <w:rPr>
          <w:rFonts w:ascii="Arial" w:cs="Arial" w:eastAsia="Arial" w:hAnsi="Arial"/>
          <w:sz w:val="22"/>
          <w:szCs w:val="22"/>
          <w:color w:val="auto"/>
        </w:rPr>
        <w:t>earned through the Separation Date minus the mandatory furlough dates, subject to standard payroll deductions and withholdings.</w:t>
      </w:r>
    </w:p>
    <w:p>
      <w:pPr>
        <w:spacing w:after="0" w:line="113" w:lineRule="exact"/>
        <w:rPr>
          <w:sz w:val="20"/>
          <w:szCs w:val="20"/>
          <w:color w:val="auto"/>
        </w:rPr>
      </w:pPr>
    </w:p>
    <w:p>
      <w:pPr>
        <w:jc w:val="both"/>
        <w:ind w:left="500" w:right="119" w:hanging="317"/>
        <w:spacing w:after="0" w:line="238" w:lineRule="auto"/>
        <w:tabs>
          <w:tab w:leader="none" w:pos="567"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EVERANCE</w:t>
      </w:r>
      <w:r>
        <w:rPr>
          <w:rFonts w:ascii="Arial" w:cs="Arial" w:eastAsia="Arial" w:hAnsi="Arial"/>
          <w:sz w:val="20"/>
          <w:szCs w:val="20"/>
          <w:b w:val="1"/>
          <w:bCs w:val="1"/>
          <w:color w:val="auto"/>
        </w:rPr>
        <w:t xml:space="preserve"> B</w:t>
      </w:r>
      <w:r>
        <w:rPr>
          <w:rFonts w:ascii="Arial" w:cs="Arial" w:eastAsia="Arial" w:hAnsi="Arial"/>
          <w:sz w:val="16"/>
          <w:szCs w:val="16"/>
          <w:b w:val="1"/>
          <w:bCs w:val="1"/>
          <w:color w:val="auto"/>
        </w:rPr>
        <w:t>ENEFITS</w:t>
      </w:r>
      <w:r>
        <w:rPr>
          <w:rFonts w:ascii="Arial" w:cs="Arial" w:eastAsia="Arial" w:hAnsi="Arial"/>
          <w:sz w:val="20"/>
          <w:szCs w:val="20"/>
          <w:b w:val="1"/>
          <w:bCs w:val="1"/>
          <w:color w:val="auto"/>
        </w:rPr>
        <w:t xml:space="preserve">. </w:t>
      </w:r>
      <w:r>
        <w:rPr>
          <w:rFonts w:ascii="Arial" w:cs="Arial" w:eastAsia="Arial" w:hAnsi="Arial"/>
          <w:sz w:val="20"/>
          <w:szCs w:val="20"/>
          <w:color w:val="auto"/>
        </w:rPr>
        <w:t>If you timely sign this Agreement, allow it to become effective, and</w:t>
      </w:r>
      <w:r>
        <w:rPr>
          <w:rFonts w:ascii="Arial" w:cs="Arial" w:eastAsia="Arial" w:hAnsi="Arial"/>
          <w:sz w:val="20"/>
          <w:szCs w:val="20"/>
          <w:b w:val="1"/>
          <w:bCs w:val="1"/>
          <w:color w:val="auto"/>
        </w:rPr>
        <w:t xml:space="preserve"> </w:t>
      </w:r>
      <w:r>
        <w:rPr>
          <w:rFonts w:ascii="Arial" w:cs="Arial" w:eastAsia="Arial" w:hAnsi="Arial"/>
          <w:sz w:val="20"/>
          <w:szCs w:val="20"/>
          <w:color w:val="auto"/>
        </w:rPr>
        <w:t>remain in compliance with your legal and contractual obligations to the Company, then the Company will deem your termination from the Company to be a termination without Cause, as defined in your Executive Employment Agreement with the Company dated April 25</w:t>
      </w:r>
      <w:r>
        <w:rPr>
          <w:rFonts w:ascii="Arial" w:cs="Arial" w:eastAsia="Arial" w:hAnsi="Arial"/>
          <w:sz w:val="10"/>
          <w:szCs w:val="10"/>
          <w:color w:val="auto"/>
        </w:rPr>
        <w:t>th</w:t>
      </w:r>
      <w:r>
        <w:rPr>
          <w:rFonts w:ascii="Arial" w:cs="Arial" w:eastAsia="Arial" w:hAnsi="Arial"/>
          <w:sz w:val="20"/>
          <w:szCs w:val="20"/>
          <w:color w:val="auto"/>
        </w:rPr>
        <w:t>, 2014 (the “</w:t>
      </w:r>
      <w:r>
        <w:rPr>
          <w:rFonts w:ascii="Arial" w:cs="Arial" w:eastAsia="Arial" w:hAnsi="Arial"/>
          <w:sz w:val="20"/>
          <w:szCs w:val="20"/>
          <w:b w:val="1"/>
          <w:bCs w:val="1"/>
          <w:color w:val="auto"/>
        </w:rPr>
        <w:t>Employment Agreement</w:t>
      </w:r>
      <w:r>
        <w:rPr>
          <w:rFonts w:ascii="Arial" w:cs="Arial" w:eastAsia="Arial" w:hAnsi="Arial"/>
          <w:sz w:val="20"/>
          <w:szCs w:val="20"/>
          <w:color w:val="auto"/>
        </w:rPr>
        <w:t>”), and provide you with the following severance benefits in accordance with the terms of the Employment Agreement:</w:t>
      </w:r>
    </w:p>
    <w:p>
      <w:pPr>
        <w:spacing w:after="0" w:line="116" w:lineRule="exact"/>
        <w:rPr>
          <w:rFonts w:ascii="Arial" w:cs="Arial" w:eastAsia="Arial" w:hAnsi="Arial"/>
          <w:sz w:val="20"/>
          <w:szCs w:val="20"/>
          <w:b w:val="1"/>
          <w:bCs w:val="1"/>
          <w:color w:val="auto"/>
        </w:rPr>
      </w:pPr>
    </w:p>
    <w:p>
      <w:pPr>
        <w:jc w:val="both"/>
        <w:ind w:left="1160" w:right="119" w:hanging="329"/>
        <w:spacing w:after="0" w:line="220" w:lineRule="auto"/>
        <w:tabs>
          <w:tab w:leader="none" w:pos="1209" w:val="left"/>
        </w:tabs>
        <w:numPr>
          <w:ilvl w:val="1"/>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Cash Severance. </w:t>
      </w:r>
      <w:r>
        <w:rPr>
          <w:rFonts w:ascii="Arial" w:cs="Arial" w:eastAsia="Arial" w:hAnsi="Arial"/>
          <w:sz w:val="22"/>
          <w:szCs w:val="22"/>
          <w:color w:val="auto"/>
        </w:rPr>
        <w:t>The Company will pay you six (6) months of your base salary (for a</w:t>
      </w:r>
      <w:r>
        <w:rPr>
          <w:rFonts w:ascii="Arial" w:cs="Arial" w:eastAsia="Arial" w:hAnsi="Arial"/>
          <w:sz w:val="22"/>
          <w:szCs w:val="22"/>
          <w:b w:val="1"/>
          <w:bCs w:val="1"/>
          <w:color w:val="auto"/>
        </w:rPr>
        <w:t xml:space="preserve"> </w:t>
      </w:r>
      <w:r>
        <w:rPr>
          <w:rFonts w:ascii="Arial" w:cs="Arial" w:eastAsia="Arial" w:hAnsi="Arial"/>
          <w:sz w:val="22"/>
          <w:szCs w:val="22"/>
          <w:color w:val="auto"/>
        </w:rPr>
        <w:t>total of $146,016.00), which will be paid (less deductions and withholdings) over the course of six (6) months following the Separation Date in accordance with the Company’s regular payroll schedule.</w:t>
      </w:r>
    </w:p>
    <w:p>
      <w:pPr>
        <w:spacing w:after="0" w:line="152" w:lineRule="exact"/>
        <w:rPr>
          <w:rFonts w:ascii="Arial" w:cs="Arial" w:eastAsia="Arial" w:hAnsi="Arial"/>
          <w:sz w:val="22"/>
          <w:szCs w:val="22"/>
          <w:b w:val="1"/>
          <w:bCs w:val="1"/>
          <w:color w:val="auto"/>
        </w:rPr>
      </w:pPr>
    </w:p>
    <w:p>
      <w:pPr>
        <w:jc w:val="both"/>
        <w:ind w:left="1160" w:right="119" w:hanging="329"/>
        <w:spacing w:after="0" w:line="271" w:lineRule="auto"/>
        <w:tabs>
          <w:tab w:leader="none" w:pos="1314" w:val="left"/>
        </w:tabs>
        <w:numPr>
          <w:ilvl w:val="1"/>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Bonus. </w:t>
      </w:r>
      <w:r>
        <w:rPr>
          <w:rFonts w:ascii="Arial" w:cs="Arial" w:eastAsia="Arial" w:hAnsi="Arial"/>
          <w:sz w:val="19"/>
          <w:szCs w:val="19"/>
          <w:color w:val="auto"/>
        </w:rPr>
        <w:t>Within thirty (30) days after the Separation Date of your employment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will pay your 2019 bonus. We will calculate the final numbers based on actual bonus achievement in January of 2020 and communicate the amount to you in writing.</w:t>
      </w:r>
    </w:p>
    <w:p>
      <w:pPr>
        <w:spacing w:after="0" w:line="83" w:lineRule="exact"/>
        <w:rPr>
          <w:rFonts w:ascii="Arial" w:cs="Arial" w:eastAsia="Arial" w:hAnsi="Arial"/>
          <w:sz w:val="19"/>
          <w:szCs w:val="19"/>
          <w:b w:val="1"/>
          <w:bCs w:val="1"/>
          <w:color w:val="auto"/>
        </w:rPr>
      </w:pPr>
    </w:p>
    <w:p>
      <w:pPr>
        <w:jc w:val="both"/>
        <w:ind w:left="1160" w:right="119" w:hanging="329"/>
        <w:spacing w:after="0" w:line="242" w:lineRule="auto"/>
        <w:tabs>
          <w:tab w:leader="none" w:pos="1247" w:val="left"/>
        </w:tabs>
        <w:numPr>
          <w:ilvl w:val="1"/>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Paid COBRA. </w:t>
      </w:r>
      <w:r>
        <w:rPr>
          <w:rFonts w:ascii="Arial" w:cs="Arial" w:eastAsia="Arial" w:hAnsi="Arial"/>
          <w:sz w:val="20"/>
          <w:szCs w:val="20"/>
          <w:color w:val="auto"/>
        </w:rPr>
        <w:t>Provided that you timely elect continued coverage under COBRA, then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 reimburse you for the COBRA premiums to continue your health insurance coverage (including coverage for eligible dependents, if applicable) through the period starting on the Separation Date and ending on July 31</w:t>
      </w:r>
      <w:r>
        <w:rPr>
          <w:rFonts w:ascii="Arial" w:cs="Arial" w:eastAsia="Arial" w:hAnsi="Arial"/>
          <w:sz w:val="10"/>
          <w:szCs w:val="10"/>
          <w:color w:val="auto"/>
        </w:rPr>
        <w:t>st</w:t>
      </w:r>
      <w:r>
        <w:rPr>
          <w:rFonts w:ascii="Arial" w:cs="Arial" w:eastAsia="Arial" w:hAnsi="Arial"/>
          <w:sz w:val="20"/>
          <w:szCs w:val="20"/>
          <w:color w:val="auto"/>
        </w:rPr>
        <w:t>, 2020.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328295</wp:posOffset>
            </wp:positionV>
            <wp:extent cx="58032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803265"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3" w:name="page44"/>
    <w:bookmarkEnd w:id="43"/>
    <w:p>
      <w:pPr>
        <w:ind w:left="1160" w:right="119"/>
        <w:spacing w:after="0" w:line="248" w:lineRule="auto"/>
        <w:rPr>
          <w:sz w:val="20"/>
          <w:szCs w:val="20"/>
          <w:color w:val="auto"/>
        </w:rPr>
      </w:pPr>
      <w:r>
        <w:rPr>
          <w:rFonts w:ascii="Arial" w:cs="Arial" w:eastAsia="Arial" w:hAnsi="Arial"/>
          <w:sz w:val="21"/>
          <w:szCs w:val="21"/>
          <w:color w:val="auto"/>
        </w:rPr>
        <w:t>must timely pay your premiums, and then provide the Company with proof of same to obtain reimbursement for your COBRA premiums under this Section 3.c.</w:t>
      </w:r>
    </w:p>
    <w:p>
      <w:pPr>
        <w:spacing w:after="0" w:line="144" w:lineRule="exact"/>
        <w:rPr>
          <w:sz w:val="20"/>
          <w:szCs w:val="20"/>
          <w:color w:val="auto"/>
        </w:rPr>
      </w:pPr>
    </w:p>
    <w:p>
      <w:pPr>
        <w:jc w:val="both"/>
        <w:ind w:left="1160" w:right="119" w:hanging="329"/>
        <w:spacing w:after="0" w:line="242" w:lineRule="auto"/>
        <w:tabs>
          <w:tab w:leader="none" w:pos="1430" w:val="left"/>
        </w:tabs>
        <w:numPr>
          <w:ilvl w:val="1"/>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Accelerated Vesting/Post Termination Option Exercise Period. </w:t>
      </w:r>
      <w:r>
        <w:rPr>
          <w:rFonts w:ascii="Arial" w:cs="Arial" w:eastAsia="Arial" w:hAnsi="Arial"/>
          <w:sz w:val="19"/>
          <w:szCs w:val="19"/>
          <w:color w:val="auto"/>
        </w:rPr>
        <w:t>During your</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you were granted certain equity interests (the “</w:t>
      </w:r>
      <w:r>
        <w:rPr>
          <w:rFonts w:ascii="Arial" w:cs="Arial" w:eastAsia="Arial" w:hAnsi="Arial"/>
          <w:sz w:val="19"/>
          <w:szCs w:val="19"/>
          <w:b w:val="1"/>
          <w:bCs w:val="1"/>
          <w:color w:val="auto"/>
        </w:rPr>
        <w:t>Awards</w:t>
      </w:r>
      <w:r>
        <w:rPr>
          <w:rFonts w:ascii="Arial" w:cs="Arial" w:eastAsia="Arial" w:hAnsi="Arial"/>
          <w:sz w:val="19"/>
          <w:szCs w:val="19"/>
          <w:color w:val="auto"/>
        </w:rPr>
        <w:t>”). The Company will accelerate the vesting of the Awards (Stock Options and RSUs) such that, as of the Separation Date, you will be deemed vested in those Awards that would have vested in the six (6) months following the Separation Date had you remained employed.</w:t>
      </w:r>
    </w:p>
    <w:p>
      <w:pPr>
        <w:spacing w:after="0" w:line="2" w:lineRule="exact"/>
        <w:rPr>
          <w:rFonts w:ascii="Arial" w:cs="Arial" w:eastAsia="Arial" w:hAnsi="Arial"/>
          <w:sz w:val="19"/>
          <w:szCs w:val="19"/>
          <w:b w:val="1"/>
          <w:bCs w:val="1"/>
          <w:color w:val="auto"/>
        </w:rPr>
      </w:pPr>
    </w:p>
    <w:p>
      <w:pPr>
        <w:jc w:val="both"/>
        <w:ind w:left="1160" w:right="119" w:firstLine="54"/>
        <w:spacing w:after="0" w:line="224" w:lineRule="auto"/>
        <w:rPr>
          <w:rFonts w:ascii="Arial" w:cs="Arial" w:eastAsia="Arial" w:hAnsi="Arial"/>
          <w:sz w:val="19"/>
          <w:szCs w:val="19"/>
          <w:b w:val="1"/>
          <w:bCs w:val="1"/>
          <w:color w:val="auto"/>
        </w:rPr>
      </w:pPr>
      <w:r>
        <w:rPr>
          <w:rFonts w:ascii="Arial" w:cs="Arial" w:eastAsia="Arial" w:hAnsi="Arial"/>
          <w:sz w:val="21"/>
          <w:szCs w:val="21"/>
          <w:color w:val="auto"/>
        </w:rPr>
        <w:t>You will also have 6 months from the date of your separation to exercise stock options and RSUs. Due to IRS regulations, certain options convert from ISO to NSO 90 days after employment terminates. Please check with your investment professional to understand the tax implications of the conversion of your options.</w:t>
      </w:r>
    </w:p>
    <w:p>
      <w:pPr>
        <w:spacing w:after="0" w:line="127" w:lineRule="exact"/>
        <w:rPr>
          <w:rFonts w:ascii="Arial" w:cs="Arial" w:eastAsia="Arial" w:hAnsi="Arial"/>
          <w:sz w:val="19"/>
          <w:szCs w:val="19"/>
          <w:b w:val="1"/>
          <w:bCs w:val="1"/>
          <w:color w:val="auto"/>
        </w:rPr>
      </w:pPr>
    </w:p>
    <w:p>
      <w:pPr>
        <w:jc w:val="both"/>
        <w:ind w:left="600" w:right="119" w:hanging="417"/>
        <w:spacing w:after="0" w:line="230" w:lineRule="auto"/>
        <w:tabs>
          <w:tab w:leader="none" w:pos="579" w:val="left"/>
        </w:tabs>
        <w:numPr>
          <w:ilvl w:val="0"/>
          <w:numId w:val="7"/>
        </w:numPr>
        <w:rPr>
          <w:rFonts w:ascii="Arial" w:cs="Arial" w:eastAsia="Arial" w:hAnsi="Arial"/>
          <w:sz w:val="21"/>
          <w:szCs w:val="21"/>
          <w:b w:val="1"/>
          <w:bCs w:val="1"/>
          <w:color w:val="auto"/>
        </w:rPr>
      </w:pPr>
      <w:r>
        <w:rPr>
          <w:rFonts w:ascii="Arial" w:cs="Arial" w:eastAsia="Arial" w:hAnsi="Arial"/>
          <w:sz w:val="21"/>
          <w:szCs w:val="21"/>
          <w:b w:val="1"/>
          <w:bCs w:val="1"/>
          <w:color w:val="auto"/>
        </w:rPr>
        <w:t>O</w:t>
      </w:r>
      <w:r>
        <w:rPr>
          <w:rFonts w:ascii="Arial" w:cs="Arial" w:eastAsia="Arial" w:hAnsi="Arial"/>
          <w:sz w:val="16"/>
          <w:szCs w:val="16"/>
          <w:b w:val="1"/>
          <w:bCs w:val="1"/>
          <w:color w:val="auto"/>
        </w:rPr>
        <w:t>THER</w:t>
      </w:r>
      <w:r>
        <w:rPr>
          <w:rFonts w:ascii="Arial" w:cs="Arial" w:eastAsia="Arial" w:hAnsi="Arial"/>
          <w:sz w:val="21"/>
          <w:szCs w:val="21"/>
          <w:b w:val="1"/>
          <w:bCs w:val="1"/>
          <w:color w:val="auto"/>
        </w:rPr>
        <w:t xml:space="preserve"> C</w:t>
      </w:r>
      <w:r>
        <w:rPr>
          <w:rFonts w:ascii="Arial" w:cs="Arial" w:eastAsia="Arial" w:hAnsi="Arial"/>
          <w:sz w:val="16"/>
          <w:szCs w:val="16"/>
          <w:b w:val="1"/>
          <w:bCs w:val="1"/>
          <w:color w:val="auto"/>
        </w:rPr>
        <w:t>OMPENSATION OR</w:t>
      </w:r>
      <w:r>
        <w:rPr>
          <w:rFonts w:ascii="Arial" w:cs="Arial" w:eastAsia="Arial" w:hAnsi="Arial"/>
          <w:sz w:val="21"/>
          <w:szCs w:val="21"/>
          <w:b w:val="1"/>
          <w:bCs w:val="1"/>
          <w:color w:val="auto"/>
        </w:rPr>
        <w:t xml:space="preserve"> B</w:t>
      </w:r>
      <w:r>
        <w:rPr>
          <w:rFonts w:ascii="Arial" w:cs="Arial" w:eastAsia="Arial" w:hAnsi="Arial"/>
          <w:sz w:val="16"/>
          <w:szCs w:val="16"/>
          <w:b w:val="1"/>
          <w:bCs w:val="1"/>
          <w:color w:val="auto"/>
        </w:rPr>
        <w:t>ENEFITS</w:t>
      </w:r>
      <w:r>
        <w:rPr>
          <w:rFonts w:ascii="Arial" w:cs="Arial" w:eastAsia="Arial" w:hAnsi="Arial"/>
          <w:sz w:val="21"/>
          <w:szCs w:val="21"/>
          <w:b w:val="1"/>
          <w:bCs w:val="1"/>
          <w:color w:val="auto"/>
        </w:rPr>
        <w:t xml:space="preserve">. </w:t>
      </w:r>
      <w:r>
        <w:rPr>
          <w:rFonts w:ascii="Arial" w:cs="Arial" w:eastAsia="Arial" w:hAnsi="Arial"/>
          <w:sz w:val="21"/>
          <w:szCs w:val="21"/>
          <w:color w:val="auto"/>
        </w:rPr>
        <w:t>You acknowledge that, except as expressly provided in</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you will not receive any additional compensation, severance, or benefits after the Separation Date. You further expressly acknowledge and agree that the severance benefits being provided to you under this Agreement are in full satisfaction of any severance benefits you are eligible to receive under the Employment Agreement.</w:t>
      </w:r>
    </w:p>
    <w:p>
      <w:pPr>
        <w:spacing w:after="0" w:line="111" w:lineRule="exact"/>
        <w:rPr>
          <w:rFonts w:ascii="Arial" w:cs="Arial" w:eastAsia="Arial" w:hAnsi="Arial"/>
          <w:sz w:val="21"/>
          <w:szCs w:val="21"/>
          <w:b w:val="1"/>
          <w:bCs w:val="1"/>
          <w:color w:val="auto"/>
        </w:rPr>
      </w:pPr>
    </w:p>
    <w:p>
      <w:pPr>
        <w:jc w:val="both"/>
        <w:ind w:left="600" w:right="119" w:hanging="417"/>
        <w:spacing w:after="0" w:line="264" w:lineRule="auto"/>
        <w:tabs>
          <w:tab w:leader="none" w:pos="633"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E</w:t>
      </w:r>
      <w:r>
        <w:rPr>
          <w:rFonts w:ascii="Arial" w:cs="Arial" w:eastAsia="Arial" w:hAnsi="Arial"/>
          <w:sz w:val="15"/>
          <w:szCs w:val="15"/>
          <w:b w:val="1"/>
          <w:bCs w:val="1"/>
          <w:color w:val="auto"/>
        </w:rPr>
        <w:t>XPENSE</w:t>
      </w:r>
      <w:r>
        <w:rPr>
          <w:rFonts w:ascii="Arial" w:cs="Arial" w:eastAsia="Arial" w:hAnsi="Arial"/>
          <w:sz w:val="19"/>
          <w:szCs w:val="19"/>
          <w:b w:val="1"/>
          <w:bCs w:val="1"/>
          <w:color w:val="auto"/>
        </w:rPr>
        <w:t xml:space="preserve"> R</w:t>
      </w:r>
      <w:r>
        <w:rPr>
          <w:rFonts w:ascii="Arial" w:cs="Arial" w:eastAsia="Arial" w:hAnsi="Arial"/>
          <w:sz w:val="15"/>
          <w:szCs w:val="15"/>
          <w:b w:val="1"/>
          <w:bCs w:val="1"/>
          <w:color w:val="auto"/>
        </w:rPr>
        <w:t>EIMBURSEMENTS</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that, within ten (10) days after the Separation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91" w:lineRule="exact"/>
        <w:rPr>
          <w:rFonts w:ascii="Arial" w:cs="Arial" w:eastAsia="Arial" w:hAnsi="Arial"/>
          <w:sz w:val="19"/>
          <w:szCs w:val="19"/>
          <w:b w:val="1"/>
          <w:bCs w:val="1"/>
          <w:color w:val="auto"/>
        </w:rPr>
      </w:pPr>
    </w:p>
    <w:p>
      <w:pPr>
        <w:jc w:val="both"/>
        <w:ind w:left="600" w:right="119" w:hanging="417"/>
        <w:spacing w:after="0" w:line="251" w:lineRule="auto"/>
        <w:tabs>
          <w:tab w:leader="none" w:pos="62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R</w:t>
      </w:r>
      <w:r>
        <w:rPr>
          <w:rFonts w:ascii="Arial" w:cs="Arial" w:eastAsia="Arial" w:hAnsi="Arial"/>
          <w:sz w:val="15"/>
          <w:szCs w:val="15"/>
          <w:b w:val="1"/>
          <w:bCs w:val="1"/>
          <w:color w:val="auto"/>
        </w:rPr>
        <w:t>ETURN OF</w:t>
      </w:r>
      <w:r>
        <w:rPr>
          <w:rFonts w:ascii="Arial" w:cs="Arial" w:eastAsia="Arial" w:hAnsi="Arial"/>
          <w:sz w:val="19"/>
          <w:szCs w:val="19"/>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9"/>
          <w:szCs w:val="19"/>
          <w:color w:val="auto"/>
        </w:rPr>
        <w:t>. By the Separation Date, you agree to return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all Company documents (and all copies thereof) and other Company property within your possession, custody or control, including, but not limited to, Company files, notes, drawings, records, business plans and forecasts, financial information, specifications, computer-recorded information, tangible property (including, but not limited to), credit cards, entry cards, identification badges, and keys; and, any materials of any kind that contain or embody any proprietary or confidential information of the Company (and all reproductions thereof).</w:t>
      </w:r>
    </w:p>
    <w:p>
      <w:pPr>
        <w:spacing w:after="0" w:line="101" w:lineRule="exact"/>
        <w:rPr>
          <w:rFonts w:ascii="Arial" w:cs="Arial" w:eastAsia="Arial" w:hAnsi="Arial"/>
          <w:sz w:val="19"/>
          <w:szCs w:val="19"/>
          <w:b w:val="1"/>
          <w:bCs w:val="1"/>
          <w:color w:val="auto"/>
        </w:rPr>
      </w:pPr>
    </w:p>
    <w:p>
      <w:pPr>
        <w:jc w:val="both"/>
        <w:ind w:left="600" w:right="119" w:hanging="417"/>
        <w:spacing w:after="0" w:line="229" w:lineRule="auto"/>
        <w:tabs>
          <w:tab w:leader="none" w:pos="755"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ROPRIETARY</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NFORMATION</w:t>
      </w:r>
      <w:r>
        <w:rPr>
          <w:rFonts w:ascii="Arial" w:cs="Arial" w:eastAsia="Arial" w:hAnsi="Arial"/>
          <w:sz w:val="22"/>
          <w:szCs w:val="22"/>
          <w:b w:val="1"/>
          <w:bCs w:val="1"/>
          <w:color w:val="auto"/>
        </w:rPr>
        <w:t xml:space="preserve"> O</w:t>
      </w:r>
      <w:r>
        <w:rPr>
          <w:rFonts w:ascii="Arial" w:cs="Arial" w:eastAsia="Arial" w:hAnsi="Arial"/>
          <w:sz w:val="17"/>
          <w:szCs w:val="17"/>
          <w:b w:val="1"/>
          <w:bCs w:val="1"/>
          <w:color w:val="auto"/>
        </w:rPr>
        <w:t>BLIGATIONS</w:t>
      </w:r>
      <w:r>
        <w:rPr>
          <w:rFonts w:ascii="Arial" w:cs="Arial" w:eastAsia="Arial" w:hAnsi="Arial"/>
          <w:sz w:val="22"/>
          <w:szCs w:val="22"/>
          <w:color w:val="auto"/>
        </w:rPr>
        <w:t>. You acknowledge your continuing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under your Employee Proprietary Information and Inventions Assignment Agreement, a copy of which is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12" w:lineRule="exact"/>
        <w:rPr>
          <w:rFonts w:ascii="Arial" w:cs="Arial" w:eastAsia="Arial" w:hAnsi="Arial"/>
          <w:sz w:val="22"/>
          <w:szCs w:val="22"/>
          <w:b w:val="1"/>
          <w:bCs w:val="1"/>
          <w:color w:val="auto"/>
        </w:rPr>
      </w:pPr>
    </w:p>
    <w:p>
      <w:pPr>
        <w:jc w:val="both"/>
        <w:ind w:left="600" w:right="119" w:hanging="417"/>
        <w:spacing w:after="0" w:line="257" w:lineRule="auto"/>
        <w:tabs>
          <w:tab w:leader="none" w:pos="768"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M</w:t>
      </w:r>
      <w:r>
        <w:rPr>
          <w:rFonts w:ascii="Arial" w:cs="Arial" w:eastAsia="Arial" w:hAnsi="Arial"/>
          <w:sz w:val="15"/>
          <w:szCs w:val="15"/>
          <w:b w:val="1"/>
          <w:bCs w:val="1"/>
          <w:color w:val="auto"/>
        </w:rPr>
        <w:t>UTUAL</w:t>
      </w:r>
      <w:r>
        <w:rPr>
          <w:rFonts w:ascii="Arial" w:cs="Arial" w:eastAsia="Arial" w:hAnsi="Arial"/>
          <w:sz w:val="19"/>
          <w:szCs w:val="19"/>
          <w:b w:val="1"/>
          <w:bCs w:val="1"/>
          <w:color w:val="auto"/>
        </w:rPr>
        <w:t xml:space="preserve"> N</w:t>
      </w:r>
      <w:r>
        <w:rPr>
          <w:rFonts w:ascii="Arial" w:cs="Arial" w:eastAsia="Arial" w:hAnsi="Arial"/>
          <w:sz w:val="15"/>
          <w:szCs w:val="15"/>
          <w:b w:val="1"/>
          <w:bCs w:val="1"/>
          <w:color w:val="auto"/>
        </w:rPr>
        <w:t>ON</w:t>
      </w:r>
      <w:r>
        <w:rPr>
          <w:rFonts w:ascii="Arial" w:cs="Arial" w:eastAsia="Arial" w:hAnsi="Arial"/>
          <w:sz w:val="19"/>
          <w:szCs w:val="19"/>
          <w:b w:val="1"/>
          <w:bCs w:val="1"/>
          <w:color w:val="auto"/>
        </w:rPr>
        <w:t>-</w:t>
      </w:r>
      <w:r>
        <w:rPr>
          <w:rFonts w:ascii="Arial" w:cs="Arial" w:eastAsia="Arial" w:hAnsi="Arial"/>
          <w:sz w:val="15"/>
          <w:szCs w:val="15"/>
          <w:b w:val="1"/>
          <w:bCs w:val="1"/>
          <w:color w:val="auto"/>
        </w:rPr>
        <w:t>DISPARAGEMENT</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not to disparage the Company, its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employees, shareholders, and agents, in any manner likely to be harmful to its or their business, business reputation or personal reputation; and the Company (through its officers and directors) agrees not to disparage you in any manner likely to be harmful to you or your business, business reputation or personal reputation; provided that you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320675</wp:posOffset>
            </wp:positionV>
            <wp:extent cx="58032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803265"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4" w:name="page45"/>
    <w:bookmarkEnd w:id="44"/>
    <w:p>
      <w:pPr>
        <w:ind w:left="580" w:right="119"/>
        <w:spacing w:after="0" w:line="233" w:lineRule="auto"/>
        <w:rPr>
          <w:sz w:val="20"/>
          <w:szCs w:val="20"/>
          <w:color w:val="auto"/>
        </w:rPr>
      </w:pPr>
      <w:r>
        <w:rPr>
          <w:rFonts w:ascii="Arial" w:cs="Arial" w:eastAsia="Arial" w:hAnsi="Arial"/>
          <w:sz w:val="22"/>
          <w:szCs w:val="22"/>
          <w:color w:val="auto"/>
        </w:rPr>
        <w:t>Company will respond accurately and fully to any question, inquiry or request for information when required by legal process.</w:t>
      </w:r>
    </w:p>
    <w:p>
      <w:pPr>
        <w:spacing w:after="0" w:line="71" w:lineRule="exact"/>
        <w:rPr>
          <w:sz w:val="20"/>
          <w:szCs w:val="20"/>
          <w:color w:val="auto"/>
        </w:rPr>
      </w:pPr>
    </w:p>
    <w:p>
      <w:pPr>
        <w:jc w:val="both"/>
        <w:ind w:left="600" w:right="119" w:hanging="417"/>
        <w:spacing w:after="0" w:line="278" w:lineRule="auto"/>
        <w:tabs>
          <w:tab w:leader="none" w:pos="66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N</w:t>
      </w:r>
      <w:r>
        <w:rPr>
          <w:rFonts w:ascii="Arial" w:cs="Arial" w:eastAsia="Arial" w:hAnsi="Arial"/>
          <w:sz w:val="15"/>
          <w:szCs w:val="15"/>
          <w:b w:val="1"/>
          <w:bCs w:val="1"/>
          <w:color w:val="auto"/>
        </w:rPr>
        <w:t>O</w:t>
      </w:r>
      <w:r>
        <w:rPr>
          <w:rFonts w:ascii="Arial" w:cs="Arial" w:eastAsia="Arial" w:hAnsi="Arial"/>
          <w:sz w:val="19"/>
          <w:szCs w:val="19"/>
          <w:b w:val="1"/>
          <w:bCs w:val="1"/>
          <w:color w:val="auto"/>
        </w:rPr>
        <w:t xml:space="preserve"> A</w:t>
      </w:r>
      <w:r>
        <w:rPr>
          <w:rFonts w:ascii="Arial" w:cs="Arial" w:eastAsia="Arial" w:hAnsi="Arial"/>
          <w:sz w:val="15"/>
          <w:szCs w:val="15"/>
          <w:b w:val="1"/>
          <w:bCs w:val="1"/>
          <w:color w:val="auto"/>
        </w:rPr>
        <w:t>DMISSIONS</w:t>
      </w:r>
      <w:r>
        <w:rPr>
          <w:rFonts w:ascii="Arial" w:cs="Arial" w:eastAsia="Arial" w:hAnsi="Arial"/>
          <w:sz w:val="19"/>
          <w:szCs w:val="19"/>
          <w:b w:val="1"/>
          <w:bCs w:val="1"/>
          <w:color w:val="auto"/>
        </w:rPr>
        <w:t xml:space="preserve">. </w:t>
      </w:r>
      <w:r>
        <w:rPr>
          <w:rFonts w:ascii="Arial" w:cs="Arial" w:eastAsia="Arial" w:hAnsi="Arial"/>
          <w:sz w:val="19"/>
          <w:szCs w:val="19"/>
          <w:color w:val="auto"/>
        </w:rPr>
        <w:t>You understand and agree that the promises and payments in consideration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Agreement shall not be construed to be an admission of any liability or obligation by the Company to you or to any other person, and that the Company makes no such admission.</w:t>
      </w:r>
    </w:p>
    <w:p>
      <w:pPr>
        <w:spacing w:after="0" w:line="77" w:lineRule="exact"/>
        <w:rPr>
          <w:rFonts w:ascii="Arial" w:cs="Arial" w:eastAsia="Arial" w:hAnsi="Arial"/>
          <w:sz w:val="19"/>
          <w:szCs w:val="19"/>
          <w:b w:val="1"/>
          <w:bCs w:val="1"/>
          <w:color w:val="auto"/>
        </w:rPr>
      </w:pPr>
    </w:p>
    <w:p>
      <w:pPr>
        <w:jc w:val="both"/>
        <w:ind w:left="600" w:right="119" w:hanging="417"/>
        <w:spacing w:after="0"/>
        <w:tabs>
          <w:tab w:leader="none" w:pos="66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R</w:t>
      </w:r>
      <w:r>
        <w:rPr>
          <w:rFonts w:ascii="Arial" w:cs="Arial" w:eastAsia="Arial" w:hAnsi="Arial"/>
          <w:sz w:val="15"/>
          <w:szCs w:val="15"/>
          <w:b w:val="1"/>
          <w:bCs w:val="1"/>
          <w:color w:val="auto"/>
        </w:rPr>
        <w:t>ELEASE OF</w:t>
      </w:r>
      <w:r>
        <w:rPr>
          <w:rFonts w:ascii="Arial" w:cs="Arial" w:eastAsia="Arial" w:hAnsi="Arial"/>
          <w:sz w:val="19"/>
          <w:szCs w:val="19"/>
          <w:b w:val="1"/>
          <w:bCs w:val="1"/>
          <w:color w:val="auto"/>
        </w:rPr>
        <w:t xml:space="preserve"> C</w:t>
      </w:r>
      <w:r>
        <w:rPr>
          <w:rFonts w:ascii="Arial" w:cs="Arial" w:eastAsia="Arial" w:hAnsi="Arial"/>
          <w:sz w:val="15"/>
          <w:szCs w:val="15"/>
          <w:b w:val="1"/>
          <w:bCs w:val="1"/>
          <w:color w:val="auto"/>
        </w:rPr>
        <w:t>LAIMS</w:t>
      </w:r>
      <w:r>
        <w:rPr>
          <w:rFonts w:ascii="Arial" w:cs="Arial" w:eastAsia="Arial" w:hAnsi="Arial"/>
          <w:sz w:val="19"/>
          <w:szCs w:val="19"/>
          <w:b w:val="1"/>
          <w:bCs w:val="1"/>
          <w:color w:val="auto"/>
        </w:rPr>
        <w:t xml:space="preserve">. </w:t>
      </w:r>
      <w:r>
        <w:rPr>
          <w:rFonts w:ascii="Arial" w:cs="Arial" w:eastAsia="Arial" w:hAnsi="Arial"/>
          <w:sz w:val="19"/>
          <w:szCs w:val="19"/>
          <w:color w:val="auto"/>
        </w:rPr>
        <w:t>In exchange for the consideration under this Agreement to which you</w:t>
      </w:r>
      <w:r>
        <w:rPr>
          <w:rFonts w:ascii="Arial" w:cs="Arial" w:eastAsia="Arial" w:hAnsi="Arial"/>
          <w:sz w:val="19"/>
          <w:szCs w:val="19"/>
          <w:b w:val="1"/>
          <w:bCs w:val="1"/>
          <w:color w:val="auto"/>
        </w:rPr>
        <w:t xml:space="preserve"> </w:t>
      </w:r>
      <w:r>
        <w:rPr>
          <w:rFonts w:ascii="Arial" w:cs="Arial" w:eastAsia="Arial" w:hAnsi="Arial"/>
          <w:sz w:val="19"/>
          <w:szCs w:val="19"/>
          <w:color w:val="auto"/>
        </w:rPr>
        <w:t>would not otherwise be entitled, you hereby generally and completely release the Company and its directors, officers, employees, shareholders, partners, agents, attorneys, predecessors, successors, parent and subsidiary entities, insurers, affiliates, and assigns from any and all claims, liabilities and obligations, both known and unknown, that arise out of or are in any way related to events, acts, conduct, or omissions occurring at any time prior to and including the date you sign this Agreement. This general release includes, but is not limited to: (a) all claims arising out of or in any way related to your employment with the Company or the termination of that employment; (b) all claims related to your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 the Arizona Wage Act, the Arizona Employment Protection Act, the Arizona Civil Rights Act, the Arizona Revised Statutes, the Arizona Administrative Rules, the Texas Human Rights Act and the Texas Labor Code. Notwithstanding the foregoing, you are not releasing the Company hereby from any obligation to indemnify you pursuant to the Articles and Bylaws of the Company, any valid fully executed indemnification agreement with the Company, applicable law, or applicable directors’ and officers’ liability insurance. Also, excluded from this Agreement are any claims that cannot be waived by law.</w:t>
      </w:r>
    </w:p>
    <w:p>
      <w:pPr>
        <w:spacing w:after="0" w:line="307" w:lineRule="exact"/>
        <w:rPr>
          <w:rFonts w:ascii="Arial" w:cs="Arial" w:eastAsia="Arial" w:hAnsi="Arial"/>
          <w:sz w:val="19"/>
          <w:szCs w:val="19"/>
          <w:b w:val="1"/>
          <w:bCs w:val="1"/>
          <w:color w:val="auto"/>
        </w:rPr>
      </w:pPr>
    </w:p>
    <w:p>
      <w:pPr>
        <w:jc w:val="both"/>
        <w:ind w:left="600" w:right="119" w:hanging="417"/>
        <w:spacing w:after="0" w:line="243" w:lineRule="auto"/>
        <w:tabs>
          <w:tab w:leader="none" w:pos="707"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ADEA R</w:t>
      </w:r>
      <w:r>
        <w:rPr>
          <w:rFonts w:ascii="Arial" w:cs="Arial" w:eastAsia="Arial" w:hAnsi="Arial"/>
          <w:sz w:val="15"/>
          <w:szCs w:val="15"/>
          <w:b w:val="1"/>
          <w:bCs w:val="1"/>
          <w:color w:val="auto"/>
        </w:rPr>
        <w:t>ELEASE</w:t>
      </w:r>
      <w:r>
        <w:rPr>
          <w:rFonts w:ascii="Arial" w:cs="Arial" w:eastAsia="Arial" w:hAnsi="Arial"/>
          <w:sz w:val="19"/>
          <w:szCs w:val="19"/>
          <w:b w:val="1"/>
          <w:bCs w:val="1"/>
          <w:color w:val="auto"/>
        </w:rPr>
        <w:t xml:space="preserve">. </w:t>
      </w:r>
      <w:r>
        <w:rPr>
          <w:rFonts w:ascii="Arial" w:cs="Arial" w:eastAsia="Arial" w:hAnsi="Arial"/>
          <w:sz w:val="19"/>
          <w:szCs w:val="19"/>
          <w:color w:val="auto"/>
        </w:rPr>
        <w:t>You acknowledge that you are knowingly and voluntarily waiving and</w:t>
      </w:r>
      <w:r>
        <w:rPr>
          <w:rFonts w:ascii="Arial" w:cs="Arial" w:eastAsia="Arial" w:hAnsi="Arial"/>
          <w:sz w:val="19"/>
          <w:szCs w:val="19"/>
          <w:b w:val="1"/>
          <w:bCs w:val="1"/>
          <w:color w:val="auto"/>
        </w:rPr>
        <w:t xml:space="preserve"> </w:t>
      </w:r>
      <w:r>
        <w:rPr>
          <w:rFonts w:ascii="Arial" w:cs="Arial" w:eastAsia="Arial" w:hAnsi="Arial"/>
          <w:sz w:val="19"/>
          <w:szCs w:val="19"/>
          <w:color w:val="auto"/>
        </w:rPr>
        <w:t>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w:t>
      </w:r>
    </w:p>
    <w:p>
      <w:pPr>
        <w:jc w:val="both"/>
        <w:ind w:left="600" w:right="119" w:hanging="5"/>
        <w:spacing w:after="0" w:line="211" w:lineRule="auto"/>
        <w:tabs>
          <w:tab w:leader="none" w:pos="940" w:val="left"/>
        </w:tabs>
        <w:numPr>
          <w:ilvl w:val="1"/>
          <w:numId w:val="8"/>
        </w:numPr>
        <w:rPr>
          <w:rFonts w:ascii="Arial" w:cs="Arial" w:eastAsia="Arial" w:hAnsi="Arial"/>
          <w:sz w:val="22"/>
          <w:szCs w:val="22"/>
          <w:color w:val="auto"/>
        </w:rPr>
      </w:pPr>
      <w:r>
        <w:rPr>
          <w:rFonts w:ascii="Arial" w:cs="Arial" w:eastAsia="Arial" w:hAnsi="Arial"/>
          <w:sz w:val="22"/>
          <w:szCs w:val="22"/>
          <w:color w:val="auto"/>
        </w:rPr>
        <w:t>you have twenty-one (21) days to consider this Agreement (although you may choose voluntarily to sign it sooner); (d) you have seven (7) 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329565</wp:posOffset>
            </wp:positionV>
            <wp:extent cx="58032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803265"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5" w:name="page46"/>
    <w:bookmarkEnd w:id="45"/>
    <w:p>
      <w:pPr>
        <w:ind w:left="180"/>
        <w:spacing w:after="0"/>
        <w:rPr>
          <w:sz w:val="20"/>
          <w:szCs w:val="20"/>
          <w:color w:val="auto"/>
        </w:rPr>
      </w:pPr>
      <w:r>
        <w:rPr>
          <w:rFonts w:ascii="Arial" w:cs="Arial" w:eastAsia="Arial" w:hAnsi="Arial"/>
          <w:sz w:val="19"/>
          <w:szCs w:val="19"/>
          <w:b w:val="1"/>
          <w:bCs w:val="1"/>
          <w:color w:val="auto"/>
        </w:rPr>
        <w:t>12</w:t>
      </w:r>
      <w:r>
        <w:rPr>
          <w:rFonts w:ascii="Arial" w:cs="Arial" w:eastAsia="Arial" w:hAnsi="Arial"/>
          <w:sz w:val="19"/>
          <w:szCs w:val="19"/>
          <w:color w:val="auto"/>
        </w:rPr>
        <w:t>.</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ROTECTED</w:t>
      </w:r>
      <w:r>
        <w:rPr>
          <w:rFonts w:ascii="Arial" w:cs="Arial" w:eastAsia="Arial" w:hAnsi="Arial"/>
          <w:sz w:val="19"/>
          <w:szCs w:val="19"/>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9"/>
          <w:szCs w:val="19"/>
          <w:b w:val="1"/>
          <w:bCs w:val="1"/>
          <w:color w:val="auto"/>
        </w:rPr>
        <w:t xml:space="preserve">. </w:t>
      </w:r>
      <w:r>
        <w:rPr>
          <w:rFonts w:ascii="Arial" w:cs="Arial" w:eastAsia="Arial" w:hAnsi="Arial"/>
          <w:sz w:val="19"/>
          <w:szCs w:val="19"/>
          <w:color w:val="auto"/>
        </w:rPr>
        <w:t>You understand that nothing in this Agreement limits your ability to file</w:t>
      </w:r>
    </w:p>
    <w:p>
      <w:pPr>
        <w:spacing w:after="0" w:line="36" w:lineRule="exact"/>
        <w:rPr>
          <w:sz w:val="20"/>
          <w:szCs w:val="20"/>
          <w:color w:val="auto"/>
        </w:rPr>
      </w:pPr>
    </w:p>
    <w:p>
      <w:pPr>
        <w:jc w:val="both"/>
        <w:ind w:left="600" w:right="119"/>
        <w:spacing w:after="0" w:line="241" w:lineRule="auto"/>
        <w:rPr>
          <w:sz w:val="20"/>
          <w:szCs w:val="20"/>
          <w:color w:val="auto"/>
        </w:rPr>
      </w:pPr>
      <w:r>
        <w:rPr>
          <w:rFonts w:ascii="Arial" w:cs="Arial" w:eastAsia="Arial" w:hAnsi="Arial"/>
          <w:sz w:val="19"/>
          <w:szCs w:val="19"/>
          <w:color w:val="auto"/>
        </w:rPr>
        <w:t>a 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b w:val="1"/>
          <w:bCs w:val="1"/>
          <w:color w:val="auto"/>
        </w:rPr>
        <w:t>Government Agencies</w:t>
      </w:r>
      <w:r>
        <w:rPr>
          <w:rFonts w:ascii="Arial" w:cs="Arial" w:eastAsia="Arial" w:hAnsi="Arial"/>
          <w:sz w:val="19"/>
          <w:szCs w:val="19"/>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w:t>
      </w:r>
    </w:p>
    <w:p>
      <w:pPr>
        <w:spacing w:after="0" w:line="330" w:lineRule="exact"/>
        <w:rPr>
          <w:sz w:val="20"/>
          <w:szCs w:val="20"/>
          <w:color w:val="auto"/>
        </w:rPr>
      </w:pPr>
    </w:p>
    <w:p>
      <w:pPr>
        <w:jc w:val="both"/>
        <w:ind w:left="600" w:right="119" w:hanging="417"/>
        <w:spacing w:after="0" w:line="219" w:lineRule="auto"/>
        <w:tabs>
          <w:tab w:leader="none" w:pos="633"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EPRESENTATIONS</w:t>
      </w:r>
      <w:r>
        <w:rPr>
          <w:rFonts w:ascii="Arial" w:cs="Arial" w:eastAsia="Arial" w:hAnsi="Arial"/>
          <w:sz w:val="22"/>
          <w:szCs w:val="22"/>
          <w:b w:val="1"/>
          <w:bCs w:val="1"/>
          <w:color w:val="auto"/>
        </w:rPr>
        <w:t xml:space="preserve">. </w:t>
      </w:r>
      <w:r>
        <w:rPr>
          <w:rFonts w:ascii="Arial" w:cs="Arial" w:eastAsia="Arial" w:hAnsi="Arial"/>
          <w:sz w:val="22"/>
          <w:szCs w:val="22"/>
          <w:color w:val="auto"/>
        </w:rPr>
        <w:t>You hereby represent that you have been paid all compensation owed and</w:t>
      </w:r>
      <w:r>
        <w:rPr>
          <w:rFonts w:ascii="Arial" w:cs="Arial" w:eastAsia="Arial" w:hAnsi="Arial"/>
          <w:sz w:val="22"/>
          <w:szCs w:val="22"/>
          <w:b w:val="1"/>
          <w:bCs w:val="1"/>
          <w:color w:val="auto"/>
        </w:rPr>
        <w:t xml:space="preserve"> </w:t>
      </w:r>
      <w:r>
        <w:rPr>
          <w:rFonts w:ascii="Arial" w:cs="Arial" w:eastAsia="Arial" w:hAnsi="Arial"/>
          <w:sz w:val="22"/>
          <w:szCs w:val="22"/>
          <w:color w:val="auto"/>
        </w:rPr>
        <w:t>for all hours worked, have received all the leave and leave benefits and protections for which you are eligible pursuant to the Family and Medical Leave Act or otherwise, and have not suffered any on-the-job injury for which you have not already filed a workers’ compensation claim.</w:t>
      </w:r>
    </w:p>
    <w:p>
      <w:pPr>
        <w:spacing w:after="0" w:line="115" w:lineRule="exact"/>
        <w:rPr>
          <w:sz w:val="20"/>
          <w:szCs w:val="20"/>
          <w:color w:val="auto"/>
        </w:rPr>
      </w:pPr>
    </w:p>
    <w:p>
      <w:pPr>
        <w:jc w:val="both"/>
        <w:ind w:left="600" w:right="119" w:hanging="411"/>
        <w:spacing w:after="0" w:line="242" w:lineRule="auto"/>
        <w:tabs>
          <w:tab w:leader="none" w:pos="580" w:val="left"/>
        </w:tabs>
        <w:rPr>
          <w:sz w:val="20"/>
          <w:szCs w:val="20"/>
          <w:color w:val="auto"/>
        </w:rPr>
      </w:pPr>
      <w:r>
        <w:rPr>
          <w:rFonts w:ascii="Arial" w:cs="Arial" w:eastAsia="Arial" w:hAnsi="Arial"/>
          <w:sz w:val="22"/>
          <w:szCs w:val="22"/>
          <w:b w:val="1"/>
          <w:bCs w:val="1"/>
          <w:color w:val="auto"/>
        </w:rPr>
        <w:t>14</w:t>
      </w:r>
      <w:r>
        <w:rPr>
          <w:rFonts w:ascii="Arial" w:cs="Arial" w:eastAsia="Arial" w:hAnsi="Arial"/>
          <w:sz w:val="22"/>
          <w:szCs w:val="22"/>
          <w:color w:val="auto"/>
        </w:rPr>
        <w:t>.</w:t>
      </w:r>
      <w:r>
        <w:rPr>
          <w:sz w:val="20"/>
          <w:szCs w:val="20"/>
          <w:color w:val="auto"/>
        </w:rPr>
        <w:tab/>
      </w:r>
      <w:r>
        <w:rPr>
          <w:rFonts w:ascii="Arial" w:cs="Arial" w:eastAsia="Arial" w:hAnsi="Arial"/>
          <w:sz w:val="19"/>
          <w:szCs w:val="19"/>
          <w:b w:val="1"/>
          <w:bCs w:val="1"/>
          <w:color w:val="auto"/>
        </w:rPr>
        <w:t>M</w:t>
      </w:r>
      <w:r>
        <w:rPr>
          <w:rFonts w:ascii="Arial" w:cs="Arial" w:eastAsia="Arial" w:hAnsi="Arial"/>
          <w:sz w:val="15"/>
          <w:szCs w:val="15"/>
          <w:b w:val="1"/>
          <w:bCs w:val="1"/>
          <w:color w:val="auto"/>
        </w:rPr>
        <w:t>ISCELLANEOUS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including</w:t>
      </w:r>
      <w:r>
        <w:rPr>
          <w:rFonts w:ascii="Arial" w:cs="Arial" w:eastAsia="Arial" w:hAnsi="Arial"/>
          <w:sz w:val="19"/>
          <w:szCs w:val="19"/>
          <w:b w:val="1"/>
          <w:bCs w:val="1"/>
          <w:color w:val="auto"/>
        </w:rPr>
        <w:t xml:space="preserve"> Exhibit A</w:t>
      </w:r>
      <w:r>
        <w:rPr>
          <w:rFonts w:ascii="Arial" w:cs="Arial" w:eastAsia="Arial" w:hAnsi="Arial"/>
          <w:sz w:val="19"/>
          <w:szCs w:val="19"/>
          <w:color w:val="auto"/>
        </w:rPr>
        <w:t>, constitutes the complete, final and</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 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Arizona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spacing w:after="0" w:line="342" w:lineRule="exact"/>
        <w:rPr>
          <w:sz w:val="20"/>
          <w:szCs w:val="20"/>
          <w:color w:val="auto"/>
        </w:rPr>
      </w:pPr>
    </w:p>
    <w:p>
      <w:pPr>
        <w:jc w:val="both"/>
        <w:ind w:left="180" w:right="119"/>
        <w:spacing w:after="0" w:line="218" w:lineRule="auto"/>
        <w:rPr>
          <w:sz w:val="20"/>
          <w:szCs w:val="20"/>
          <w:color w:val="auto"/>
        </w:rPr>
      </w:pPr>
      <w:r>
        <w:rPr>
          <w:rFonts w:ascii="Arial" w:cs="Arial" w:eastAsia="Arial" w:hAnsi="Arial"/>
          <w:sz w:val="22"/>
          <w:szCs w:val="22"/>
          <w:color w:val="auto"/>
        </w:rPr>
        <w:t>If this Agreement is acceptable to you, please sign below and return the original to me. You have twenty-one (21) calendar days to decide whether you would like to accept this Agreement, and the Company’s offer contained herein will automatically expire if you do not sign and return it within this timeframe.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330200</wp:posOffset>
            </wp:positionV>
            <wp:extent cx="58032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803265" cy="254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6" w:name="page47"/>
    <w:bookmarkEnd w:id="46"/>
    <w:p>
      <w:pPr>
        <w:ind w:left="30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-137795</wp:posOffset>
            </wp:positionV>
            <wp:extent cx="2134235" cy="522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134235" cy="52260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Jim Everett</w:t>
      </w:r>
    </w:p>
    <w:p>
      <w:pPr>
        <w:spacing w:after="0" w:line="238" w:lineRule="auto"/>
        <w:rPr>
          <w:sz w:val="20"/>
          <w:szCs w:val="20"/>
          <w:color w:val="auto"/>
        </w:rPr>
      </w:pPr>
      <w:r>
        <w:rPr>
          <w:rFonts w:ascii="Arial" w:cs="Arial" w:eastAsia="Arial" w:hAnsi="Arial"/>
          <w:sz w:val="22"/>
          <w:szCs w:val="22"/>
          <w:color w:val="auto"/>
        </w:rPr>
        <w:t>Vice President of Global Human</w:t>
      </w:r>
    </w:p>
    <w:p>
      <w:pPr>
        <w:spacing w:after="0"/>
        <w:rPr>
          <w:sz w:val="20"/>
          <w:szCs w:val="20"/>
          <w:color w:val="auto"/>
        </w:rPr>
      </w:pPr>
      <w:r>
        <w:rPr>
          <w:rFonts w:ascii="Arial" w:cs="Arial" w:eastAsia="Arial" w:hAnsi="Arial"/>
          <w:sz w:val="22"/>
          <w:szCs w:val="22"/>
          <w:color w:val="auto"/>
        </w:rPr>
        <w:t>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hanging="197"/>
        <w:spacing w:after="0"/>
        <w:tabs>
          <w:tab w:leader="none" w:pos="500" w:val="left"/>
        </w:tabs>
        <w:numPr>
          <w:ilvl w:val="0"/>
          <w:numId w:val="10"/>
        </w:numPr>
        <w:rPr>
          <w:rFonts w:ascii="Arial" w:cs="Arial" w:eastAsia="Arial" w:hAnsi="Arial"/>
          <w:sz w:val="22"/>
          <w:szCs w:val="22"/>
          <w:b w:val="1"/>
          <w:bCs w:val="1"/>
          <w:color w:val="auto"/>
        </w:rPr>
      </w:pPr>
      <w:r>
        <w:rPr>
          <w:rFonts w:ascii="Arial" w:cs="Arial" w:eastAsia="Arial" w:hAnsi="Arial"/>
          <w:sz w:val="17"/>
          <w:szCs w:val="17"/>
          <w:b w:val="1"/>
          <w:bCs w:val="1"/>
          <w:color w:val="auto"/>
        </w:rPr>
        <w:t>HAVE READ</w:t>
      </w:r>
      <w:r>
        <w:rPr>
          <w:rFonts w:ascii="Arial" w:cs="Arial" w:eastAsia="Arial" w:hAnsi="Arial"/>
          <w:sz w:val="21"/>
          <w:szCs w:val="21"/>
          <w:b w:val="1"/>
          <w:bCs w:val="1"/>
          <w:color w:val="auto"/>
        </w:rPr>
        <w:t>,</w:t>
      </w:r>
      <w:r>
        <w:rPr>
          <w:rFonts w:ascii="Arial" w:cs="Arial" w:eastAsia="Arial" w:hAnsi="Arial"/>
          <w:sz w:val="17"/>
          <w:szCs w:val="17"/>
          <w:b w:val="1"/>
          <w:bCs w:val="1"/>
          <w:color w:val="auto"/>
        </w:rPr>
        <w:t xml:space="preserve"> UNDERSTAND AND AGREE FULLY TO THE FOREGOING </w:t>
      </w:r>
      <w:r>
        <w:rPr>
          <w:rFonts w:ascii="Arial" w:cs="Arial" w:eastAsia="Arial" w:hAnsi="Arial"/>
          <w:sz w:val="21"/>
          <w:szCs w:val="21"/>
          <w:b w:val="1"/>
          <w:bCs w:val="1"/>
          <w:color w:val="auto"/>
        </w:rPr>
        <w:t>A</w:t>
      </w:r>
      <w:r>
        <w:rPr>
          <w:rFonts w:ascii="Arial" w:cs="Arial" w:eastAsia="Arial" w:hAnsi="Arial"/>
          <w:sz w:val="17"/>
          <w:szCs w:val="17"/>
          <w:b w:val="1"/>
          <w:bCs w:val="1"/>
          <w:color w:val="auto"/>
        </w:rPr>
        <w:t>GREEMENT</w:t>
      </w:r>
      <w:r>
        <w:rPr>
          <w:rFonts w:ascii="Arial" w:cs="Arial" w:eastAsia="Arial" w:hAnsi="Arial"/>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477135" cy="514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477135" cy="5143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1/19/20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635</wp:posOffset>
            </wp:positionV>
            <wp:extent cx="26828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97" w:lineRule="exact"/>
        <w:rPr>
          <w:sz w:val="20"/>
          <w:szCs w:val="20"/>
          <w:color w:val="auto"/>
        </w:rPr>
      </w:pPr>
    </w:p>
    <w:p>
      <w:pPr>
        <w:spacing w:after="0"/>
        <w:tabs>
          <w:tab w:leader="none" w:pos="6340" w:val="left"/>
        </w:tabs>
        <w:rPr>
          <w:sz w:val="20"/>
          <w:szCs w:val="20"/>
          <w:color w:val="auto"/>
        </w:rPr>
      </w:pPr>
      <w:r>
        <w:rPr>
          <w:rFonts w:ascii="Arial" w:cs="Arial" w:eastAsia="Arial" w:hAnsi="Arial"/>
          <w:sz w:val="22"/>
          <w:szCs w:val="22"/>
          <w:color w:val="auto"/>
        </w:rPr>
        <w:t>Jeff Winzeler</w:t>
      </w:r>
      <w:r>
        <w:rPr>
          <w:sz w:val="20"/>
          <w:szCs w:val="20"/>
          <w:color w:val="auto"/>
        </w:rPr>
        <w:tab/>
      </w: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Exhibit A – Employee Proprietary Information and Inventions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778510</wp:posOffset>
            </wp:positionV>
            <wp:extent cx="58032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803265" cy="25400"/>
                    </a:xfrm>
                    <a:prstGeom prst="rect">
                      <a:avLst/>
                    </a:prstGeom>
                    <a:noFill/>
                  </pic:spPr>
                </pic:pic>
              </a:graphicData>
            </a:graphic>
          </wp:anchor>
        </w:drawing>
      </w:r>
    </w:p>
    <w:p>
      <w:pPr>
        <w:sectPr>
          <w:pgSz w:w="11900" w:h="16838" w:orient="portrait"/>
          <w:cols w:equalWidth="0" w:num="1">
            <w:col w:w="9139"/>
          </w:cols>
          <w:pgMar w:left="1320" w:top="280"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EXHIBIT A</w:t>
      </w:r>
    </w:p>
    <w:p>
      <w:pPr>
        <w:spacing w:after="0" w:line="137" w:lineRule="exact"/>
        <w:rPr>
          <w:sz w:val="20"/>
          <w:szCs w:val="20"/>
          <w:color w:val="auto"/>
        </w:rPr>
      </w:pPr>
    </w:p>
    <w:p>
      <w:pPr>
        <w:jc w:val="center"/>
        <w:ind w:left="540" w:right="539"/>
        <w:spacing w:after="0" w:line="235" w:lineRule="auto"/>
        <w:rPr>
          <w:sz w:val="20"/>
          <w:szCs w:val="20"/>
          <w:color w:val="auto"/>
        </w:rPr>
      </w:pPr>
      <w:r>
        <w:rPr>
          <w:rFonts w:ascii="Arial" w:cs="Arial" w:eastAsia="Arial" w:hAnsi="Arial"/>
          <w:sz w:val="22"/>
          <w:szCs w:val="22"/>
          <w:b w:val="1"/>
          <w:bCs w:val="1"/>
          <w:color w:val="auto"/>
        </w:rPr>
        <w:t>EMPLOYEE PROPRIETARY INFORMATION AND INVENTIONS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8" w:name="page49"/>
    <w:bookmarkEnd w:id="4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Kevin Conley, certify that:</w:t>
      </w:r>
    </w:p>
    <w:p>
      <w:pPr>
        <w:spacing w:after="0" w:line="144" w:lineRule="exact"/>
        <w:rPr>
          <w:sz w:val="20"/>
          <w:szCs w:val="20"/>
          <w:color w:val="auto"/>
        </w:rPr>
      </w:pPr>
    </w:p>
    <w:p>
      <w:pPr>
        <w:ind w:left="360" w:hanging="316"/>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jc w:val="both"/>
        <w:ind w:left="360" w:right="119" w:hanging="316"/>
        <w:spacing w:after="0" w:line="224"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60" w:right="79" w:hanging="316"/>
        <w:spacing w:after="0" w:line="224"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60" w:right="259" w:hanging="316"/>
        <w:spacing w:after="0" w:line="237" w:lineRule="auto"/>
        <w:tabs>
          <w:tab w:leader="none" w:pos="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jc w:val="both"/>
        <w:ind w:left="360" w:right="59" w:firstLine="8"/>
        <w:spacing w:after="0" w:line="219" w:lineRule="auto"/>
        <w:tabs>
          <w:tab w:leader="none" w:pos="64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60" w:right="59" w:firstLine="8"/>
        <w:spacing w:after="0" w:line="219" w:lineRule="auto"/>
        <w:tabs>
          <w:tab w:leader="none" w:pos="62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360" w:right="59" w:firstLine="8"/>
        <w:spacing w:after="0" w:line="224" w:lineRule="auto"/>
        <w:tabs>
          <w:tab w:leader="none" w:pos="622"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60" w:right="59" w:firstLine="8"/>
        <w:spacing w:after="0" w:line="219" w:lineRule="auto"/>
        <w:tabs>
          <w:tab w:leader="none" w:pos="6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360" w:right="319" w:hanging="316"/>
        <w:spacing w:after="0" w:line="224"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60" w:right="59" w:firstLine="8"/>
        <w:spacing w:after="0" w:line="224" w:lineRule="auto"/>
        <w:tabs>
          <w:tab w:leader="none" w:pos="62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60" w:right="59" w:firstLine="8"/>
        <w:spacing w:after="0" w:line="235" w:lineRule="auto"/>
        <w:tabs>
          <w:tab w:leader="none" w:pos="6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2020</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-121920</wp:posOffset>
            </wp:positionV>
            <wp:extent cx="24942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9" w:name="page50"/>
    <w:bookmarkEnd w:id="4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Matthew Tenorio, certify that:</w:t>
      </w:r>
    </w:p>
    <w:p>
      <w:pPr>
        <w:spacing w:after="0" w:line="144" w:lineRule="exact"/>
        <w:rPr>
          <w:sz w:val="20"/>
          <w:szCs w:val="20"/>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ind w:left="700" w:right="299" w:hanging="332"/>
        <w:spacing w:after="0" w:line="22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700" w:right="199" w:hanging="332"/>
        <w:spacing w:after="0" w:line="22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700" w:right="239" w:hanging="332"/>
        <w:spacing w:after="0" w:line="259"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jc w:val="both"/>
        <w:ind w:left="1020" w:right="59" w:hanging="328"/>
        <w:spacing w:after="0" w:line="219"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1020" w:right="59" w:hanging="328"/>
        <w:spacing w:after="0" w:line="219"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020" w:right="79" w:hanging="328"/>
        <w:spacing w:after="0" w:line="224"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1020" w:right="59" w:hanging="328"/>
        <w:spacing w:after="0" w:line="219"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700" w:right="419" w:hanging="332"/>
        <w:spacing w:after="0" w:line="22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1020" w:right="59" w:hanging="328"/>
        <w:spacing w:after="0" w:line="224"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020" w:right="79" w:hanging="328"/>
        <w:spacing w:after="0" w:line="235"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2020</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Matthew Tenorio</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Matthew Tenorio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-121920</wp:posOffset>
            </wp:positionV>
            <wp:extent cx="2357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i w:val="1"/>
          <w:iCs w:val="1"/>
          <w:color w:val="auto"/>
        </w:rPr>
        <w:t>Interim Chief Financial Officer</w:t>
      </w: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0" w:name="page51"/>
    <w:bookmarkEnd w:id="5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89" w:lineRule="exact"/>
        <w:rPr>
          <w:sz w:val="20"/>
          <w:szCs w:val="20"/>
          <w:color w:val="auto"/>
        </w:rPr>
      </w:pPr>
    </w:p>
    <w:p>
      <w:pPr>
        <w:ind w:left="40" w:right="219"/>
        <w:spacing w:after="0" w:line="23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Kevin Conley, President and Chief Executive Officer of Everspin Technologies, Inc. (the “Company”), and Matthew Tenorio, Interim Chief Financial Officer of the Company, each hereby certifies that, to the best of his knowledge:</w:t>
      </w:r>
    </w:p>
    <w:p>
      <w:pPr>
        <w:spacing w:after="0" w:line="162" w:lineRule="exact"/>
        <w:rPr>
          <w:sz w:val="20"/>
          <w:szCs w:val="20"/>
          <w:color w:val="auto"/>
        </w:rPr>
      </w:pPr>
    </w:p>
    <w:p>
      <w:pPr>
        <w:ind w:left="40" w:right="179" w:firstLine="4"/>
        <w:spacing w:after="0" w:line="224"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2020, to which this Certification is attached as Exhibit 32.1 (the “Periodic Report”), fully complies with the requirements of Section 13(a) or Section 15(d) of the Exchange Act; and</w:t>
      </w:r>
    </w:p>
    <w:p>
      <w:pPr>
        <w:spacing w:after="0" w:line="162" w:lineRule="exact"/>
        <w:rPr>
          <w:rFonts w:ascii="Arial" w:cs="Arial" w:eastAsia="Arial" w:hAnsi="Arial"/>
          <w:sz w:val="18"/>
          <w:szCs w:val="18"/>
          <w:color w:val="auto"/>
        </w:rPr>
      </w:pPr>
    </w:p>
    <w:p>
      <w:pPr>
        <w:ind w:left="40" w:right="459" w:firstLine="4"/>
        <w:spacing w:after="0" w:line="235"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2020</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-113030</wp:posOffset>
            </wp:positionV>
            <wp:extent cx="5657850" cy="1097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5657850" cy="1097280"/>
                    </a:xfrm>
                    <a:prstGeom prst="rect">
                      <a:avLst/>
                    </a:prstGeom>
                    <a:noFill/>
                  </pic:spPr>
                </pic:pic>
              </a:graphicData>
            </a:graphic>
          </wp:anchor>
        </w:drawing>
      </w:r>
    </w:p>
    <w:p>
      <w:pPr>
        <w:ind w:left="5400"/>
        <w:spacing w:after="0" w:line="232" w:lineRule="auto"/>
        <w:rPr>
          <w:sz w:val="20"/>
          <w:szCs w:val="20"/>
          <w:color w:val="auto"/>
        </w:rPr>
      </w:pPr>
      <w:r>
        <w:rPr>
          <w:rFonts w:ascii="Arial" w:cs="Arial" w:eastAsia="Arial" w:hAnsi="Arial"/>
          <w:sz w:val="18"/>
          <w:szCs w:val="18"/>
          <w:color w:val="auto"/>
        </w:rPr>
        <w:t>Kevin Conley</w:t>
      </w:r>
    </w:p>
    <w:p>
      <w:pPr>
        <w:ind w:left="5400"/>
        <w:spacing w:after="0" w:line="219" w:lineRule="auto"/>
        <w:rPr>
          <w:sz w:val="20"/>
          <w:szCs w:val="20"/>
          <w:color w:val="auto"/>
        </w:rPr>
      </w:pPr>
      <w:r>
        <w:rPr>
          <w:rFonts w:ascii="Arial" w:cs="Arial" w:eastAsia="Arial" w:hAnsi="Arial"/>
          <w:sz w:val="18"/>
          <w:szCs w:val="18"/>
          <w:i w:val="1"/>
          <w:iCs w:val="1"/>
          <w:color w:val="auto"/>
        </w:rPr>
        <w:t>President and Chief Executive Officer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Matthew Tenorio</w:t>
      </w:r>
    </w:p>
    <w:p>
      <w:pPr>
        <w:ind w:left="5400"/>
        <w:spacing w:after="0" w:line="232" w:lineRule="auto"/>
        <w:rPr>
          <w:sz w:val="20"/>
          <w:szCs w:val="20"/>
          <w:color w:val="auto"/>
        </w:rPr>
      </w:pPr>
      <w:r>
        <w:rPr>
          <w:rFonts w:ascii="Arial" w:cs="Arial" w:eastAsia="Arial" w:hAnsi="Arial"/>
          <w:sz w:val="18"/>
          <w:szCs w:val="18"/>
          <w:color w:val="auto"/>
        </w:rPr>
        <w:t>Matthew Tenorio</w:t>
      </w:r>
    </w:p>
    <w:p>
      <w:pPr>
        <w:ind w:left="5400"/>
        <w:spacing w:after="0" w:line="219" w:lineRule="auto"/>
        <w:rPr>
          <w:sz w:val="20"/>
          <w:szCs w:val="20"/>
          <w:color w:val="auto"/>
        </w:rPr>
      </w:pPr>
      <w:r>
        <w:rPr>
          <w:rFonts w:ascii="Arial" w:cs="Arial" w:eastAsia="Arial" w:hAnsi="Arial"/>
          <w:sz w:val="18"/>
          <w:szCs w:val="18"/>
          <w:i w:val="1"/>
          <w:iCs w:val="1"/>
          <w:color w:val="auto"/>
        </w:rPr>
        <w:t>Interim Chief Financial Officer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Financial Officer)</w:t>
      </w:r>
    </w:p>
    <w:p>
      <w:pPr>
        <w:spacing w:after="0" w:line="142" w:lineRule="exact"/>
        <w:rPr>
          <w:sz w:val="20"/>
          <w:szCs w:val="20"/>
          <w:color w:val="auto"/>
        </w:rPr>
      </w:pPr>
    </w:p>
    <w:p>
      <w:pPr>
        <w:ind w:left="40" w:right="59"/>
        <w:spacing w:after="0" w:line="232"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600710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3"/>
    </w:lvl>
    <w:lvl w:ilvl="1">
      <w:lvlJc w:val="left"/>
      <w:lvlText w:val="%2."/>
      <w:numFmt w:val="lowerLetter"/>
      <w:start w:val="1"/>
    </w:lvl>
  </w:abstractNum>
  <w:abstractNum w:abstractNumId="5">
    <w:nsid w:val="12200854"/>
    <w:multiLevelType w:val="hybridMultilevel"/>
    <w:lvl w:ilvl="0">
      <w:lvlJc w:val="left"/>
      <w:lvlText w:val="%1"/>
      <w:numFmt w:val="decimal"/>
      <w:start w:val="1"/>
    </w:lvl>
    <w:lvl w:ilvl="1">
      <w:lvlJc w:val="left"/>
      <w:lvlText w:val="%2."/>
      <w:numFmt w:val="lowerLetter"/>
      <w:start w:val="4"/>
    </w:lvl>
  </w:abstractNum>
  <w:abstractNum w:abstractNumId="6">
    <w:nsid w:val="4DB127F8"/>
    <w:multiLevelType w:val="hybridMultilevel"/>
    <w:lvl w:ilvl="0">
      <w:lvlJc w:val="left"/>
      <w:lvlText w:val="%1."/>
      <w:numFmt w:val="decimal"/>
      <w:start w:val="4"/>
    </w:lvl>
    <w:lvl w:ilvl="1">
      <w:lvlJc w:val="left"/>
      <w:lvlText w:val="%2"/>
      <w:numFmt w:val="lowerLetter"/>
      <w:start w:val="1"/>
    </w:lvl>
  </w:abstractNum>
  <w:abstractNum w:abstractNumId="7">
    <w:nsid w:val="216231B"/>
    <w:multiLevelType w:val="hybridMultilevel"/>
    <w:lvl w:ilvl="0">
      <w:lvlJc w:val="left"/>
      <w:lvlText w:val="%1."/>
      <w:numFmt w:val="decimal"/>
      <w:start w:val="9"/>
    </w:lvl>
    <w:lvl w:ilvl="1">
      <w:lvlJc w:val="left"/>
      <w:lvlText w:val="(%2)"/>
      <w:numFmt w:val="lowerLetter"/>
      <w:start w:val="3"/>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I"/>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jpe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jpeg"/><Relationship Id="rId73" Type="http://schemas.openxmlformats.org/officeDocument/2006/relationships/image" Target="media/image59.jpe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58" Type="http://schemas.openxmlformats.org/officeDocument/2006/relationships/hyperlink" Target="http://www.sec.gov/Archives/edgar/data/1438423/000119312516737688/d271840dex31.htm" TargetMode="External"/><Relationship Id="rId59" Type="http://schemas.openxmlformats.org/officeDocument/2006/relationships/hyperlink" Target="http://www.sec.gov/Archives/edgar/data/1438423/000119312519154165/d752899dex31.htm" TargetMode="External"/><Relationship Id="rId60" Type="http://schemas.openxmlformats.org/officeDocument/2006/relationships/hyperlink" Target="http://www.sec.gov/Archives/edgar/data/1438423/000119312519154165/d752899dex32.htm" TargetMode="External"/><Relationship Id="rId61" Type="http://schemas.openxmlformats.org/officeDocument/2006/relationships/hyperlink" Target="http://www.sec.gov/Archives/edgar/data/1438423/000119312516706479/d180963dex41.htm" TargetMode="External"/><Relationship Id="rId62" Type="http://schemas.openxmlformats.org/officeDocument/2006/relationships/hyperlink" Target="http://www.sec.gov/Archives/edgar/data/1438423/000155837019010452/mram-20190930ex424b334ff.htm" TargetMode="External"/><Relationship Id="rId63" Type="http://schemas.openxmlformats.org/officeDocument/2006/relationships/hyperlink" Target="http://www.sec.gov/Archives/edgar/data/1438423/000119312520042575/d885996d8k.htm" TargetMode="External"/><Relationship Id="rId64" Type="http://schemas.openxmlformats.org/officeDocument/2006/relationships/hyperlink" Target="http://www.sec.gov/Archives/edgar/data/1438423/000155837020002576/mram-20191231ex1035e17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2020-05-08T05:22:32Z</dcterms:created>
  <dcterms:modified xsi:type="dcterms:W3CDTF">2020-05-08T05:22:32Z</dcterms:modified>
</cp:coreProperties>
</file>