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55880</wp:posOffset>
            </wp:positionV>
            <wp:extent cx="1663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71755</wp:posOffset>
            </wp:positionV>
            <wp:extent cx="1663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8" w:lineRule="exact"/>
        <w:rPr>
          <w:sz w:val="24"/>
          <w:szCs w:val="24"/>
          <w:color w:val="auto"/>
        </w:rPr>
      </w:pPr>
    </w:p>
    <w:p>
      <w:pPr>
        <w:ind w:left="420" w:hanging="416"/>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0"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w:t>
      </w:r>
    </w:p>
    <w:p>
      <w:pPr>
        <w:spacing w:after="0" w:line="41" w:lineRule="exact"/>
        <w:rPr>
          <w:sz w:val="24"/>
          <w:szCs w:val="24"/>
          <w:color w:val="auto"/>
        </w:rPr>
      </w:pPr>
    </w:p>
    <w:p>
      <w:pPr>
        <w:ind w:left="400"/>
        <w:spacing w:after="0"/>
        <w:tabs>
          <w:tab w:leader="none" w:pos="386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50165</wp:posOffset>
            </wp:positionV>
            <wp:extent cx="1663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Everspin Technologies,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34925</wp:posOffset>
            </wp:positionV>
            <wp:extent cx="1663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ectPr>
          <w:pgSz w:w="11900" w:h="16838" w:orient="portrait"/>
          <w:cols w:equalWidth="0" w:num="1">
            <w:col w:w="10460"/>
          </w:cols>
          <w:pgMar w:left="720" w:top="665" w:right="719" w:bottom="1440" w:gutter="0" w:footer="0" w:header="0"/>
        </w:sectPr>
      </w:pPr>
    </w:p>
    <w:p>
      <w:pPr>
        <w:spacing w:after="0" w:line="95" w:lineRule="exact"/>
        <w:rPr>
          <w:sz w:val="24"/>
          <w:szCs w:val="24"/>
          <w:color w:val="auto"/>
        </w:rPr>
      </w:pPr>
    </w:p>
    <w:p>
      <w:pPr>
        <w:ind w:left="22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26-2640654</w:t>
      </w:r>
    </w:p>
    <w:p>
      <w:pPr>
        <w:spacing w:after="0" w:line="36" w:lineRule="exact"/>
        <w:rPr>
          <w:sz w:val="24"/>
          <w:szCs w:val="24"/>
          <w:color w:val="auto"/>
        </w:rPr>
      </w:pPr>
    </w:p>
    <w:p>
      <w:pPr>
        <w:sectPr>
          <w:pgSz w:w="11900" w:h="16838" w:orient="portrait"/>
          <w:cols w:equalWidth="0" w:num="2">
            <w:col w:w="6720" w:space="720"/>
            <w:col w:w="3020"/>
          </w:cols>
          <w:pgMar w:left="720" w:top="665" w:right="719" w:bottom="1440" w:gutter="0" w:footer="0" w:header="0"/>
          <w:type w:val="continuous"/>
        </w:sectPr>
      </w:pPr>
    </w:p>
    <w:p>
      <w:pPr>
        <w:jc w:val="center"/>
        <w:ind w:right="1320"/>
        <w:spacing w:after="0"/>
        <w:rPr>
          <w:sz w:val="20"/>
          <w:szCs w:val="20"/>
          <w:color w:val="auto"/>
        </w:rPr>
      </w:pPr>
      <w:r>
        <w:rPr>
          <w:rFonts w:ascii="Arial" w:cs="Arial" w:eastAsia="Arial" w:hAnsi="Arial"/>
          <w:sz w:val="14"/>
          <w:szCs w:val="14"/>
          <w:b w:val="1"/>
          <w:bCs w:val="1"/>
          <w:color w:val="auto"/>
        </w:rPr>
        <w:t>(State or other jurisdiction</w:t>
      </w:r>
    </w:p>
    <w:p>
      <w:pPr>
        <w:jc w:val="center"/>
        <w:ind w:right="13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27" w:lineRule="exact"/>
        <w:rPr>
          <w:sz w:val="24"/>
          <w:szCs w:val="24"/>
          <w:color w:val="auto"/>
        </w:rPr>
      </w:pPr>
    </w:p>
    <w:p>
      <w:pPr>
        <w:sectPr>
          <w:pgSz w:w="11900" w:h="16838" w:orient="portrait"/>
          <w:cols w:equalWidth="0" w:num="2">
            <w:col w:w="6560" w:space="720"/>
            <w:col w:w="3180"/>
          </w:cols>
          <w:pgMar w:left="720" w:top="665" w:right="71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5670 W. Chandler Boulevard, Suite 130</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Chandler, Arizona 85226</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0460"/>
          </w:cols>
          <w:pgMar w:left="720" w:top="665" w:right="719" w:bottom="1440" w:gutter="0" w:footer="0" w:header="0"/>
          <w:type w:val="continuous"/>
        </w:sectPr>
      </w:pPr>
    </w:p>
    <w:p>
      <w:pPr>
        <w:spacing w:after="0" w:line="30" w:lineRule="exact"/>
        <w:rPr>
          <w:sz w:val="24"/>
          <w:szCs w:val="24"/>
          <w:color w:val="auto"/>
        </w:rPr>
      </w:pPr>
    </w:p>
    <w:p>
      <w:pPr>
        <w:ind w:left="2900"/>
        <w:spacing w:after="0"/>
        <w:rPr>
          <w:sz w:val="20"/>
          <w:szCs w:val="20"/>
          <w:color w:val="auto"/>
        </w:rPr>
      </w:pPr>
      <w:r>
        <w:rPr>
          <w:rFonts w:ascii="Arial" w:cs="Arial" w:eastAsia="Arial" w:hAnsi="Arial"/>
          <w:sz w:val="16"/>
          <w:szCs w:val="16"/>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29845</wp:posOffset>
            </wp:positionV>
            <wp:extent cx="1663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08" w:lineRule="exact"/>
        <w:rPr>
          <w:sz w:val="24"/>
          <w:szCs w:val="24"/>
          <w:color w:val="auto"/>
        </w:rPr>
      </w:pPr>
    </w:p>
    <w:tbl>
      <w:tblPr>
        <w:tblLayout w:type="fixed"/>
        <w:tblInd w:w="30" w:type="dxa"/>
        <w:tblCellMar>
          <w:top w:w="0" w:type="dxa"/>
          <w:left w:w="0" w:type="dxa"/>
          <w:bottom w:w="0" w:type="dxa"/>
          <w:right w:w="0" w:type="dxa"/>
        </w:tblCellMar>
      </w:tblPr>
      <w:tr>
        <w:trPr>
          <w:trHeight w:val="189"/>
        </w:trPr>
        <w:tc>
          <w:tcPr>
            <w:tcW w:w="35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Title of each class</w:t>
            </w:r>
          </w:p>
        </w:tc>
        <w:tc>
          <w:tcPr>
            <w:tcW w:w="3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Trading Symbol(s)</w:t>
            </w:r>
          </w:p>
        </w:tc>
        <w:tc>
          <w:tcPr>
            <w:tcW w:w="34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Name of the exchange on which registered</w:t>
            </w:r>
          </w:p>
        </w:tc>
      </w:tr>
      <w:tr>
        <w:trPr>
          <w:trHeight w:val="169"/>
        </w:trPr>
        <w:tc>
          <w:tcPr>
            <w:tcW w:w="3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Common Stock, par value $0.0001</w:t>
            </w:r>
          </w:p>
        </w:tc>
        <w:tc>
          <w:tcPr>
            <w:tcW w:w="3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MRAM</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The Nasdaq Stock Market LLC</w:t>
            </w:r>
          </w:p>
        </w:tc>
      </w:tr>
    </w:tbl>
    <w:p>
      <w:pPr>
        <w:spacing w:after="0" w:line="4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32" w:lineRule="exact"/>
        <w:rPr>
          <w:sz w:val="24"/>
          <w:szCs w:val="24"/>
          <w:color w:val="auto"/>
        </w:rPr>
      </w:pPr>
    </w:p>
    <w:p>
      <w:pPr>
        <w:ind w:right="3560"/>
        <w:spacing w:after="0" w:line="20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8" w:lineRule="exact"/>
        <w:rPr>
          <w:sz w:val="24"/>
          <w:szCs w:val="24"/>
          <w:color w:val="auto"/>
        </w:rPr>
      </w:pPr>
    </w:p>
    <w:p>
      <w:pPr>
        <w:ind w:right="10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ind w:right="12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2" w:lineRule="exact"/>
        <w:rPr>
          <w:sz w:val="24"/>
          <w:szCs w:val="24"/>
          <w:color w:val="auto"/>
        </w:rPr>
      </w:pPr>
    </w:p>
    <w:p>
      <w:pPr>
        <w:ind w:right="26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4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3060"/>
              <w:spacing w:after="0"/>
              <w:rPr>
                <w:sz w:val="20"/>
                <w:szCs w:val="20"/>
                <w:color w:val="auto"/>
              </w:rPr>
            </w:pPr>
            <w:r>
              <w:rPr>
                <w:rFonts w:ascii="Arial" w:cs="Arial" w:eastAsia="Arial" w:hAnsi="Arial"/>
                <w:sz w:val="13"/>
                <w:szCs w:val="13"/>
                <w:color w:val="auto"/>
              </w:rPr>
              <w:t>Accelerated filer</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3"/>
        </w:trPr>
        <w:tc>
          <w:tcPr>
            <w:tcW w:w="1440" w:type="dxa"/>
            <w:vAlign w:val="bottom"/>
          </w:tcPr>
          <w:p>
            <w:pPr>
              <w:spacing w:after="0"/>
              <w:rPr>
                <w:sz w:val="20"/>
                <w:szCs w:val="20"/>
                <w:color w:val="auto"/>
              </w:rPr>
            </w:pPr>
            <w:r>
              <w:rPr>
                <w:rFonts w:ascii="Arial" w:cs="Arial" w:eastAsia="Arial" w:hAnsi="Arial"/>
                <w:sz w:val="13"/>
                <w:szCs w:val="13"/>
                <w:color w:val="auto"/>
              </w:rPr>
              <w:t>Non-accelerated filer</w:t>
            </w:r>
          </w:p>
        </w:tc>
        <w:tc>
          <w:tcPr>
            <w:tcW w:w="35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3060"/>
              <w:spacing w:after="0"/>
              <w:rPr>
                <w:sz w:val="20"/>
                <w:szCs w:val="20"/>
                <w:color w:val="auto"/>
              </w:rPr>
            </w:pPr>
            <w:r>
              <w:rPr>
                <w:rFonts w:ascii="Arial" w:cs="Arial" w:eastAsia="Arial" w:hAnsi="Arial"/>
                <w:sz w:val="13"/>
                <w:szCs w:val="13"/>
                <w:color w:val="auto"/>
              </w:rPr>
              <w:t>Smaller reporting company</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14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840" w:type="dxa"/>
            <w:vAlign w:val="bottom"/>
          </w:tcPr>
          <w:p>
            <w:pPr>
              <w:ind w:left="3060"/>
              <w:spacing w:after="0"/>
              <w:rPr>
                <w:sz w:val="20"/>
                <w:szCs w:val="20"/>
                <w:color w:val="auto"/>
              </w:rPr>
            </w:pPr>
            <w:r>
              <w:rPr>
                <w:rFonts w:ascii="Arial" w:cs="Arial" w:eastAsia="Arial" w:hAnsi="Arial"/>
                <w:sz w:val="13"/>
                <w:szCs w:val="13"/>
                <w:color w:val="auto"/>
              </w:rPr>
              <w:t>Emerging growth company</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bl>
    <w:p>
      <w:pPr>
        <w:ind w:right="620"/>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96" w:lineRule="exact"/>
        <w:rPr>
          <w:sz w:val="24"/>
          <w:szCs w:val="24"/>
          <w:color w:val="auto"/>
        </w:rPr>
      </w:pPr>
    </w:p>
    <w:p>
      <w:pPr>
        <w:ind w:right="12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 w:lineRule="exact"/>
        <w:rPr>
          <w:sz w:val="24"/>
          <w:szCs w:val="24"/>
          <w:color w:val="auto"/>
        </w:rPr>
      </w:pPr>
    </w:p>
    <w:p>
      <w:pPr>
        <w:ind w:right="160"/>
        <w:spacing w:after="0" w:line="16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00"/>
        <w:spacing w:after="0" w:line="162"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38" w:lineRule="exact"/>
        <w:tabs>
          <w:tab w:leader="none" w:pos="6380"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ab/>
        <w:t xml:space="preserve">NO </w:t>
      </w:r>
      <w:r>
        <w:rPr>
          <w:rFonts w:ascii="MS PGothic" w:cs="MS PGothic" w:eastAsia="MS PGothic" w:hAnsi="MS PGothic"/>
          <w:sz w:val="12"/>
          <w:szCs w:val="12"/>
          <w:color w:val="auto"/>
        </w:rPr>
        <w:t>☒</w:t>
      </w:r>
    </w:p>
    <w:p>
      <w:pPr>
        <w:spacing w:after="0" w:line="66" w:lineRule="exact"/>
        <w:rPr>
          <w:sz w:val="24"/>
          <w:szCs w:val="24"/>
          <w:color w:val="auto"/>
        </w:rPr>
      </w:pPr>
    </w:p>
    <w:p>
      <w:pPr>
        <w:ind w:right="220"/>
        <w:spacing w:after="0" w:line="226" w:lineRule="auto"/>
        <w:rPr>
          <w:sz w:val="20"/>
          <w:szCs w:val="20"/>
          <w:color w:val="auto"/>
        </w:rPr>
      </w:pPr>
      <w:r>
        <w:rPr>
          <w:rFonts w:ascii="Arial" w:cs="Arial" w:eastAsia="Arial" w:hAnsi="Arial"/>
          <w:sz w:val="13"/>
          <w:szCs w:val="13"/>
          <w:color w:val="auto"/>
        </w:rPr>
        <w:t>As of June 30, 2022, the last business day of the Registrant’s most recently completed second fiscal quarter, the aggregate market value of the common stock of the Registrant held by non-affiliates, based upon the closing sales price for the Registrant’s common stock for such date, as quoted on the Nasdaq Global Market, was approximately $118.4 million. Shares of common stock held by each officer, director and entities affiliated with directors have been excluded because such persons may be deemed to be “affiliates” as that term is defined under the rules and regulations of the Exchange Act. This determination of affiliate status is not necessarily a conclusive determination for any other purpose.</w:t>
      </w:r>
    </w:p>
    <w:p>
      <w:pPr>
        <w:spacing w:after="0" w:line="58"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February 28, 2023 was 20,441,256.</w:t>
      </w:r>
    </w:p>
    <w:p>
      <w:pPr>
        <w:spacing w:after="0" w:line="53" w:lineRule="exact"/>
        <w:rPr>
          <w:sz w:val="24"/>
          <w:szCs w:val="24"/>
          <w:color w:val="auto"/>
        </w:rPr>
      </w:pPr>
    </w:p>
    <w:p>
      <w:pPr>
        <w:ind w:left="3860"/>
        <w:spacing w:after="0"/>
        <w:rPr>
          <w:sz w:val="20"/>
          <w:szCs w:val="20"/>
          <w:color w:val="auto"/>
        </w:rPr>
      </w:pPr>
      <w:r>
        <w:rPr>
          <w:rFonts w:ascii="Arial" w:cs="Arial" w:eastAsia="Arial" w:hAnsi="Arial"/>
          <w:sz w:val="13"/>
          <w:szCs w:val="13"/>
          <w:color w:val="auto"/>
        </w:rPr>
        <w:t>DOCUMENTS INCORPORATED BY REFERENCE</w:t>
      </w:r>
    </w:p>
    <w:p>
      <w:pPr>
        <w:spacing w:after="0" w:line="53" w:lineRule="exact"/>
        <w:rPr>
          <w:sz w:val="24"/>
          <w:szCs w:val="24"/>
          <w:color w:val="auto"/>
        </w:rPr>
      </w:pPr>
    </w:p>
    <w:p>
      <w:pPr>
        <w:ind w:right="100"/>
        <w:spacing w:after="0" w:line="236" w:lineRule="auto"/>
        <w:rPr>
          <w:sz w:val="20"/>
          <w:szCs w:val="20"/>
          <w:color w:val="auto"/>
        </w:rPr>
      </w:pPr>
      <w:r>
        <w:rPr>
          <w:rFonts w:ascii="Arial" w:cs="Arial" w:eastAsia="Arial" w:hAnsi="Arial"/>
          <w:sz w:val="13"/>
          <w:szCs w:val="13"/>
          <w:color w:val="auto"/>
        </w:rPr>
        <w:t>Portions of the Registrant’s Definitive Proxy Statement relating to the 2023 Annual Meeting of Stockholders, which will be filed with the Securities and Exchange Commission within 120 days after the end of the Registrant’s fiscal year ended December 31,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431165</wp:posOffset>
            </wp:positionV>
            <wp:extent cx="6635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60"/>
          </w:cols>
          <w:pgMar w:left="720" w:top="665" w:right="71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20" w:type="dxa"/>
            <w:vAlign w:val="bottom"/>
            <w:gridSpan w:val="11"/>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80" w:type="dxa"/>
            <w:vAlign w:val="bottom"/>
            <w:gridSpan w:val="2"/>
            <w:vMerge w:val="restart"/>
          </w:tcPr>
          <w:p>
            <w:pPr>
              <w:spacing w:after="0"/>
              <w:rPr>
                <w:sz w:val="20"/>
                <w:szCs w:val="20"/>
                <w:color w:val="auto"/>
              </w:rPr>
            </w:pPr>
            <w:r>
              <w:rPr>
                <w:rFonts w:ascii="Arial" w:cs="Arial" w:eastAsia="Arial" w:hAnsi="Arial"/>
                <w:sz w:val="18"/>
                <w:szCs w:val="18"/>
                <w:b w:val="1"/>
                <w:bCs w:val="1"/>
                <w:color w:val="0000EE"/>
                <w:w w:val="94"/>
              </w:rPr>
              <w:t>PART I</w:t>
            </w:r>
          </w:p>
        </w:tc>
        <w:tc>
          <w:tcPr>
            <w:tcW w:w="200" w:type="dxa"/>
            <w:vAlign w:val="bottom"/>
            <w:gridSpan w:val="5"/>
            <w:vMerge w:val="restart"/>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gridSpan w:val="2"/>
            <w:vMerge w:val="continue"/>
          </w:tcPr>
          <w:p>
            <w:pPr>
              <w:spacing w:after="0"/>
              <w:rPr>
                <w:sz w:val="13"/>
                <w:szCs w:val="13"/>
                <w:color w:val="auto"/>
              </w:rPr>
            </w:pPr>
          </w:p>
        </w:tc>
        <w:tc>
          <w:tcPr>
            <w:tcW w:w="200" w:type="dxa"/>
            <w:vAlign w:val="bottom"/>
            <w:gridSpan w:val="5"/>
            <w:vMerge w:val="continue"/>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5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3"/>
              </w:rPr>
              <w:t>Item 1.</w:t>
            </w:r>
          </w:p>
        </w:tc>
        <w:tc>
          <w:tcPr>
            <w:tcW w:w="280" w:type="dxa"/>
            <w:vAlign w:val="bottom"/>
            <w:gridSpan w:val="6"/>
          </w:tcPr>
          <w:p>
            <w:pPr>
              <w:spacing w:after="0"/>
              <w:rPr>
                <w:sz w:val="24"/>
                <w:szCs w:val="24"/>
                <w:color w:val="auto"/>
              </w:rPr>
            </w:pPr>
          </w:p>
        </w:tc>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4"/>
              </w:rPr>
              <w:t>Business</w:t>
            </w:r>
          </w:p>
        </w:tc>
        <w:tc>
          <w:tcPr>
            <w:tcW w:w="7040" w:type="dxa"/>
            <w:vAlign w:val="bottom"/>
            <w:gridSpan w:val="2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Arial" w:cs="Arial" w:eastAsia="Arial" w:hAnsi="Arial"/>
                <w:sz w:val="18"/>
                <w:szCs w:val="18"/>
                <w:color w:val="0000EE"/>
                <w:w w:val="83"/>
              </w:rPr>
              <w:t>Item 1A.</w:t>
            </w:r>
          </w:p>
        </w:tc>
        <w:tc>
          <w:tcPr>
            <w:tcW w:w="180" w:type="dxa"/>
            <w:vAlign w:val="bottom"/>
            <w:gridSpan w:val="4"/>
          </w:tcPr>
          <w:p>
            <w:pPr>
              <w:spacing w:after="0"/>
              <w:rPr>
                <w:sz w:val="17"/>
                <w:szCs w:val="17"/>
                <w:color w:val="auto"/>
              </w:rPr>
            </w:pPr>
          </w:p>
        </w:tc>
        <w:tc>
          <w:tcPr>
            <w:tcW w:w="7680" w:type="dxa"/>
            <w:vAlign w:val="bottom"/>
            <w:gridSpan w:val="23"/>
          </w:tcPr>
          <w:p>
            <w:pPr>
              <w:spacing w:after="0" w:line="196" w:lineRule="exact"/>
              <w:rPr>
                <w:sz w:val="20"/>
                <w:szCs w:val="20"/>
                <w:color w:val="auto"/>
              </w:rPr>
            </w:pPr>
            <w:r>
              <w:rPr>
                <w:rFonts w:ascii="Arial" w:cs="Arial" w:eastAsia="Arial" w:hAnsi="Arial"/>
                <w:sz w:val="18"/>
                <w:szCs w:val="18"/>
                <w:color w:val="0000EE"/>
              </w:rPr>
              <w:t>Risk Factors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Arial" w:cs="Arial" w:eastAsia="Arial" w:hAnsi="Arial"/>
                <w:sz w:val="18"/>
                <w:szCs w:val="18"/>
                <w:color w:val="0000EE"/>
                <w:w w:val="83"/>
              </w:rPr>
              <w:t>Item 1B.</w:t>
            </w:r>
          </w:p>
        </w:tc>
        <w:tc>
          <w:tcPr>
            <w:tcW w:w="180" w:type="dxa"/>
            <w:vAlign w:val="bottom"/>
            <w:gridSpan w:val="4"/>
          </w:tcPr>
          <w:p>
            <w:pPr>
              <w:spacing w:after="0"/>
              <w:rPr>
                <w:sz w:val="17"/>
                <w:szCs w:val="17"/>
                <w:color w:val="auto"/>
              </w:rPr>
            </w:pPr>
          </w:p>
        </w:tc>
        <w:tc>
          <w:tcPr>
            <w:tcW w:w="7680" w:type="dxa"/>
            <w:vAlign w:val="bottom"/>
            <w:gridSpan w:val="23"/>
          </w:tcPr>
          <w:p>
            <w:pPr>
              <w:spacing w:after="0" w:line="196" w:lineRule="exact"/>
              <w:rPr>
                <w:sz w:val="20"/>
                <w:szCs w:val="20"/>
                <w:color w:val="auto"/>
              </w:rPr>
            </w:pPr>
            <w:r>
              <w:rPr>
                <w:rFonts w:ascii="Arial" w:cs="Arial" w:eastAsia="Arial" w:hAnsi="Arial"/>
                <w:sz w:val="18"/>
                <w:szCs w:val="18"/>
                <w:color w:val="0000EE"/>
              </w:rPr>
              <w:t>Unresolved Staff Comments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83"/>
              </w:rPr>
              <w:t>Item 2.</w:t>
            </w:r>
          </w:p>
        </w:tc>
        <w:tc>
          <w:tcPr>
            <w:tcW w:w="100" w:type="dxa"/>
            <w:vAlign w:val="bottom"/>
            <w:tcBorders>
              <w:top w:val="single" w:sz="8" w:color="0000EE"/>
            </w:tcBorders>
            <w:gridSpan w:val="2"/>
          </w:tcPr>
          <w:p>
            <w:pPr>
              <w:spacing w:after="0"/>
              <w:rPr>
                <w:sz w:val="17"/>
                <w:szCs w:val="17"/>
                <w:color w:val="auto"/>
              </w:rPr>
            </w:pPr>
          </w:p>
        </w:tc>
        <w:tc>
          <w:tcPr>
            <w:tcW w:w="180" w:type="dxa"/>
            <w:vAlign w:val="bottom"/>
            <w:gridSpan w:val="4"/>
          </w:tcPr>
          <w:p>
            <w:pPr>
              <w:spacing w:after="0"/>
              <w:rPr>
                <w:sz w:val="17"/>
                <w:szCs w:val="17"/>
                <w:color w:val="auto"/>
              </w:rPr>
            </w:pPr>
          </w:p>
        </w:tc>
        <w:tc>
          <w:tcPr>
            <w:tcW w:w="20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Properties</w:t>
            </w:r>
          </w:p>
        </w:tc>
        <w:tc>
          <w:tcPr>
            <w:tcW w:w="564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3"/>
              </w:rPr>
              <w:t>Item 3.</w:t>
            </w:r>
          </w:p>
        </w:tc>
        <w:tc>
          <w:tcPr>
            <w:tcW w:w="280" w:type="dxa"/>
            <w:vAlign w:val="bottom"/>
            <w:gridSpan w:val="6"/>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Legal Proceedings</w:t>
            </w:r>
          </w:p>
        </w:tc>
        <w:tc>
          <w:tcPr>
            <w:tcW w:w="634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780" w:type="dxa"/>
            <w:vAlign w:val="bottom"/>
            <w:gridSpan w:val="7"/>
          </w:tcPr>
          <w:p>
            <w:pPr>
              <w:spacing w:after="0" w:line="196" w:lineRule="exact"/>
              <w:rPr>
                <w:sz w:val="20"/>
                <w:szCs w:val="20"/>
                <w:color w:val="auto"/>
              </w:rPr>
            </w:pPr>
            <w:r>
              <w:rPr>
                <w:rFonts w:ascii="Arial" w:cs="Arial" w:eastAsia="Arial" w:hAnsi="Arial"/>
                <w:sz w:val="18"/>
                <w:szCs w:val="18"/>
                <w:color w:val="0000EE"/>
              </w:rPr>
              <w:t>Item 4.</w:t>
            </w:r>
          </w:p>
        </w:tc>
        <w:tc>
          <w:tcPr>
            <w:tcW w:w="7680" w:type="dxa"/>
            <w:vAlign w:val="bottom"/>
            <w:gridSpan w:val="23"/>
          </w:tcPr>
          <w:p>
            <w:pPr>
              <w:spacing w:after="0" w:line="196" w:lineRule="exact"/>
              <w:rPr>
                <w:sz w:val="20"/>
                <w:szCs w:val="20"/>
                <w:color w:val="auto"/>
              </w:rPr>
            </w:pPr>
            <w:r>
              <w:rPr>
                <w:rFonts w:ascii="Arial" w:cs="Arial" w:eastAsia="Arial" w:hAnsi="Arial"/>
                <w:sz w:val="18"/>
                <w:szCs w:val="18"/>
                <w:color w:val="0000EE"/>
              </w:rPr>
              <w:t>Mine Safety Disclosures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9"/>
              </w:rPr>
              <w:t>PART II</w:t>
            </w:r>
          </w:p>
        </w:tc>
        <w:tc>
          <w:tcPr>
            <w:tcW w:w="12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gridSpan w:val="7"/>
          </w:tcPr>
          <w:p>
            <w:pPr>
              <w:spacing w:after="0"/>
              <w:rPr>
                <w:sz w:val="20"/>
                <w:szCs w:val="20"/>
                <w:color w:val="auto"/>
              </w:rPr>
            </w:pPr>
            <w:r>
              <w:rPr>
                <w:rFonts w:ascii="Arial" w:cs="Arial" w:eastAsia="Arial" w:hAnsi="Arial"/>
                <w:sz w:val="18"/>
                <w:szCs w:val="18"/>
                <w:color w:val="0000EE"/>
              </w:rPr>
              <w:t>Item 5.</w:t>
            </w:r>
          </w:p>
        </w:tc>
        <w:tc>
          <w:tcPr>
            <w:tcW w:w="7680" w:type="dxa"/>
            <w:vAlign w:val="bottom"/>
            <w:gridSpan w:val="23"/>
          </w:tcPr>
          <w:p>
            <w:pPr>
              <w:spacing w:after="0"/>
              <w:rPr>
                <w:sz w:val="20"/>
                <w:szCs w:val="20"/>
                <w:color w:val="auto"/>
              </w:rPr>
            </w:pPr>
            <w:r>
              <w:rPr>
                <w:rFonts w:ascii="Arial" w:cs="Arial" w:eastAsia="Arial" w:hAnsi="Arial"/>
                <w:sz w:val="18"/>
                <w:szCs w:val="18"/>
                <w:color w:val="0000EE"/>
                <w:w w:val="95"/>
              </w:rPr>
              <w:t>Market for Registrant’s Common Equity, Related Stockholder Matters and Issuer Purchases of Equity</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2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Securities</w:t>
            </w:r>
          </w:p>
        </w:tc>
        <w:tc>
          <w:tcPr>
            <w:tcW w:w="3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Arial" w:cs="Arial" w:eastAsia="Arial" w:hAnsi="Arial"/>
                <w:sz w:val="18"/>
                <w:szCs w:val="18"/>
                <w:color w:val="0000EE"/>
                <w:w w:val="83"/>
              </w:rPr>
              <w:t>Item 6.</w:t>
            </w:r>
          </w:p>
        </w:tc>
        <w:tc>
          <w:tcPr>
            <w:tcW w:w="280" w:type="dxa"/>
            <w:vAlign w:val="bottom"/>
            <w:gridSpan w:val="6"/>
          </w:tcPr>
          <w:p>
            <w:pPr>
              <w:spacing w:after="0"/>
              <w:rPr>
                <w:sz w:val="17"/>
                <w:szCs w:val="17"/>
                <w:color w:val="auto"/>
              </w:rPr>
            </w:pPr>
          </w:p>
        </w:tc>
        <w:tc>
          <w:tcPr>
            <w:tcW w:w="7680" w:type="dxa"/>
            <w:vAlign w:val="bottom"/>
            <w:gridSpan w:val="23"/>
          </w:tcPr>
          <w:p>
            <w:pPr>
              <w:spacing w:after="0" w:line="196" w:lineRule="exact"/>
              <w:rPr>
                <w:sz w:val="20"/>
                <w:szCs w:val="20"/>
                <w:color w:val="auto"/>
              </w:rPr>
            </w:pPr>
            <w:r>
              <w:rPr>
                <w:rFonts w:ascii="Arial" w:cs="Arial" w:eastAsia="Arial" w:hAnsi="Arial"/>
                <w:sz w:val="18"/>
                <w:szCs w:val="18"/>
                <w:color w:val="0000EE"/>
              </w:rPr>
              <w:t>[Reserved]</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3"/>
              </w:rPr>
              <w:t>Item 7.</w:t>
            </w:r>
          </w:p>
        </w:tc>
        <w:tc>
          <w:tcPr>
            <w:tcW w:w="280" w:type="dxa"/>
            <w:vAlign w:val="bottom"/>
            <w:gridSpan w:val="6"/>
          </w:tcPr>
          <w:p>
            <w:pPr>
              <w:spacing w:after="0"/>
              <w:rPr>
                <w:sz w:val="17"/>
                <w:szCs w:val="17"/>
                <w:color w:val="auto"/>
              </w:rPr>
            </w:pPr>
          </w:p>
        </w:tc>
        <w:tc>
          <w:tcPr>
            <w:tcW w:w="646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2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3"/>
              </w:rPr>
              <w:t>Item 7A.</w:t>
            </w:r>
          </w:p>
        </w:tc>
        <w:tc>
          <w:tcPr>
            <w:tcW w:w="180" w:type="dxa"/>
            <w:vAlign w:val="bottom"/>
            <w:gridSpan w:val="4"/>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332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Arial" w:cs="Arial" w:eastAsia="Arial" w:hAnsi="Arial"/>
                <w:sz w:val="18"/>
                <w:szCs w:val="18"/>
                <w:color w:val="0000EE"/>
                <w:w w:val="83"/>
              </w:rPr>
              <w:t>Item 8.</w:t>
            </w:r>
          </w:p>
        </w:tc>
        <w:tc>
          <w:tcPr>
            <w:tcW w:w="280" w:type="dxa"/>
            <w:vAlign w:val="bottom"/>
            <w:gridSpan w:val="6"/>
          </w:tcPr>
          <w:p>
            <w:pPr>
              <w:spacing w:after="0"/>
              <w:rPr>
                <w:sz w:val="17"/>
                <w:szCs w:val="17"/>
                <w:color w:val="auto"/>
              </w:rPr>
            </w:pPr>
          </w:p>
        </w:tc>
        <w:tc>
          <w:tcPr>
            <w:tcW w:w="7680" w:type="dxa"/>
            <w:vAlign w:val="bottom"/>
            <w:gridSpan w:val="23"/>
          </w:tcPr>
          <w:p>
            <w:pPr>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Arial" w:cs="Arial" w:eastAsia="Arial" w:hAnsi="Arial"/>
                <w:sz w:val="18"/>
                <w:szCs w:val="18"/>
                <w:color w:val="0000EE"/>
                <w:w w:val="83"/>
              </w:rPr>
              <w:t>Item 9.</w:t>
            </w:r>
          </w:p>
        </w:tc>
        <w:tc>
          <w:tcPr>
            <w:tcW w:w="280" w:type="dxa"/>
            <w:vAlign w:val="bottom"/>
            <w:gridSpan w:val="6"/>
          </w:tcPr>
          <w:p>
            <w:pPr>
              <w:spacing w:after="0"/>
              <w:rPr>
                <w:sz w:val="17"/>
                <w:szCs w:val="17"/>
                <w:color w:val="auto"/>
              </w:rPr>
            </w:pPr>
          </w:p>
        </w:tc>
        <w:tc>
          <w:tcPr>
            <w:tcW w:w="7680" w:type="dxa"/>
            <w:vAlign w:val="bottom"/>
            <w:gridSpan w:val="23"/>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Arial" w:cs="Arial" w:eastAsia="Arial" w:hAnsi="Arial"/>
                <w:sz w:val="18"/>
                <w:szCs w:val="18"/>
                <w:color w:val="0000EE"/>
                <w:w w:val="83"/>
              </w:rPr>
              <w:t>Item 9A.</w:t>
            </w:r>
          </w:p>
        </w:tc>
        <w:tc>
          <w:tcPr>
            <w:tcW w:w="180" w:type="dxa"/>
            <w:vAlign w:val="bottom"/>
            <w:gridSpan w:val="4"/>
          </w:tcPr>
          <w:p>
            <w:pPr>
              <w:spacing w:after="0"/>
              <w:rPr>
                <w:sz w:val="17"/>
                <w:szCs w:val="17"/>
                <w:color w:val="auto"/>
              </w:rPr>
            </w:pPr>
          </w:p>
        </w:tc>
        <w:tc>
          <w:tcPr>
            <w:tcW w:w="7680" w:type="dxa"/>
            <w:vAlign w:val="bottom"/>
            <w:gridSpan w:val="23"/>
          </w:tcPr>
          <w:p>
            <w:pPr>
              <w:spacing w:after="0" w:line="196" w:lineRule="exact"/>
              <w:rPr>
                <w:sz w:val="20"/>
                <w:szCs w:val="20"/>
                <w:color w:val="auto"/>
              </w:rPr>
            </w:pPr>
            <w:r>
              <w:rPr>
                <w:rFonts w:ascii="Arial" w:cs="Arial" w:eastAsia="Arial" w:hAnsi="Arial"/>
                <w:sz w:val="18"/>
                <w:szCs w:val="18"/>
                <w:color w:val="0000EE"/>
              </w:rPr>
              <w:t>Controls and Procedures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3"/>
              </w:rPr>
              <w:t>Item 9B.</w:t>
            </w:r>
          </w:p>
        </w:tc>
        <w:tc>
          <w:tcPr>
            <w:tcW w:w="180" w:type="dxa"/>
            <w:vAlign w:val="bottom"/>
            <w:gridSpan w:val="4"/>
          </w:tcPr>
          <w:p>
            <w:pPr>
              <w:spacing w:after="0"/>
              <w:rPr>
                <w:sz w:val="17"/>
                <w:szCs w:val="17"/>
                <w:color w:val="auto"/>
              </w:rPr>
            </w:pPr>
          </w:p>
        </w:tc>
        <w:tc>
          <w:tcPr>
            <w:tcW w:w="17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Other Information</w:t>
            </w:r>
          </w:p>
        </w:tc>
        <w:tc>
          <w:tcPr>
            <w:tcW w:w="592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7"/>
          </w:tcPr>
          <w:p>
            <w:pPr>
              <w:spacing w:after="0" w:line="196" w:lineRule="exact"/>
              <w:rPr>
                <w:sz w:val="20"/>
                <w:szCs w:val="20"/>
                <w:color w:val="auto"/>
              </w:rPr>
            </w:pPr>
            <w:r>
              <w:rPr>
                <w:rFonts w:ascii="Arial" w:cs="Arial" w:eastAsia="Arial" w:hAnsi="Arial"/>
                <w:sz w:val="18"/>
                <w:szCs w:val="18"/>
                <w:color w:val="0000EE"/>
              </w:rPr>
              <w:t>Item 9C.</w:t>
            </w:r>
          </w:p>
        </w:tc>
        <w:tc>
          <w:tcPr>
            <w:tcW w:w="7680" w:type="dxa"/>
            <w:vAlign w:val="bottom"/>
            <w:gridSpan w:val="23"/>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b w:val="1"/>
                <w:bCs w:val="1"/>
                <w:color w:val="0000EE"/>
              </w:rPr>
              <w:t>PART III</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6"/>
              </w:rPr>
              <w:t>Item 10.</w:t>
            </w:r>
          </w:p>
        </w:tc>
        <w:tc>
          <w:tcPr>
            <w:tcW w:w="180" w:type="dxa"/>
            <w:vAlign w:val="bottom"/>
            <w:gridSpan w:val="4"/>
          </w:tcPr>
          <w:p>
            <w:pPr>
              <w:spacing w:after="0"/>
              <w:rPr>
                <w:sz w:val="24"/>
                <w:szCs w:val="24"/>
                <w:color w:val="auto"/>
              </w:rPr>
            </w:pPr>
          </w:p>
        </w:tc>
        <w:tc>
          <w:tcPr>
            <w:tcW w:w="41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Directors, Executive Officers and Corporate Governance</w:t>
            </w:r>
          </w:p>
        </w:tc>
        <w:tc>
          <w:tcPr>
            <w:tcW w:w="358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780" w:type="dxa"/>
            <w:vAlign w:val="bottom"/>
            <w:gridSpan w:val="7"/>
          </w:tcPr>
          <w:p>
            <w:pPr>
              <w:spacing w:after="0" w:line="196" w:lineRule="exact"/>
              <w:rPr>
                <w:sz w:val="20"/>
                <w:szCs w:val="20"/>
                <w:color w:val="auto"/>
              </w:rPr>
            </w:pPr>
            <w:r>
              <w:rPr>
                <w:rFonts w:ascii="Arial" w:cs="Arial" w:eastAsia="Arial" w:hAnsi="Arial"/>
                <w:sz w:val="18"/>
                <w:szCs w:val="18"/>
                <w:color w:val="0000EE"/>
              </w:rPr>
              <w:t>Item 11.</w:t>
            </w:r>
          </w:p>
        </w:tc>
        <w:tc>
          <w:tcPr>
            <w:tcW w:w="7680" w:type="dxa"/>
            <w:vAlign w:val="bottom"/>
            <w:gridSpan w:val="23"/>
          </w:tcPr>
          <w:p>
            <w:pPr>
              <w:spacing w:after="0" w:line="196" w:lineRule="exact"/>
              <w:rPr>
                <w:sz w:val="20"/>
                <w:szCs w:val="20"/>
                <w:color w:val="auto"/>
              </w:rPr>
            </w:pPr>
            <w:r>
              <w:rPr>
                <w:rFonts w:ascii="Arial" w:cs="Arial" w:eastAsia="Arial" w:hAnsi="Arial"/>
                <w:sz w:val="18"/>
                <w:szCs w:val="18"/>
                <w:color w:val="0000EE"/>
              </w:rPr>
              <w:t>Executive Compensation</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Arial" w:cs="Arial" w:eastAsia="Arial" w:hAnsi="Arial"/>
                <w:sz w:val="18"/>
                <w:szCs w:val="18"/>
                <w:color w:val="0000EE"/>
                <w:w w:val="86"/>
              </w:rPr>
              <w:t>Item 12.</w:t>
            </w:r>
          </w:p>
        </w:tc>
        <w:tc>
          <w:tcPr>
            <w:tcW w:w="180" w:type="dxa"/>
            <w:vAlign w:val="bottom"/>
            <w:gridSpan w:val="4"/>
          </w:tcPr>
          <w:p>
            <w:pPr>
              <w:spacing w:after="0"/>
              <w:rPr>
                <w:sz w:val="17"/>
                <w:szCs w:val="17"/>
                <w:color w:val="auto"/>
              </w:rPr>
            </w:pPr>
          </w:p>
        </w:tc>
        <w:tc>
          <w:tcPr>
            <w:tcW w:w="7680" w:type="dxa"/>
            <w:vAlign w:val="bottom"/>
            <w:gridSpan w:val="23"/>
          </w:tcPr>
          <w:p>
            <w:pPr>
              <w:spacing w:after="0" w:line="196" w:lineRule="exact"/>
              <w:rPr>
                <w:sz w:val="20"/>
                <w:szCs w:val="20"/>
                <w:color w:val="auto"/>
              </w:rPr>
            </w:pPr>
            <w:r>
              <w:rPr>
                <w:rFonts w:ascii="Arial" w:cs="Arial" w:eastAsia="Arial" w:hAnsi="Arial"/>
                <w:sz w:val="18"/>
                <w:szCs w:val="18"/>
                <w:color w:val="0000EE"/>
                <w:w w:val="95"/>
              </w:rPr>
              <w:t>Security Ownership of Certain Beneficial Owners and Management and Related Stockholder Matters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6"/>
              </w:rPr>
              <w:t>Item 13.</w:t>
            </w:r>
          </w:p>
        </w:tc>
        <w:tc>
          <w:tcPr>
            <w:tcW w:w="180" w:type="dxa"/>
            <w:vAlign w:val="bottom"/>
            <w:gridSpan w:val="4"/>
          </w:tcPr>
          <w:p>
            <w:pPr>
              <w:spacing w:after="0"/>
              <w:rPr>
                <w:sz w:val="17"/>
                <w:szCs w:val="17"/>
                <w:color w:val="auto"/>
              </w:rPr>
            </w:pPr>
          </w:p>
        </w:tc>
        <w:tc>
          <w:tcPr>
            <w:tcW w:w="728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40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6"/>
              </w:rPr>
              <w:t>Item 14.</w:t>
            </w:r>
          </w:p>
        </w:tc>
        <w:tc>
          <w:tcPr>
            <w:tcW w:w="180" w:type="dxa"/>
            <w:vAlign w:val="bottom"/>
            <w:gridSpan w:val="4"/>
          </w:tcPr>
          <w:p>
            <w:pPr>
              <w:spacing w:after="0"/>
              <w:rPr>
                <w:sz w:val="17"/>
                <w:szCs w:val="17"/>
                <w:color w:val="auto"/>
              </w:rPr>
            </w:pPr>
          </w:p>
        </w:tc>
        <w:tc>
          <w:tcPr>
            <w:tcW w:w="2860" w:type="dxa"/>
            <w:vAlign w:val="bottom"/>
            <w:tcBorders>
              <w:top w:val="single" w:sz="8" w:color="0000EE"/>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Principal Accountant Fees and Services</w:t>
            </w:r>
          </w:p>
        </w:tc>
        <w:tc>
          <w:tcPr>
            <w:tcW w:w="2580" w:type="dxa"/>
            <w:vAlign w:val="bottom"/>
            <w:tcBorders>
              <w:top w:val="single" w:sz="8" w:color="0000EE"/>
            </w:tcBorders>
            <w:gridSpan w:val="6"/>
          </w:tcPr>
          <w:p>
            <w:pPr>
              <w:spacing w:after="0"/>
              <w:rPr>
                <w:sz w:val="17"/>
                <w:szCs w:val="17"/>
                <w:color w:val="auto"/>
              </w:rPr>
            </w:pPr>
          </w:p>
        </w:tc>
        <w:tc>
          <w:tcPr>
            <w:tcW w:w="224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12"/>
        </w:trPr>
        <w:tc>
          <w:tcPr>
            <w:tcW w:w="780" w:type="dxa"/>
            <w:vAlign w:val="bottom"/>
            <w:gridSpan w:val="7"/>
          </w:tcPr>
          <w:p>
            <w:pPr>
              <w:spacing w:after="0"/>
              <w:rPr>
                <w:sz w:val="20"/>
                <w:szCs w:val="20"/>
                <w:color w:val="auto"/>
              </w:rPr>
            </w:pPr>
            <w:r>
              <w:rPr>
                <w:rFonts w:ascii="Arial" w:cs="Arial" w:eastAsia="Arial" w:hAnsi="Arial"/>
                <w:sz w:val="18"/>
                <w:szCs w:val="18"/>
                <w:b w:val="1"/>
                <w:bCs w:val="1"/>
                <w:color w:val="0000EE"/>
              </w:rPr>
              <w:t>PART IV</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6"/>
              </w:rPr>
              <w:t>Item 15.</w:t>
            </w:r>
          </w:p>
        </w:tc>
        <w:tc>
          <w:tcPr>
            <w:tcW w:w="100" w:type="dxa"/>
            <w:vAlign w:val="bottom"/>
            <w:tcBorders>
              <w:top w:val="single" w:sz="8" w:color="0000EE"/>
            </w:tcBorders>
            <w:gridSpan w:val="2"/>
          </w:tcPr>
          <w:p>
            <w:pPr>
              <w:spacing w:after="0"/>
              <w:rPr>
                <w:sz w:val="24"/>
                <w:szCs w:val="24"/>
                <w:color w:val="auto"/>
              </w:rPr>
            </w:pPr>
          </w:p>
        </w:tc>
        <w:tc>
          <w:tcPr>
            <w:tcW w:w="80" w:type="dxa"/>
            <w:vAlign w:val="bottom"/>
            <w:gridSpan w:val="2"/>
          </w:tcPr>
          <w:p>
            <w:pPr>
              <w:spacing w:after="0"/>
              <w:rPr>
                <w:sz w:val="24"/>
                <w:szCs w:val="24"/>
                <w:color w:val="auto"/>
              </w:rPr>
            </w:pPr>
          </w:p>
        </w:tc>
        <w:tc>
          <w:tcPr>
            <w:tcW w:w="31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9"/>
              </w:rPr>
              <w:t>Exhibits and Financial Statement Schedules</w:t>
            </w:r>
          </w:p>
        </w:tc>
        <w:tc>
          <w:tcPr>
            <w:tcW w:w="4520" w:type="dxa"/>
            <w:vAlign w:val="bottom"/>
            <w:gridSpan w:val="1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Arial" w:cs="Arial" w:eastAsia="Arial" w:hAnsi="Arial"/>
                <w:sz w:val="18"/>
                <w:szCs w:val="18"/>
                <w:color w:val="0000EE"/>
                <w:w w:val="86"/>
              </w:rPr>
              <w:t>Item 16.</w:t>
            </w:r>
          </w:p>
        </w:tc>
        <w:tc>
          <w:tcPr>
            <w:tcW w:w="180" w:type="dxa"/>
            <w:vAlign w:val="bottom"/>
            <w:gridSpan w:val="4"/>
          </w:tcPr>
          <w:p>
            <w:pPr>
              <w:spacing w:after="0"/>
              <w:rPr>
                <w:sz w:val="17"/>
                <w:szCs w:val="17"/>
                <w:color w:val="auto"/>
              </w:rPr>
            </w:pPr>
          </w:p>
        </w:tc>
        <w:tc>
          <w:tcPr>
            <w:tcW w:w="7680" w:type="dxa"/>
            <w:vAlign w:val="bottom"/>
            <w:gridSpan w:val="23"/>
          </w:tcPr>
          <w:p>
            <w:pPr>
              <w:spacing w:after="0" w:line="196" w:lineRule="exact"/>
              <w:rPr>
                <w:sz w:val="20"/>
                <w:szCs w:val="20"/>
                <w:color w:val="auto"/>
              </w:rPr>
            </w:pPr>
            <w:r>
              <w:rPr>
                <w:rFonts w:ascii="Arial" w:cs="Arial" w:eastAsia="Arial" w:hAnsi="Arial"/>
                <w:sz w:val="18"/>
                <w:szCs w:val="18"/>
                <w:color w:val="0000EE"/>
              </w:rPr>
              <w:t>Form 10-K Summary</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6140" w:type="dxa"/>
            <w:vAlign w:val="bottom"/>
            <w:gridSpan w:val="1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SIGNATURES</w:t>
            </w:r>
          </w:p>
        </w:tc>
        <w:tc>
          <w:tcPr>
            <w:tcW w:w="7360" w:type="dxa"/>
            <w:vAlign w:val="bottom"/>
            <w:gridSpan w:val="2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left="60" w:right="139" w:firstLine="401"/>
        <w:spacing w:after="0" w:line="270" w:lineRule="auto"/>
        <w:rPr>
          <w:sz w:val="20"/>
          <w:szCs w:val="20"/>
          <w:color w:val="auto"/>
        </w:rPr>
      </w:pPr>
      <w:r>
        <w:rPr>
          <w:rFonts w:ascii="Arial" w:cs="Arial" w:eastAsia="Arial" w:hAnsi="Arial"/>
          <w:sz w:val="17"/>
          <w:szCs w:val="17"/>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statements of events or results that may occur in the future are deemed to be forward-looking statements. In some cases, forward-looking statements can be identified by terminology such as “aim,” “anticipate,” “assume,” “believe,” “continue,” “could,” “due,” “estimate,” “expect,” “goal,” “intend,” “may,” “objective,” “plan,” “predict,” “potential,” “positioned,” “seek,” “should,” “will,” “would,” and other similar expressions that are predictions of or indicate future events and future trends, or the negative of these terms or other comparable terminology, although not all forward-looking statements contain these words. These forward-looking statements include, but are not limited to, statements about:</w:t>
      </w:r>
    </w:p>
    <w:p>
      <w:pPr>
        <w:spacing w:after="0" w:line="181" w:lineRule="exact"/>
        <w:rPr>
          <w:sz w:val="20"/>
          <w:szCs w:val="20"/>
          <w:color w:val="auto"/>
        </w:rPr>
      </w:pPr>
    </w:p>
    <w:p>
      <w:pPr>
        <w:ind w:left="800" w:hanging="331"/>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future revenue, expenses, capital requirements and our needs for additional financing;</w:t>
      </w:r>
    </w:p>
    <w:p>
      <w:pPr>
        <w:spacing w:after="0" w:line="128" w:lineRule="exact"/>
        <w:rPr>
          <w:rFonts w:ascii="Arial" w:cs="Arial" w:eastAsia="Arial" w:hAnsi="Arial"/>
          <w:sz w:val="17"/>
          <w:szCs w:val="17"/>
          <w:color w:val="auto"/>
        </w:rPr>
      </w:pPr>
    </w:p>
    <w:p>
      <w:pPr>
        <w:ind w:left="800" w:hanging="331"/>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business model and strategic plans for our products, technologies and businesses;</w:t>
      </w:r>
    </w:p>
    <w:p>
      <w:pPr>
        <w:spacing w:after="0" w:line="140" w:lineRule="exact"/>
        <w:rPr>
          <w:rFonts w:ascii="Arial" w:cs="Arial" w:eastAsia="Arial" w:hAnsi="Arial"/>
          <w:sz w:val="16"/>
          <w:szCs w:val="16"/>
          <w:color w:val="auto"/>
        </w:rPr>
      </w:pPr>
    </w:p>
    <w:p>
      <w:pPr>
        <w:ind w:left="800" w:right="179" w:hanging="331"/>
        <w:spacing w:after="0" w:line="263"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impacts from the novel coronavirus (COVID-19) global pandemic on the Company, including to our business, results of operations, cash flows and financial position, as well as our future responses to the COVID-19 pandemic;</w:t>
      </w:r>
    </w:p>
    <w:p>
      <w:pPr>
        <w:spacing w:after="0" w:line="75"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current supply constraints;</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117" w:lineRule="exact"/>
        <w:rPr>
          <w:rFonts w:ascii="Arial" w:cs="Arial" w:eastAsia="Arial" w:hAnsi="Arial"/>
          <w:sz w:val="18"/>
          <w:szCs w:val="18"/>
          <w:color w:val="auto"/>
        </w:rPr>
      </w:pPr>
    </w:p>
    <w:p>
      <w:pPr>
        <w:ind w:left="800" w:right="399" w:hanging="331"/>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by expanding our sales to existing customers or introducing our products to new customers;</w:t>
      </w:r>
    </w:p>
    <w:p>
      <w:pPr>
        <w:spacing w:after="0" w:line="62" w:lineRule="exact"/>
        <w:rPr>
          <w:rFonts w:ascii="Arial" w:cs="Arial" w:eastAsia="Arial" w:hAnsi="Arial"/>
          <w:sz w:val="18"/>
          <w:szCs w:val="18"/>
          <w:color w:val="auto"/>
        </w:rPr>
      </w:pPr>
    </w:p>
    <w:p>
      <w:pPr>
        <w:ind w:left="800" w:right="499" w:hanging="331"/>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(IP) protection for our products or avoid claims of infringement;</w:t>
      </w:r>
    </w:p>
    <w:p>
      <w:pPr>
        <w:spacing w:after="0" w:line="62"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MRAM market opportunity; and</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our share price.</w:t>
      </w:r>
    </w:p>
    <w:p>
      <w:pPr>
        <w:spacing w:after="0" w:line="225" w:lineRule="exact"/>
        <w:rPr>
          <w:sz w:val="20"/>
          <w:szCs w:val="20"/>
          <w:color w:val="auto"/>
        </w:rPr>
      </w:pPr>
    </w:p>
    <w:p>
      <w:pPr>
        <w:ind w:left="60" w:right="99" w:firstLine="401"/>
        <w:spacing w:after="0" w:line="286" w:lineRule="auto"/>
        <w:rPr>
          <w:sz w:val="20"/>
          <w:szCs w:val="20"/>
          <w:color w:val="auto"/>
        </w:rPr>
      </w:pPr>
      <w:r>
        <w:rPr>
          <w:rFonts w:ascii="Arial" w:cs="Arial" w:eastAsia="Arial" w:hAnsi="Arial"/>
          <w:sz w:val="16"/>
          <w:szCs w:val="16"/>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these statements should not be regarded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and we undertake no obligation to update or revise these statements in light of future developments. Additionally, there may be other risks that are otherwise described from time to time in the reports that we file with the Securities and Exchange Commission (SEC).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w:t>
      </w:r>
    </w:p>
    <w:p>
      <w:pPr>
        <w:spacing w:after="0" w:line="171" w:lineRule="exact"/>
        <w:rPr>
          <w:sz w:val="20"/>
          <w:szCs w:val="20"/>
          <w:color w:val="auto"/>
        </w:rPr>
      </w:pPr>
    </w:p>
    <w:p>
      <w:pPr>
        <w:ind w:left="60" w:right="79" w:firstLine="401"/>
        <w:spacing w:after="0" w:line="25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Factor Summary</w:t>
      </w:r>
    </w:p>
    <w:p>
      <w:pPr>
        <w:spacing w:after="0" w:line="225" w:lineRule="exact"/>
        <w:rPr>
          <w:sz w:val="20"/>
          <w:szCs w:val="20"/>
          <w:color w:val="auto"/>
        </w:rPr>
      </w:pPr>
    </w:p>
    <w:p>
      <w:pPr>
        <w:ind w:left="60" w:right="59" w:firstLine="401"/>
        <w:spacing w:after="0" w:line="257" w:lineRule="auto"/>
        <w:rPr>
          <w:sz w:val="20"/>
          <w:szCs w:val="20"/>
          <w:color w:val="auto"/>
        </w:rPr>
      </w:pPr>
      <w:r>
        <w:rPr>
          <w:rFonts w:ascii="Arial" w:cs="Arial" w:eastAsia="Arial" w:hAnsi="Arial"/>
          <w:sz w:val="18"/>
          <w:szCs w:val="18"/>
          <w:color w:val="auto"/>
        </w:rPr>
        <w:t>We are subject to a variety of risks and uncertainties, including risks related to our financial condition and our indebtedness, risks related to our business and our industry, risks related to our intellectual property and technology, risks related to regulatory matters and compliance, risks related to our common stock and certain general risks, which could have a material adverse effect on our business, financial condition, results of operations and cash flows. These risks include, but are not limited to, the following principal risks:</w:t>
      </w:r>
    </w:p>
    <w:p>
      <w:pPr>
        <w:spacing w:after="0" w:line="188" w:lineRule="exact"/>
        <w:rPr>
          <w:sz w:val="20"/>
          <w:szCs w:val="20"/>
          <w:color w:val="auto"/>
        </w:rPr>
      </w:pPr>
    </w:p>
    <w:p>
      <w:pPr>
        <w:ind w:left="800" w:right="15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additional funding and may be unable to raise capital when needed, which could force us to delay, reduce, or eliminate planned activities.</w:t>
      </w:r>
    </w:p>
    <w:p>
      <w:pPr>
        <w:spacing w:after="0" w:line="62" w:lineRule="exact"/>
        <w:rPr>
          <w:rFonts w:ascii="Arial" w:cs="Arial" w:eastAsia="Arial" w:hAnsi="Arial"/>
          <w:sz w:val="18"/>
          <w:szCs w:val="18"/>
          <w:color w:val="auto"/>
        </w:rPr>
      </w:pPr>
    </w:p>
    <w:p>
      <w:pPr>
        <w:ind w:left="800" w:hanging="33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cannot be certain that we will sustain profitability.</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of our credit facility may restrict our ability to pursue our business strategies.</w:t>
      </w:r>
    </w:p>
    <w:p>
      <w:pPr>
        <w:spacing w:after="0" w:line="117" w:lineRule="exact"/>
        <w:rPr>
          <w:rFonts w:ascii="Arial" w:cs="Arial" w:eastAsia="Arial" w:hAnsi="Arial"/>
          <w:sz w:val="18"/>
          <w:szCs w:val="18"/>
          <w:color w:val="auto"/>
        </w:rPr>
      </w:pPr>
    </w:p>
    <w:p>
      <w:pPr>
        <w:ind w:left="800" w:right="119" w:hanging="331"/>
        <w:spacing w:after="0" w:line="311"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ongoing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40" w:lineRule="exact"/>
        <w:rPr>
          <w:rFonts w:ascii="Arial" w:cs="Arial" w:eastAsia="Arial" w:hAnsi="Arial"/>
          <w:sz w:val="16"/>
          <w:szCs w:val="16"/>
          <w:color w:val="auto"/>
        </w:rPr>
      </w:pPr>
    </w:p>
    <w:p>
      <w:pPr>
        <w:ind w:left="800" w:right="61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limited history of STT-MRAM adoption makes it difficult to evaluate our current business and future prospects.</w:t>
      </w:r>
    </w:p>
    <w:p>
      <w:pPr>
        <w:spacing w:after="0" w:line="62" w:lineRule="exact"/>
        <w:rPr>
          <w:rFonts w:ascii="Arial" w:cs="Arial" w:eastAsia="Arial" w:hAnsi="Arial"/>
          <w:sz w:val="18"/>
          <w:szCs w:val="18"/>
          <w:color w:val="auto"/>
        </w:rPr>
      </w:pPr>
    </w:p>
    <w:p>
      <w:pPr>
        <w:ind w:left="800" w:right="99" w:hanging="331"/>
        <w:spacing w:after="0" w:line="259"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78" w:lineRule="exact"/>
        <w:rPr>
          <w:rFonts w:ascii="Arial" w:cs="Arial" w:eastAsia="Arial" w:hAnsi="Arial"/>
          <w:sz w:val="18"/>
          <w:szCs w:val="18"/>
          <w:color w:val="auto"/>
        </w:rPr>
      </w:pPr>
    </w:p>
    <w:p>
      <w:pPr>
        <w:ind w:left="800" w:right="219" w:hanging="331"/>
        <w:spacing w:after="0" w:line="34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we expand into new potential markets, we expect to face intense competition, including from our customers and potential customers, and may not be able to compete effectively, which could harm our business.</w:t>
      </w:r>
    </w:p>
    <w:p>
      <w:pPr>
        <w:spacing w:after="0" w:line="15" w:lineRule="exact"/>
        <w:rPr>
          <w:rFonts w:ascii="Arial" w:cs="Arial" w:eastAsia="Arial" w:hAnsi="Arial"/>
          <w:sz w:val="16"/>
          <w:szCs w:val="16"/>
          <w:color w:val="auto"/>
        </w:rPr>
      </w:pPr>
    </w:p>
    <w:p>
      <w:pPr>
        <w:ind w:left="800" w:right="119" w:hanging="331"/>
        <w:spacing w:after="0" w:line="286"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57" w:lineRule="exact"/>
        <w:rPr>
          <w:rFonts w:ascii="Arial" w:cs="Arial" w:eastAsia="Arial" w:hAnsi="Arial"/>
          <w:sz w:val="17"/>
          <w:szCs w:val="17"/>
          <w:color w:val="auto"/>
        </w:rPr>
      </w:pPr>
    </w:p>
    <w:p>
      <w:pPr>
        <w:ind w:left="800" w:right="13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our supply chain may adversely impact our ability to fulfill customer demand which, in turn, may adversely impact our business, results of operations, and financial condition.</w:t>
      </w:r>
    </w:p>
    <w:p>
      <w:pPr>
        <w:spacing w:after="0" w:line="62" w:lineRule="exact"/>
        <w:rPr>
          <w:rFonts w:ascii="Arial" w:cs="Arial" w:eastAsia="Arial" w:hAnsi="Arial"/>
          <w:sz w:val="18"/>
          <w:szCs w:val="18"/>
          <w:color w:val="auto"/>
        </w:rPr>
      </w:pPr>
    </w:p>
    <w:p>
      <w:pPr>
        <w:ind w:left="800" w:hanging="33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joint development agreement and strategic relationships involve numerous risks.</w:t>
      </w:r>
    </w:p>
    <w:p>
      <w:pPr>
        <w:spacing w:after="0" w:line="117" w:lineRule="exact"/>
        <w:rPr>
          <w:rFonts w:ascii="Arial" w:cs="Arial" w:eastAsia="Arial" w:hAnsi="Arial"/>
          <w:sz w:val="18"/>
          <w:szCs w:val="18"/>
          <w:color w:val="auto"/>
        </w:rPr>
      </w:pPr>
    </w:p>
    <w:p>
      <w:pPr>
        <w:ind w:left="800" w:right="139" w:hanging="331"/>
        <w:spacing w:after="0" w:line="263"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75" w:lineRule="exact"/>
        <w:rPr>
          <w:rFonts w:ascii="Arial" w:cs="Arial" w:eastAsia="Arial" w:hAnsi="Arial"/>
          <w:sz w:val="18"/>
          <w:szCs w:val="18"/>
          <w:color w:val="auto"/>
        </w:rPr>
      </w:pPr>
    </w:p>
    <w:p>
      <w:pPr>
        <w:ind w:left="800" w:right="319" w:hanging="331"/>
        <w:spacing w:after="0" w:line="311"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40" w:lineRule="exact"/>
        <w:rPr>
          <w:rFonts w:ascii="Arial" w:cs="Arial" w:eastAsia="Arial" w:hAnsi="Arial"/>
          <w:sz w:val="16"/>
          <w:szCs w:val="16"/>
          <w:color w:val="auto"/>
        </w:rPr>
      </w:pPr>
    </w:p>
    <w:p>
      <w:pPr>
        <w:ind w:left="800" w:right="41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one or several of our customers or reduced orders or pricing from existing customers may have a significant adverse effect on our operations and financial results.</w:t>
      </w:r>
    </w:p>
    <w:p>
      <w:pPr>
        <w:spacing w:after="0" w:line="62" w:lineRule="exact"/>
        <w:rPr>
          <w:rFonts w:ascii="Arial" w:cs="Arial" w:eastAsia="Arial" w:hAnsi="Arial"/>
          <w:sz w:val="18"/>
          <w:szCs w:val="18"/>
          <w:color w:val="auto"/>
        </w:rPr>
      </w:pPr>
    </w:p>
    <w:p>
      <w:pPr>
        <w:ind w:left="800" w:right="559" w:hanging="331"/>
        <w:spacing w:after="0" w:line="308"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face competition and expect competition to increase in the future. If we fail to compete effectively, our revenue growth and results of operations will be materially and adversely affected.</w:t>
      </w:r>
    </w:p>
    <w:p>
      <w:pPr>
        <w:spacing w:after="0" w:line="38" w:lineRule="exact"/>
        <w:rPr>
          <w:rFonts w:ascii="Arial" w:cs="Arial" w:eastAsia="Arial" w:hAnsi="Arial"/>
          <w:sz w:val="17"/>
          <w:szCs w:val="17"/>
          <w:color w:val="auto"/>
        </w:rPr>
      </w:pPr>
    </w:p>
    <w:p>
      <w:pPr>
        <w:ind w:left="800" w:right="85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costs may increase substantially if we or our third-party manufacturing contractors do not achieve satisfactory product yields or quality.</w:t>
      </w:r>
    </w:p>
    <w:p>
      <w:pPr>
        <w:spacing w:after="0" w:line="62" w:lineRule="exact"/>
        <w:rPr>
          <w:rFonts w:ascii="Arial" w:cs="Arial" w:eastAsia="Arial" w:hAnsi="Arial"/>
          <w:sz w:val="18"/>
          <w:szCs w:val="18"/>
          <w:color w:val="auto"/>
        </w:rPr>
      </w:pPr>
    </w:p>
    <w:p>
      <w:pPr>
        <w:ind w:left="800" w:right="77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complexity of our products may lead to defects, which could negatively impact our reputation with customers and result in liability.</w:t>
      </w:r>
    </w:p>
    <w:p>
      <w:pPr>
        <w:spacing w:after="0" w:line="62" w:lineRule="exact"/>
        <w:rPr>
          <w:rFonts w:ascii="Arial" w:cs="Arial" w:eastAsia="Arial" w:hAnsi="Arial"/>
          <w:sz w:val="18"/>
          <w:szCs w:val="18"/>
          <w:color w:val="auto"/>
        </w:rPr>
      </w:pPr>
    </w:p>
    <w:p>
      <w:pPr>
        <w:ind w:left="800" w:right="379" w:hanging="331"/>
        <w:spacing w:after="0" w:line="263"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219" w:hanging="331"/>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industry standards and technical requirements relevant to our products and markets could adversely affect our business, results of operations, and prospects.</w:t>
      </w:r>
    </w:p>
    <w:p>
      <w:pPr>
        <w:spacing w:after="0" w:line="62" w:lineRule="exact"/>
        <w:rPr>
          <w:rFonts w:ascii="Arial" w:cs="Arial" w:eastAsia="Arial" w:hAnsi="Arial"/>
          <w:sz w:val="18"/>
          <w:szCs w:val="18"/>
          <w:color w:val="auto"/>
        </w:rPr>
      </w:pPr>
    </w:p>
    <w:p>
      <w:pPr>
        <w:ind w:left="800" w:right="239" w:hanging="331"/>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on our ability to attract and retain key employees, and our failure to do so could harm our ability to grow our business and execute our business strategies.</w:t>
      </w:r>
    </w:p>
    <w:p>
      <w:pPr>
        <w:spacing w:after="0" w:line="62" w:lineRule="exact"/>
        <w:rPr>
          <w:rFonts w:ascii="Arial" w:cs="Arial" w:eastAsia="Arial" w:hAnsi="Arial"/>
          <w:sz w:val="18"/>
          <w:szCs w:val="18"/>
          <w:color w:val="auto"/>
        </w:rPr>
      </w:pPr>
    </w:p>
    <w:p>
      <w:pPr>
        <w:ind w:left="800" w:right="499" w:hanging="331"/>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maintain, and are seeking to expand, operations outside the United States which exposes us to significant risks.</w:t>
      </w:r>
    </w:p>
    <w:p>
      <w:pPr>
        <w:spacing w:after="0" w:line="6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For a more complete discussion of the material risk factors applicable to us, see “Risk Factors” in Part I, Item 1A of this report.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339" w:firstLine="324"/>
        <w:spacing w:after="0" w:line="272" w:lineRule="auto"/>
        <w:rPr>
          <w:sz w:val="20"/>
          <w:szCs w:val="20"/>
          <w:color w:val="auto"/>
        </w:rPr>
      </w:pPr>
      <w:r>
        <w:rPr>
          <w:rFonts w:ascii="Arial" w:cs="Arial" w:eastAsia="Arial" w:hAnsi="Arial"/>
          <w:sz w:val="17"/>
          <w:szCs w:val="17"/>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15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218"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We sell our products directly and through our established distribution channels to industry-leading original equipment manufacturers (OEMs) and original design manufacturers (ODMs).</w:t>
      </w:r>
    </w:p>
    <w:p>
      <w:pPr>
        <w:spacing w:after="0" w:line="211" w:lineRule="exact"/>
        <w:rPr>
          <w:sz w:val="20"/>
          <w:szCs w:val="20"/>
          <w:color w:val="auto"/>
        </w:rPr>
      </w:pPr>
    </w:p>
    <w:p>
      <w:pPr>
        <w:ind w:left="60" w:right="179" w:firstLine="401"/>
        <w:spacing w:after="0" w:line="275" w:lineRule="auto"/>
        <w:rPr>
          <w:sz w:val="20"/>
          <w:szCs w:val="20"/>
          <w:color w:val="auto"/>
        </w:rPr>
      </w:pPr>
      <w:r>
        <w:rPr>
          <w:rFonts w:ascii="Arial" w:cs="Arial" w:eastAsia="Arial" w:hAnsi="Arial"/>
          <w:sz w:val="17"/>
          <w:szCs w:val="17"/>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6" w:lineRule="exact"/>
        <w:rPr>
          <w:sz w:val="20"/>
          <w:szCs w:val="20"/>
          <w:color w:val="auto"/>
        </w:rPr>
      </w:pPr>
    </w:p>
    <w:p>
      <w:pPr>
        <w:ind w:left="60" w:right="199" w:firstLine="401"/>
        <w:spacing w:after="0" w:line="259" w:lineRule="auto"/>
        <w:rPr>
          <w:sz w:val="20"/>
          <w:szCs w:val="20"/>
          <w:color w:val="auto"/>
        </w:rPr>
      </w:pPr>
      <w:r>
        <w:rPr>
          <w:rFonts w:ascii="Arial" w:cs="Arial" w:eastAsia="Arial" w:hAnsi="Arial"/>
          <w:sz w:val="18"/>
          <w:szCs w:val="18"/>
          <w:color w:val="auto"/>
        </w:rPr>
        <w:t>For the years ended December 31, 2022 and 2021, we recorded revenue of $60.0 million and $55.1 million, gross margin of 56.6% and 60.0%, and net income of $6.1 million and $4.3 million, respectively. Our headquarters is located in Chandler, Arizona. Our principal design center is in Austin, Texas, and we have additional sales operations in the Americas, Europe, and Asia-Pacific regions.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 Overview</w:t>
      </w:r>
    </w:p>
    <w:p>
      <w:pPr>
        <w:spacing w:after="0" w:line="229" w:lineRule="exact"/>
        <w:rPr>
          <w:sz w:val="20"/>
          <w:szCs w:val="20"/>
          <w:color w:val="auto"/>
        </w:rPr>
      </w:pPr>
    </w:p>
    <w:p>
      <w:pPr>
        <w:ind w:left="60" w:right="79" w:firstLine="401"/>
        <w:spacing w:after="0" w:line="263" w:lineRule="auto"/>
        <w:rPr>
          <w:sz w:val="20"/>
          <w:szCs w:val="20"/>
          <w:color w:val="auto"/>
        </w:rPr>
      </w:pPr>
      <w:r>
        <w:rPr>
          <w:rFonts w:ascii="Arial" w:cs="Arial" w:eastAsia="Arial" w:hAnsi="Arial"/>
          <w:sz w:val="18"/>
          <w:szCs w:val="18"/>
          <w:color w:val="auto"/>
        </w:rPr>
        <w:t>We have a strong track record of innovation in MRAM technology, as demonstrated by our successive introduction of MRAM products that address an increasingly broad spectrum of applications. Our MRAM discrete solutions as well as other offerings are described as follows: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Toggle MRAM</w:t>
      </w:r>
    </w:p>
    <w:p>
      <w:pPr>
        <w:spacing w:after="0" w:line="225" w:lineRule="exact"/>
        <w:rPr>
          <w:sz w:val="20"/>
          <w:szCs w:val="20"/>
          <w:color w:val="auto"/>
        </w:rPr>
      </w:pPr>
    </w:p>
    <w:p>
      <w:pPr>
        <w:ind w:left="60" w:right="219" w:firstLine="401"/>
        <w:spacing w:after="0" w:line="291" w:lineRule="auto"/>
        <w:rPr>
          <w:sz w:val="20"/>
          <w:szCs w:val="20"/>
          <w:color w:val="auto"/>
        </w:rPr>
      </w:pPr>
      <w:r>
        <w:rPr>
          <w:rFonts w:ascii="Arial" w:cs="Arial" w:eastAsia="Arial" w:hAnsi="Arial"/>
          <w:sz w:val="16"/>
          <w:szCs w:val="16"/>
          <w:color w:val="auto"/>
        </w:rPr>
        <w:t>Our Toggle MRAM products have been in production since 2008 and are currently shipping in 128kb to 32Mb densities. These high performance, non-volatile memories are designed primarily to address applications in the industrial, medical, automotive/transportation, and data center markets. We offer these products with industry standard interfaces, including Parallel, Serial Peripheral Interface (SPI) and Quad SPI (QSPI) interfaces, enabling our customers to easily replace legacy memory components like Static Random Access Memory (SRAM) and Ferroelectric Random Access Memory (FRAM) with Toggle MRAM. We have never had an end-of-life event for any of our Toggle MRAM products which enables our customers to design in a product with the assurance that it will be available for many years to come.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Spin-Transfer Torque MRAM</w:t>
      </w:r>
    </w:p>
    <w:p>
      <w:pPr>
        <w:spacing w:after="0" w:line="225" w:lineRule="exact"/>
        <w:rPr>
          <w:sz w:val="20"/>
          <w:szCs w:val="20"/>
          <w:color w:val="auto"/>
        </w:rPr>
      </w:pPr>
    </w:p>
    <w:p>
      <w:pPr>
        <w:ind w:left="60" w:right="139" w:firstLine="401"/>
        <w:spacing w:after="0" w:line="255" w:lineRule="auto"/>
        <w:rPr>
          <w:sz w:val="20"/>
          <w:szCs w:val="20"/>
          <w:color w:val="auto"/>
        </w:rPr>
      </w:pPr>
      <w:r>
        <w:rPr>
          <w:rFonts w:ascii="Arial" w:cs="Arial" w:eastAsia="Arial" w:hAnsi="Arial"/>
          <w:sz w:val="18"/>
          <w:szCs w:val="18"/>
          <w:color w:val="auto"/>
        </w:rPr>
        <w:t>Spin Transfer Torque MRAM (STT-MRAM) technology can be tuned to deliver products in Dynamic Random Access Memory (DRAM), SRAM and NOR Flash applications. Our STT-MRAM products targeting DRAM replacement started production in 2017 and are currently shipping in 256Mb and 1Gb densities. These high density, high performance persistent memories are delivering significant value to SSD, Persistent Memory Cards, Fabric Accelerator, and other applications in the data center market. We offer these products with DDR3 and DDR4 derivative interfaces, facilitating the replacement of battery-backed DRAM with STT-MRAM.</w:t>
      </w:r>
    </w:p>
    <w:p>
      <w:pPr>
        <w:spacing w:after="0" w:line="192" w:lineRule="exact"/>
        <w:rPr>
          <w:sz w:val="20"/>
          <w:szCs w:val="20"/>
          <w:color w:val="auto"/>
        </w:rPr>
      </w:pPr>
    </w:p>
    <w:p>
      <w:pPr>
        <w:ind w:left="60" w:right="79" w:firstLine="401"/>
        <w:spacing w:after="0" w:line="293" w:lineRule="auto"/>
        <w:rPr>
          <w:sz w:val="20"/>
          <w:szCs w:val="20"/>
          <w:color w:val="auto"/>
        </w:rPr>
      </w:pPr>
      <w:r>
        <w:rPr>
          <w:rFonts w:ascii="Arial" w:cs="Arial" w:eastAsia="Arial" w:hAnsi="Arial"/>
          <w:sz w:val="16"/>
          <w:szCs w:val="16"/>
          <w:color w:val="auto"/>
        </w:rPr>
        <w:t>STT-MRAM enabled scaling of our Toggle MRAM products to higher densities on advanced CMOS nodes. In 2022, we started production of high density (8Mb to 128Mb) STT-MRAM products on 28nm CMOS node with standardized SPI, QSPI, and Octal SPI (OSPI) interfaces. These products are enabling our customers to simplify their system architecture and easily replace legacy memory components like SRAM and FRAM. They are ideal for use in electronic systems where data persistence and integrity, low power, low latency, and security are paramount, such as industrial IoT, artificial intelligence (AI), network/enterprise infrastructure, process automation and control, aeronautics/avionics, medical, and gaming.</w:t>
      </w:r>
    </w:p>
    <w:p>
      <w:pPr>
        <w:spacing w:after="0" w:line="164" w:lineRule="exact"/>
        <w:rPr>
          <w:sz w:val="20"/>
          <w:szCs w:val="20"/>
          <w:color w:val="auto"/>
        </w:rPr>
      </w:pPr>
    </w:p>
    <w:p>
      <w:pPr>
        <w:ind w:left="60" w:right="99" w:firstLine="401"/>
        <w:spacing w:after="0" w:line="272" w:lineRule="auto"/>
        <w:rPr>
          <w:sz w:val="20"/>
          <w:szCs w:val="20"/>
          <w:color w:val="auto"/>
        </w:rPr>
      </w:pPr>
      <w:r>
        <w:rPr>
          <w:rFonts w:ascii="Arial" w:cs="Arial" w:eastAsia="Arial" w:hAnsi="Arial"/>
          <w:sz w:val="17"/>
          <w:szCs w:val="17"/>
          <w:color w:val="auto"/>
        </w:rPr>
        <w:t>Due to the limitations of NOR scaling past 45nm and availability of STT-MRAM on 22nm technology, we believe there is potential for STT-MRAM to enter multiple non-volatile memory (NVM) markets where fast reads/writes, high cycle counts, and extended data retention are required. We introduced the first STT-MRAM product addressing this segment of the market in 2022 and are currently shipping in 16Mb to 128Mb densities. STT-MRAM is uniquely positioned to deliver higher density (&gt; 256Mb) monolithic parts for NOR replacement. These products are ideal for replacing NOR in Field Programmable Gate Array (FPGA) systems to store configuration memory and simultaneously enabling 100x faster Over The Air (OTA) updates. Today, no viable single chip solution exists except STT-MRAM.</w:t>
      </w:r>
    </w:p>
    <w:p>
      <w:pPr>
        <w:spacing w:after="0" w:line="177" w:lineRule="exact"/>
        <w:rPr>
          <w:sz w:val="20"/>
          <w:szCs w:val="20"/>
          <w:color w:val="auto"/>
        </w:rPr>
      </w:pPr>
    </w:p>
    <w:p>
      <w:pPr>
        <w:ind w:left="60" w:right="179" w:firstLine="401"/>
        <w:spacing w:after="0" w:line="290" w:lineRule="auto"/>
        <w:rPr>
          <w:sz w:val="20"/>
          <w:szCs w:val="20"/>
          <w:color w:val="auto"/>
        </w:rPr>
      </w:pPr>
      <w:r>
        <w:rPr>
          <w:rFonts w:ascii="Arial" w:cs="Arial" w:eastAsia="Arial" w:hAnsi="Arial"/>
          <w:sz w:val="16"/>
          <w:szCs w:val="16"/>
          <w:color w:val="auto"/>
        </w:rPr>
        <w:t>Typically, on power up of a FPGA, the configuration memory that is stored off- or on- chip in a NOR chip is downloaded to the SRAM cells that execute the Look Up Tables (LUTs). This sequence of events creates a time lag between the power up and the execution of the LUTs. In addition, there is a security concern with the download of the configuration bit stream from the NOR to the SRAM. We have developed our STT-MRAM technology to act as the "configuration memory” in a FPGA eliminating the security concern and enabling instant-on characteristics. Furthermore, the STT-MRAM based configuration memory can be programmed multiple times with OTA updates or can be hard coded depending on the application. Since STT-MRAM can be scaled to advanced nodes and is already available on 22nm, monolithic embedded solutions are possible, we believe this solution is ideal for next generation FPGAs.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TMR Sensors</w:t>
      </w:r>
    </w:p>
    <w:p>
      <w:pPr>
        <w:spacing w:after="0" w:line="225" w:lineRule="exact"/>
        <w:rPr>
          <w:sz w:val="20"/>
          <w:szCs w:val="20"/>
          <w:color w:val="auto"/>
        </w:rPr>
      </w:pPr>
    </w:p>
    <w:p>
      <w:pPr>
        <w:ind w:left="60" w:right="199" w:firstLine="401"/>
        <w:spacing w:after="0" w:line="286" w:lineRule="auto"/>
        <w:rPr>
          <w:sz w:val="20"/>
          <w:szCs w:val="20"/>
          <w:color w:val="auto"/>
        </w:rPr>
      </w:pPr>
      <w:r>
        <w:rPr>
          <w:rFonts w:ascii="Arial" w:cs="Arial" w:eastAsia="Arial" w:hAnsi="Arial"/>
          <w:sz w:val="17"/>
          <w:szCs w:val="17"/>
          <w:color w:val="auto"/>
        </w:rPr>
        <w:t>Our 3D Tunnel Magneto Resistance (TMR) sensors provide extremely high magnetic sensitivity in a single component that performs 3D magnetic field measurements in a monolithic solution. We offer these die-level devices to be integrated into consumer electronic applications that utilize a high sensitivity 3D compass function.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Licensing, Royalty, and Patent Overview</w:t>
      </w:r>
    </w:p>
    <w:p>
      <w:pPr>
        <w:spacing w:after="0" w:line="229" w:lineRule="exact"/>
        <w:rPr>
          <w:sz w:val="20"/>
          <w:szCs w:val="20"/>
          <w:color w:val="auto"/>
        </w:rPr>
      </w:pPr>
    </w:p>
    <w:p>
      <w:pPr>
        <w:ind w:left="60" w:right="159" w:firstLine="401"/>
        <w:spacing w:after="0" w:line="263" w:lineRule="auto"/>
        <w:rPr>
          <w:sz w:val="20"/>
          <w:szCs w:val="20"/>
          <w:color w:val="auto"/>
        </w:rPr>
      </w:pPr>
      <w:r>
        <w:rPr>
          <w:rFonts w:ascii="Arial" w:cs="Arial" w:eastAsia="Arial" w:hAnsi="Arial"/>
          <w:sz w:val="18"/>
          <w:szCs w:val="18"/>
          <w:color w:val="auto"/>
        </w:rPr>
        <w:t>We leverage our broad IP portfolio to enable licensing, royalty revenue streams, and patent sales from non-core applications that can derive valuable differentiation through the use of Everspin MRAM and TMR sensor IP. For example, this includes the following:</w:t>
      </w:r>
    </w:p>
    <w:p>
      <w:pPr>
        <w:spacing w:after="0" w:line="184" w:lineRule="exact"/>
        <w:rPr>
          <w:sz w:val="20"/>
          <w:szCs w:val="20"/>
          <w:color w:val="auto"/>
        </w:rPr>
      </w:pPr>
    </w:p>
    <w:p>
      <w:pPr>
        <w:ind w:left="800" w:right="139" w:hanging="33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licensed GLOBALFOUNDRIES to offer embedded MRAM in the solutions they manufacture for their customers providing high-performance non-volatile embedded memory.</w:t>
      </w:r>
    </w:p>
    <w:p>
      <w:pPr>
        <w:spacing w:after="0" w:line="62" w:lineRule="exact"/>
        <w:rPr>
          <w:rFonts w:ascii="Arial" w:cs="Arial" w:eastAsia="Arial" w:hAnsi="Arial"/>
          <w:sz w:val="18"/>
          <w:szCs w:val="18"/>
          <w:color w:val="auto"/>
        </w:rPr>
      </w:pPr>
    </w:p>
    <w:p>
      <w:pPr>
        <w:ind w:left="800" w:right="259" w:hanging="33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licensed base MRAM design technology (EAR99) for use in radiation tolerant aerospace applications to customers for their custom designs.</w:t>
      </w:r>
    </w:p>
    <w:p>
      <w:pPr>
        <w:spacing w:after="0" w:line="62"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licensed TMR sensor IP in 3D magnetic field sensing.</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completed patent sales by transferring, assigning, and delivering patents to customers.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Foundry Services Overview</w:t>
      </w:r>
    </w:p>
    <w:p>
      <w:pPr>
        <w:spacing w:after="0" w:line="229"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color w:val="auto"/>
        </w:rPr>
        <w:t>In our Chandler facility, we perform BEOL manufacturing services for customers who want to add MRAM and TMR sensor functionality to their memory or application base circuits. These services allow aerospace and satellite electronic system manufacturers to integrate our EAR99 technology that is able to withstand exposure to the levels of radiation encountered in avionics and space applications by virtue of such technology being magnetic rather than electrical charge based which would be susceptible to alpha particles.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60" w:right="139" w:firstLine="401"/>
        <w:spacing w:after="0" w:line="275" w:lineRule="auto"/>
        <w:rPr>
          <w:sz w:val="20"/>
          <w:szCs w:val="20"/>
          <w:color w:val="auto"/>
        </w:rPr>
      </w:pPr>
      <w:r>
        <w:rPr>
          <w:rFonts w:ascii="Arial" w:cs="Arial" w:eastAsia="Arial" w:hAnsi="Arial"/>
          <w:sz w:val="17"/>
          <w:szCs w:val="17"/>
          <w:color w:val="auto"/>
        </w:rPr>
        <w:t>We sell our products through a direct sales channel and a network of representatives and distributors. The majority of our customers, and their associated contract manufacturers, buy our products through our distributors. We maintain sales, support, supply chain and logistics operations and have distributors in Asia to service the production needs of contract manufacturers. We also maintain direct selling relationships with several strategic customers. Our direct sales representatives are located in North America, Germany, Italy, Japan, Hong Kong, and Taiwan.</w:t>
      </w:r>
    </w:p>
    <w:p>
      <w:pPr>
        <w:spacing w:after="0" w:line="176" w:lineRule="exact"/>
        <w:rPr>
          <w:sz w:val="20"/>
          <w:szCs w:val="20"/>
          <w:color w:val="auto"/>
        </w:rPr>
      </w:pPr>
    </w:p>
    <w:p>
      <w:pPr>
        <w:ind w:left="60" w:right="79" w:firstLine="401"/>
        <w:spacing w:after="0" w:line="271" w:lineRule="auto"/>
        <w:rPr>
          <w:sz w:val="20"/>
          <w:szCs w:val="20"/>
          <w:color w:val="auto"/>
        </w:rPr>
      </w:pPr>
      <w:r>
        <w:rPr>
          <w:rFonts w:ascii="Arial" w:cs="Arial" w:eastAsia="Arial" w:hAnsi="Arial"/>
          <w:sz w:val="17"/>
          <w:szCs w:val="17"/>
          <w:color w:val="auto"/>
        </w:rPr>
        <w:t>Our typical sales cycle consists of a sales and development process in which our field engineers and sales personnel work closely with our customers’ design engineers. This process can take from three to 18 months to complete, and a successful sales cycle culminates in a design win. Note that some customers of our STT-MRAM products may need to modify their controllers to integrate our technology, adding additional time to the cycle. Once we establish a relationship with a customer, we continue a sales process to maintain our position and to secure subsequent new design wins at the customer. Each customer lead, whether new or existing, is tracked through our CRM tool and followed in stages of prospect, design in, design win and production. This tracking results in a design win pipeline that provides a measure of the future business potential of the opportunities.</w:t>
      </w:r>
    </w:p>
    <w:p>
      <w:pPr>
        <w:spacing w:after="0" w:line="178" w:lineRule="exact"/>
        <w:rPr>
          <w:sz w:val="20"/>
          <w:szCs w:val="20"/>
          <w:color w:val="auto"/>
        </w:rPr>
      </w:pPr>
    </w:p>
    <w:p>
      <w:pPr>
        <w:jc w:val="both"/>
        <w:ind w:left="60" w:right="79" w:firstLine="401"/>
        <w:spacing w:after="0" w:line="263" w:lineRule="auto"/>
        <w:rPr>
          <w:sz w:val="20"/>
          <w:szCs w:val="20"/>
          <w:color w:val="auto"/>
        </w:rPr>
      </w:pPr>
      <w:r>
        <w:rPr>
          <w:rFonts w:ascii="Arial" w:cs="Arial" w:eastAsia="Arial" w:hAnsi="Arial"/>
          <w:sz w:val="18"/>
          <w:szCs w:val="18"/>
          <w:color w:val="auto"/>
        </w:rPr>
        <w:t>We have established relationships with several storage controller and FPGA companies, including Phison Electronics, Sage Micro, and Xilinx as well as IP core companies, including Cadence and Northwest Logic, to facilitate the integration of our MRAM solutions into our customers’ end products.</w:t>
      </w:r>
    </w:p>
    <w:p>
      <w:pPr>
        <w:spacing w:after="0" w:line="184" w:lineRule="exact"/>
        <w:rPr>
          <w:sz w:val="20"/>
          <w:szCs w:val="20"/>
          <w:color w:val="auto"/>
        </w:rPr>
      </w:pPr>
    </w:p>
    <w:p>
      <w:pPr>
        <w:ind w:left="60" w:right="239" w:firstLine="401"/>
        <w:spacing w:after="0" w:line="263" w:lineRule="auto"/>
        <w:rPr>
          <w:sz w:val="20"/>
          <w:szCs w:val="20"/>
          <w:color w:val="auto"/>
        </w:rPr>
      </w:pPr>
      <w:r>
        <w:rPr>
          <w:rFonts w:ascii="Arial" w:cs="Arial" w:eastAsia="Arial" w:hAnsi="Arial"/>
          <w:sz w:val="18"/>
          <w:szCs w:val="18"/>
          <w:color w:val="auto"/>
        </w:rPr>
        <w:t>Our technical support personnel have expertise in hardware and software, and have access to our development team to ensure proper service and support for our OEM customers. Our field application and engineering team provides technical training and design support to our customers.</w:t>
      </w:r>
    </w:p>
    <w:p>
      <w:pPr>
        <w:spacing w:after="0" w:line="184" w:lineRule="exact"/>
        <w:rPr>
          <w:sz w:val="20"/>
          <w:szCs w:val="20"/>
          <w:color w:val="auto"/>
        </w:rPr>
      </w:pPr>
    </w:p>
    <w:p>
      <w:pPr>
        <w:ind w:left="60" w:right="159" w:firstLine="401"/>
        <w:spacing w:after="0" w:line="275" w:lineRule="auto"/>
        <w:rPr>
          <w:sz w:val="20"/>
          <w:szCs w:val="20"/>
          <w:color w:val="auto"/>
        </w:rPr>
      </w:pPr>
      <w:r>
        <w:rPr>
          <w:rFonts w:ascii="Arial" w:cs="Arial" w:eastAsia="Arial" w:hAnsi="Arial"/>
          <w:sz w:val="17"/>
          <w:szCs w:val="17"/>
          <w:color w:val="auto"/>
        </w:rPr>
        <w:t>We consider our customer to be an end customer purchasing either directly from a distributor or a contract manufacturer, or a customer purchasing directly from us. An end customer purchasing through a contract manufacturer typically instructs the contract manufacturer to obtain our products and to incorporate our products with other components for sale by the contract manufacturer to the end customer. Although we actually sell the products to, and are paid by, the distributors and contract manufacturers, we refer to the end customer as our customer.</w:t>
      </w:r>
    </w:p>
    <w:p>
      <w:pPr>
        <w:spacing w:after="0" w:line="176" w:lineRule="exact"/>
        <w:rPr>
          <w:sz w:val="20"/>
          <w:szCs w:val="20"/>
          <w:color w:val="auto"/>
        </w:rPr>
      </w:pPr>
    </w:p>
    <w:p>
      <w:pPr>
        <w:ind w:left="60" w:right="199" w:firstLine="401"/>
        <w:spacing w:after="0" w:line="275" w:lineRule="auto"/>
        <w:rPr>
          <w:sz w:val="20"/>
          <w:szCs w:val="20"/>
          <w:color w:val="auto"/>
        </w:rPr>
      </w:pPr>
      <w:r>
        <w:rPr>
          <w:rFonts w:ascii="Arial" w:cs="Arial" w:eastAsia="Arial" w:hAnsi="Arial"/>
          <w:sz w:val="17"/>
          <w:szCs w:val="17"/>
          <w:color w:val="auto"/>
        </w:rPr>
        <w:t>During the year ended December 31, 2022, more than 1,300 end customers purchased our products. Our four largest end customers together accounted for 24% of our total revenue for the year ended December 31, 2022, and one of these customers accounted for more than 10% of our revenue during that period. Our four largest end customers together accounted for 47% of our total revenue for the year ended December 31, 2021, and one of these customers individually accounted for more than 10% of our total revenue during the period.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60" w:right="139" w:firstLine="401"/>
        <w:spacing w:after="0" w:line="277" w:lineRule="auto"/>
        <w:rPr>
          <w:sz w:val="20"/>
          <w:szCs w:val="20"/>
          <w:color w:val="auto"/>
        </w:rPr>
      </w:pPr>
      <w:r>
        <w:rPr>
          <w:rFonts w:ascii="Arial" w:cs="Arial" w:eastAsia="Arial" w:hAnsi="Arial"/>
          <w:sz w:val="18"/>
          <w:szCs w:val="18"/>
          <w:color w:val="auto"/>
        </w:rPr>
        <w:t>We rely on third-party suppliers for most phases of the manufacturing process, including initial fabrication, final test, and assembly.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Wafer Manufacturing</w:t>
      </w:r>
    </w:p>
    <w:p>
      <w:pPr>
        <w:spacing w:after="0" w:line="225"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color w:val="auto"/>
        </w:rPr>
        <w:t>We perform BEOL manufacturing for our Toggle MRAM products and provide foundry services for licensed MRAM products and Magnetic Tunnel Junction (MTJ)-based sensors in our 200mm manufacturing facility. Our facility is in an ISO-4 clean room and our manufacturing line is ISO 9001:2015 certified. We actively manage inventory, including automated process flows, process controls and recipe management, and we use standard equipment to manufacture our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STT-MRAM products are produced in 300mm fabrication facilities operated by GLOBALFOUNDRIES.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Assembly and Test</w:t>
      </w:r>
    </w:p>
    <w:p>
      <w:pPr>
        <w:spacing w:after="0" w:line="225" w:lineRule="exact"/>
        <w:rPr>
          <w:sz w:val="20"/>
          <w:szCs w:val="20"/>
          <w:color w:val="auto"/>
        </w:rPr>
      </w:pPr>
    </w:p>
    <w:p>
      <w:pPr>
        <w:ind w:left="60" w:right="919" w:firstLine="401"/>
        <w:spacing w:after="0" w:line="277" w:lineRule="auto"/>
        <w:rPr>
          <w:sz w:val="20"/>
          <w:szCs w:val="20"/>
          <w:color w:val="auto"/>
        </w:rPr>
      </w:pPr>
      <w:r>
        <w:rPr>
          <w:rFonts w:ascii="Arial" w:cs="Arial" w:eastAsia="Arial" w:hAnsi="Arial"/>
          <w:sz w:val="18"/>
          <w:szCs w:val="18"/>
          <w:color w:val="auto"/>
        </w:rPr>
        <w:t>Our product and test engineering teams develop and implement wafer-level and final test programs for the manufacture of our MRAM devices.</w:t>
      </w:r>
    </w:p>
    <w:p>
      <w:pPr>
        <w:spacing w:after="0" w:line="170" w:lineRule="exact"/>
        <w:rPr>
          <w:sz w:val="20"/>
          <w:szCs w:val="20"/>
          <w:color w:val="auto"/>
        </w:rPr>
      </w:pPr>
    </w:p>
    <w:p>
      <w:pPr>
        <w:ind w:left="60" w:right="59" w:firstLine="401"/>
        <w:spacing w:after="0" w:line="257" w:lineRule="auto"/>
        <w:rPr>
          <w:sz w:val="20"/>
          <w:szCs w:val="20"/>
          <w:color w:val="auto"/>
        </w:rPr>
      </w:pPr>
      <w:r>
        <w:rPr>
          <w:rFonts w:ascii="Arial" w:cs="Arial" w:eastAsia="Arial" w:hAnsi="Arial"/>
          <w:sz w:val="18"/>
          <w:szCs w:val="18"/>
          <w:color w:val="auto"/>
        </w:rPr>
        <w:t>We utilize third-party industry-leading assembly and test sub-contractors, including Amkor, OSE, GTC, ChipMos and UTAC. We have successfully qualified our MRAM devices in various packages at temperatures ranging from commercial to automotive grade. As part of our commitment to quality, our quality management system has been certified to ISO 9001:2015 and ISO 14001:2015 standards. Our foundry vendors and sub-contractors are also ISO 9001 and ISO 14001 certified.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Arrangements with GLOBALFOUNDRIES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Joint Development Agreement</w:t>
      </w:r>
    </w:p>
    <w:p>
      <w:pPr>
        <w:spacing w:after="0" w:line="225" w:lineRule="exact"/>
        <w:rPr>
          <w:sz w:val="20"/>
          <w:szCs w:val="20"/>
          <w:color w:val="auto"/>
        </w:rPr>
      </w:pPr>
    </w:p>
    <w:p>
      <w:pPr>
        <w:ind w:left="60" w:right="199" w:firstLine="401"/>
        <w:spacing w:after="0" w:line="275" w:lineRule="auto"/>
        <w:rPr>
          <w:sz w:val="20"/>
          <w:szCs w:val="20"/>
          <w:color w:val="auto"/>
        </w:rPr>
      </w:pPr>
      <w:r>
        <w:rPr>
          <w:rFonts w:ascii="Arial" w:cs="Arial" w:eastAsia="Arial" w:hAnsi="Arial"/>
          <w:sz w:val="17"/>
          <w:szCs w:val="17"/>
          <w:color w:val="auto"/>
        </w:rPr>
        <w:t>Since October 17, 2014, we have participated in a joint development agreement with GLOBALFOUNDRIES Inc., a semiconductor foundry, for the joint development of STT-MRAM technology to produce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spacing w:after="0" w:line="176" w:lineRule="exact"/>
        <w:rPr>
          <w:sz w:val="20"/>
          <w:szCs w:val="20"/>
          <w:color w:val="auto"/>
        </w:rPr>
      </w:pPr>
    </w:p>
    <w:p>
      <w:pPr>
        <w:ind w:left="60" w:right="259" w:firstLine="401"/>
        <w:spacing w:after="0" w:line="263" w:lineRule="auto"/>
        <w:rPr>
          <w:sz w:val="20"/>
          <w:szCs w:val="20"/>
          <w:color w:val="auto"/>
        </w:rPr>
      </w:pPr>
      <w:r>
        <w:rPr>
          <w:rFonts w:ascii="Arial" w:cs="Arial" w:eastAsia="Arial" w:hAnsi="Arial"/>
          <w:sz w:val="18"/>
          <w:szCs w:val="18"/>
          <w:color w:val="auto"/>
        </w:rPr>
        <w:t>The joint development agreement also states that the specific terms and conditions for the production and supply of the developed MRAM technology would be pursuant to a separate manufacturing agreement entered into between the parties. See “Manufacturing Agreement” below.</w:t>
      </w:r>
    </w:p>
    <w:p>
      <w:pPr>
        <w:spacing w:after="0" w:line="184" w:lineRule="exact"/>
        <w:rPr>
          <w:sz w:val="20"/>
          <w:szCs w:val="20"/>
          <w:color w:val="auto"/>
        </w:rPr>
      </w:pPr>
    </w:p>
    <w:p>
      <w:pPr>
        <w:ind w:left="60" w:right="99" w:firstLine="401"/>
        <w:spacing w:after="0" w:line="254" w:lineRule="auto"/>
        <w:rPr>
          <w:sz w:val="20"/>
          <w:szCs w:val="20"/>
          <w:color w:val="auto"/>
        </w:rPr>
      </w:pPr>
      <w:r>
        <w:rPr>
          <w:rFonts w:ascii="Arial" w:cs="Arial" w:eastAsia="Arial" w:hAnsi="Arial"/>
          <w:sz w:val="18"/>
          <w:szCs w:val="18"/>
          <w:color w:val="auto"/>
        </w:rPr>
        <w:t>Under the joint development agreement, each party granted licenses to its relevant intellectual property to the other party. For certain jointly developed works, the parties have agreed to follow an invention allocation procedure to determine ownership. In addition, GLOBALFOUNDRIES possesses the exclusive right to manufacture our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GLOBALFOUNDRIES agreed not to license intellectual property developed in connection with the agreement to named competitors of ours.</w:t>
      </w:r>
    </w:p>
    <w:p>
      <w:pPr>
        <w:spacing w:after="0" w:line="192" w:lineRule="exact"/>
        <w:rPr>
          <w:sz w:val="20"/>
          <w:szCs w:val="20"/>
          <w:color w:val="auto"/>
        </w:rPr>
      </w:pPr>
    </w:p>
    <w:p>
      <w:pPr>
        <w:ind w:left="60" w:right="159" w:firstLine="401"/>
        <w:spacing w:after="0" w:line="263" w:lineRule="auto"/>
        <w:rPr>
          <w:sz w:val="20"/>
          <w:szCs w:val="20"/>
          <w:color w:val="auto"/>
        </w:rPr>
      </w:pPr>
      <w:r>
        <w:rPr>
          <w:rFonts w:ascii="Arial" w:cs="Arial" w:eastAsia="Arial" w:hAnsi="Arial"/>
          <w:sz w:val="18"/>
          <w:szCs w:val="18"/>
          <w:color w:val="auto"/>
        </w:rPr>
        <w:t>If GLOBALFOUNDRIES manufactures, sells, or transfers wafers containing production qualified MRAM devices that utilized certain Everspin design information to its customers, GLOBALFOUNDRIES will pay royalties to us for each such wafer transferred or sold to a customer.</w:t>
      </w:r>
    </w:p>
    <w:p>
      <w:pPr>
        <w:spacing w:after="0" w:line="184" w:lineRule="exact"/>
        <w:rPr>
          <w:sz w:val="20"/>
          <w:szCs w:val="20"/>
          <w:color w:val="auto"/>
        </w:rPr>
      </w:pPr>
    </w:p>
    <w:p>
      <w:pPr>
        <w:jc w:val="both"/>
        <w:ind w:left="60" w:right="179" w:firstLine="401"/>
        <w:spacing w:after="0" w:line="296" w:lineRule="auto"/>
        <w:rPr>
          <w:sz w:val="20"/>
          <w:szCs w:val="20"/>
          <w:color w:val="auto"/>
        </w:rPr>
      </w:pPr>
      <w:r>
        <w:rPr>
          <w:rFonts w:ascii="Arial" w:cs="Arial" w:eastAsia="Arial" w:hAnsi="Arial"/>
          <w:sz w:val="16"/>
          <w:szCs w:val="16"/>
          <w:color w:val="auto"/>
        </w:rPr>
        <w:t>Except for breaches of confidentiality provisions and each party’s indemnification obligations to one another under the agreement, liability under the agreement is capped at a range depending on project costs and royalty amounts. Either party may terminate the agreement if the other party materially breaches a term of the agreement, and fails to remedy the breach after receiving notice from the non-breaching party. If a party terminates the manufacturing agreement for material breach in accordance with its terms, that party may also terminate the joint development agreement.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“Risk Factors” for further discussion of our agreements with GLOBALFOUNDRIES.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225" w:lineRule="exact"/>
        <w:rPr>
          <w:sz w:val="20"/>
          <w:szCs w:val="20"/>
          <w:color w:val="auto"/>
        </w:rPr>
      </w:pPr>
    </w:p>
    <w:p>
      <w:pPr>
        <w:ind w:left="60" w:right="159" w:firstLine="401"/>
        <w:spacing w:after="0" w:line="291" w:lineRule="auto"/>
        <w:rPr>
          <w:sz w:val="20"/>
          <w:szCs w:val="20"/>
          <w:color w:val="auto"/>
        </w:rPr>
      </w:pPr>
      <w:r>
        <w:rPr>
          <w:rFonts w:ascii="Arial" w:cs="Arial" w:eastAsia="Arial" w:hAnsi="Arial"/>
          <w:sz w:val="16"/>
          <w:szCs w:val="16"/>
          <w:color w:val="auto"/>
        </w:rPr>
        <w:t>On October 23, 2014, we entered into a manufacturing agreement with GLOBALFOUNDRIES Singapore Pte. Ltd. that sets forth the specific terms and conditions for the production and supply of wafers manufactured using our STT-MRAM technology developed under the joint development agreement with GLOBALFOUNDRIES. Pursuant to that joint development agreement, GLOBALFOUNDRIES possesses certain exclusive rights to manufacture such wafers for our discrete and embedded STT-MRAM devices. 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311" w:lineRule="auto"/>
        <w:rPr>
          <w:sz w:val="20"/>
          <w:szCs w:val="20"/>
          <w:color w:val="auto"/>
        </w:rPr>
      </w:pPr>
      <w:r>
        <w:rPr>
          <w:rFonts w:ascii="Arial" w:cs="Arial" w:eastAsia="Arial" w:hAnsi="Arial"/>
          <w:sz w:val="16"/>
          <w:szCs w:val="16"/>
          <w:color w:val="auto"/>
        </w:rPr>
        <w:t>GLOBALFOUNDRIES also has the ability to discontinue its manufacture of any of our wafers upon due notice and completion of the notice period. The initial term of the manufacturing agreement is for three years, which automatically renews for successive one year periods thereafter unless either party provides sufficient advance notice of non-renewal.</w:t>
      </w:r>
    </w:p>
    <w:p>
      <w:pPr>
        <w:spacing w:after="0" w:line="149" w:lineRule="exact"/>
        <w:rPr>
          <w:sz w:val="20"/>
          <w:szCs w:val="20"/>
          <w:color w:val="auto"/>
        </w:rPr>
      </w:pPr>
    </w:p>
    <w:p>
      <w:pPr>
        <w:ind w:left="60" w:right="99" w:firstLine="401"/>
        <w:spacing w:after="0" w:line="254" w:lineRule="auto"/>
        <w:rPr>
          <w:sz w:val="20"/>
          <w:szCs w:val="20"/>
          <w:color w:val="auto"/>
        </w:rPr>
      </w:pPr>
      <w:r>
        <w:rPr>
          <w:rFonts w:ascii="Arial" w:cs="Arial" w:eastAsia="Arial" w:hAnsi="Arial"/>
          <w:sz w:val="18"/>
          <w:szCs w:val="18"/>
          <w:color w:val="auto"/>
        </w:rPr>
        <w:t>Except for breaches of confidentiality provisions and each party’s indemnification obligations to one another under the agreement, liability under the agreement is capped at the lesser of a set amount or the total purchase price received by GLOBALFOUNDRIES from us in the 12 months immediately preceding the claim for the specific product that caused the damages. Either party may terminate the agreement if the other party materially breaches a term of the agreement, and fails to remedy the breach after receiving notice from the non-breaching party. GLOBALFOUNDRIES may terminate the agreement if we fail to pay any undisputed sum which has been outstanding for sixty or more days from the date of invoice.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 Warranty</w:t>
      </w:r>
    </w:p>
    <w:p>
      <w:pPr>
        <w:spacing w:after="0" w:line="229" w:lineRule="exact"/>
        <w:rPr>
          <w:sz w:val="20"/>
          <w:szCs w:val="20"/>
          <w:color w:val="auto"/>
        </w:rPr>
      </w:pPr>
    </w:p>
    <w:p>
      <w:pPr>
        <w:ind w:left="60" w:right="139" w:firstLine="401"/>
        <w:spacing w:after="0" w:line="271" w:lineRule="auto"/>
        <w:rPr>
          <w:sz w:val="20"/>
          <w:szCs w:val="20"/>
          <w:color w:val="auto"/>
        </w:rPr>
      </w:pPr>
      <w:r>
        <w:rPr>
          <w:rFonts w:ascii="Arial" w:cs="Arial" w:eastAsia="Arial" w:hAnsi="Arial"/>
          <w:sz w:val="17"/>
          <w:szCs w:val="17"/>
          <w:color w:val="auto"/>
        </w:rPr>
        <w:t>Because the design and manufacturing process for semiconductor products is highly complex, it is possible that we may produce products that do not comply with applicable specifications, contain defects, or are otherwise incompatible with end uses. In accordance with industry practice, we generally provide a limited warranty that our products are in compliance with applicable specifications existing at the time of delivery and will operate to those specifications during a stated warranty period.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79" w:firstLine="401"/>
        <w:spacing w:after="0" w:line="277" w:lineRule="auto"/>
        <w:rPr>
          <w:sz w:val="20"/>
          <w:szCs w:val="20"/>
          <w:color w:val="auto"/>
        </w:rPr>
      </w:pPr>
      <w:r>
        <w:rPr>
          <w:rFonts w:ascii="Arial" w:cs="Arial" w:eastAsia="Arial" w:hAnsi="Arial"/>
          <w:sz w:val="18"/>
          <w:szCs w:val="18"/>
          <w:color w:val="auto"/>
        </w:rPr>
        <w:t>As an emerging specialty memory product supplier, we face intense competition from a wide variety of other memory technology manufacturers.</w:t>
      </w:r>
    </w:p>
    <w:p>
      <w:pPr>
        <w:spacing w:after="0" w:line="170" w:lineRule="exact"/>
        <w:rPr>
          <w:sz w:val="20"/>
          <w:szCs w:val="20"/>
          <w:color w:val="auto"/>
        </w:rPr>
      </w:pPr>
    </w:p>
    <w:p>
      <w:pPr>
        <w:ind w:left="60" w:right="159" w:firstLine="401"/>
        <w:spacing w:after="0" w:line="254" w:lineRule="auto"/>
        <w:rPr>
          <w:sz w:val="20"/>
          <w:szCs w:val="20"/>
          <w:color w:val="auto"/>
        </w:rPr>
      </w:pPr>
      <w:r>
        <w:rPr>
          <w:rFonts w:ascii="Arial" w:cs="Arial" w:eastAsia="Arial" w:hAnsi="Arial"/>
          <w:sz w:val="18"/>
          <w:szCs w:val="18"/>
          <w:color w:val="auto"/>
        </w:rPr>
        <w:t>Our principal competitors to our Toggle MRAM products include companies that offer nonvolatile SRAM (NVSRAM), SRAM, and FRAM products, such as Infineon, Fujitsu, Integrated Silicon Solution (ISSI), Macronix, Microchip, Micron, Renesas, Samsung and Toshiba. Our STT-MRAM products replace discrete NOR, DRAM and SRAM where persistence is required and thus compete with DRAM and SRAM suppliers such as Hynix, Micron, Winbond, Samsung, and several other smaller companies. In the future we may also face competition from companies developing MRAM technologies, such as Avalanche, Samsung and other larger and smaller semiconductor companies. We may also face indirect competition from resistive random-access memory (RRAM), NOR and NAND Flash manufacturers in some market applications.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ability to compete successfully in the market for our products is based on a number of factors, including:</w:t>
      </w:r>
    </w:p>
    <w:p>
      <w:pPr>
        <w:spacing w:after="0" w:line="237" w:lineRule="exact"/>
        <w:rPr>
          <w:sz w:val="20"/>
          <w:szCs w:val="20"/>
          <w:color w:val="auto"/>
        </w:rPr>
      </w:pPr>
    </w:p>
    <w:p>
      <w:pPr>
        <w:ind w:left="800" w:hanging="3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products’ attributes and specifications;</w:t>
      </w:r>
    </w:p>
    <w:p>
      <w:pPr>
        <w:spacing w:after="0" w:line="117" w:lineRule="exact"/>
        <w:rPr>
          <w:rFonts w:ascii="Arial" w:cs="Arial" w:eastAsia="Arial" w:hAnsi="Arial"/>
          <w:sz w:val="18"/>
          <w:szCs w:val="18"/>
          <w:color w:val="auto"/>
        </w:rPr>
      </w:pPr>
    </w:p>
    <w:p>
      <w:pPr>
        <w:ind w:left="800" w:right="359" w:hanging="331"/>
        <w:spacing w:after="0" w:line="27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adoption of MRAM technology despite the price per bit premium of our products versus competing technologies;</w:t>
      </w:r>
    </w:p>
    <w:p>
      <w:pPr>
        <w:spacing w:after="0" w:line="62" w:lineRule="exact"/>
        <w:rPr>
          <w:rFonts w:ascii="Arial" w:cs="Arial" w:eastAsia="Arial" w:hAnsi="Arial"/>
          <w:sz w:val="18"/>
          <w:szCs w:val="18"/>
          <w:color w:val="auto"/>
        </w:rPr>
      </w:pPr>
    </w:p>
    <w:p>
      <w:pPr>
        <w:ind w:left="800" w:hanging="3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controller supplier and customer engagements throughout the product life cycle;</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 quality and reliability as measured by our customers;</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ease of implementation of our products by customers;</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preferred supplier status at numerous customers and ODMs;</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expertise and strength;</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manufacturing yield analysis and testing;</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capacity and allocation;</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reputation and strength of customer relationships;</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competitive pricing in the market against the competition while maintaining our gross margin profile;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639" w:hanging="331"/>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meeting the needs of future customer requirements through continued development of new products.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right="119" w:firstLine="401"/>
        <w:spacing w:after="0" w:line="254" w:lineRule="auto"/>
        <w:rPr>
          <w:sz w:val="20"/>
          <w:szCs w:val="20"/>
          <w:color w:val="auto"/>
        </w:rPr>
      </w:pPr>
      <w:r>
        <w:rPr>
          <w:rFonts w:ascii="Arial" w:cs="Arial" w:eastAsia="Arial" w:hAnsi="Arial"/>
          <w:sz w:val="18"/>
          <w:szCs w:val="18"/>
          <w:color w:val="auto"/>
        </w:rPr>
        <w:t>Our success depends, in part, on our ability to protect our products and technologies from unauthorized third-party copying and use. To accomplish this, we rely on a combination of intellectual property rights, including patents, trade secrets, copyrights, and trademarks, as well as customary contractual protections. As of December 31, 2022, we held 520 issued patents that expire at various times between February 2023 and October 2042 and had 146 patent applications pending. Included in our issued patents and pending applications are patents/applications in the United States, China, Europe, France, Germany, Ireland, Italy, Japan, the Netherlands, the Republic of Korea, Singapore, Taiwan, and the United Kingdom.</w:t>
      </w:r>
    </w:p>
    <w:p>
      <w:pPr>
        <w:spacing w:after="0" w:line="195" w:lineRule="exact"/>
        <w:rPr>
          <w:sz w:val="20"/>
          <w:szCs w:val="20"/>
          <w:color w:val="auto"/>
        </w:rPr>
      </w:pPr>
    </w:p>
    <w:p>
      <w:pPr>
        <w:ind w:left="60" w:right="119" w:firstLine="401"/>
        <w:spacing w:after="0" w:line="291" w:lineRule="auto"/>
        <w:rPr>
          <w:sz w:val="20"/>
          <w:szCs w:val="20"/>
          <w:color w:val="auto"/>
        </w:rPr>
      </w:pPr>
      <w:r>
        <w:rPr>
          <w:rFonts w:ascii="Arial" w:cs="Arial" w:eastAsia="Arial" w:hAnsi="Arial"/>
          <w:sz w:val="16"/>
          <w:szCs w:val="16"/>
          <w:color w:val="auto"/>
        </w:rPr>
        <w:t>We seek to file for patents that have broad application in the semiconductor industry and that would be helpful in the magnetoresistive memory and sensor markets. However, there can be no assurance that our pending patent applications or any future applications will be approved, that any issued patents will provide us with competitive advantages or will not be challenged by third parties, or that the patents or applications of others will not have an adverse effect on our ability to do business. In addition, there can be no assurance that others will not independently develop substantially equivalent intellectual property or otherwise gain access to our trade secrets or intellectual property, or disclose such intellectual property or trade secrets, or that we can effectively protect our intellectual property.</w:t>
      </w:r>
    </w:p>
    <w:p>
      <w:pPr>
        <w:spacing w:after="0" w:line="166" w:lineRule="exact"/>
        <w:rPr>
          <w:sz w:val="20"/>
          <w:szCs w:val="20"/>
          <w:color w:val="auto"/>
        </w:rPr>
      </w:pPr>
    </w:p>
    <w:p>
      <w:pPr>
        <w:jc w:val="both"/>
        <w:ind w:left="60" w:right="259" w:firstLine="401"/>
        <w:spacing w:after="0" w:line="263" w:lineRule="auto"/>
        <w:rPr>
          <w:sz w:val="20"/>
          <w:szCs w:val="20"/>
          <w:color w:val="auto"/>
        </w:rPr>
      </w:pPr>
      <w:r>
        <w:rPr>
          <w:rFonts w:ascii="Arial" w:cs="Arial" w:eastAsia="Arial" w:hAnsi="Arial"/>
          <w:sz w:val="18"/>
          <w:szCs w:val="18"/>
          <w:color w:val="auto"/>
        </w:rPr>
        <w:t>We seek to enforce our IP and to monetize our patent portfolio through licensing of third parties and patent sales in return for cash remuneration, patent cross licenses or both. See “Licensing, Royalty, and Patent Overview” for additional information.</w:t>
      </w:r>
    </w:p>
    <w:p>
      <w:pPr>
        <w:spacing w:after="0" w:line="184" w:lineRule="exact"/>
        <w:rPr>
          <w:sz w:val="20"/>
          <w:szCs w:val="20"/>
          <w:color w:val="auto"/>
        </w:rPr>
      </w:pPr>
    </w:p>
    <w:p>
      <w:pPr>
        <w:ind w:left="60" w:right="99" w:firstLine="401"/>
        <w:spacing w:after="0" w:line="255" w:lineRule="auto"/>
        <w:rPr>
          <w:sz w:val="20"/>
          <w:szCs w:val="20"/>
          <w:color w:val="auto"/>
        </w:rPr>
      </w:pPr>
      <w:r>
        <w:rPr>
          <w:rFonts w:ascii="Arial" w:cs="Arial" w:eastAsia="Arial" w:hAnsi="Arial"/>
          <w:sz w:val="18"/>
          <w:szCs w:val="18"/>
          <w:color w:val="auto"/>
        </w:rPr>
        <w:t>We generally control access to and use of our confidential information through employing internal and external controls, including contractual protections with employees, contractors, and customers. We rely in part on U.S. and international copyright laws to protect our intellectual property.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Regulation</w:t>
      </w:r>
    </w:p>
    <w:p>
      <w:pPr>
        <w:spacing w:after="0" w:line="229" w:lineRule="exact"/>
        <w:rPr>
          <w:sz w:val="20"/>
          <w:szCs w:val="20"/>
          <w:color w:val="auto"/>
        </w:rPr>
      </w:pPr>
    </w:p>
    <w:p>
      <w:pPr>
        <w:ind w:left="60" w:right="79" w:firstLine="401"/>
        <w:spacing w:after="0" w:line="293" w:lineRule="auto"/>
        <w:rPr>
          <w:sz w:val="20"/>
          <w:szCs w:val="20"/>
          <w:color w:val="auto"/>
        </w:rPr>
      </w:pPr>
      <w:r>
        <w:rPr>
          <w:rFonts w:ascii="Arial" w:cs="Arial" w:eastAsia="Arial" w:hAnsi="Arial"/>
          <w:sz w:val="16"/>
          <w:szCs w:val="16"/>
          <w:color w:val="auto"/>
        </w:rPr>
        <w:t>We must comply with many different federal, state, local and foreign governmental regulations related to the use, storage, discharge and disposal of certain chemicals and gases used in our manufacturing processes. Our facilities have been designed to comply with these regulations and we believe that our activities are conducted in material compliance with such regulations. Any changes in such regulations or in their enforcement could require us to acquire costly equipment or to incur other significant expenses to comply with environmental regulations. Any failure by us to adequately control the storage, use, discharge, and disposal of regulated substances could result in significant future liabilities.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0" w:right="59" w:firstLine="401"/>
        <w:spacing w:after="0" w:line="257" w:lineRule="auto"/>
        <w:rPr>
          <w:sz w:val="20"/>
          <w:szCs w:val="20"/>
          <w:color w:val="auto"/>
        </w:rPr>
      </w:pPr>
      <w:r>
        <w:rPr>
          <w:rFonts w:ascii="Arial" w:cs="Arial" w:eastAsia="Arial" w:hAnsi="Arial"/>
          <w:sz w:val="18"/>
          <w:szCs w:val="18"/>
          <w:color w:val="auto"/>
        </w:rPr>
        <w:t>As of December 31, 2022, we had 74 total employees in the United States, all of which were full-time employees, and 15 full-time equivalent and 3 part-time equivalent contractors and consultants in China, Germany, Italy, Japan, Malaysia, Singapore, and Taiwan. None of our employees are either represented by a labor union or subject to a collective bargaining agreement. We have not experienced any work stoppages, and we consider our relations with our employees and contractors to be good.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60" w:right="119" w:firstLine="401"/>
        <w:spacing w:after="0" w:line="259" w:lineRule="auto"/>
        <w:rPr>
          <w:sz w:val="20"/>
          <w:szCs w:val="20"/>
          <w:color w:val="auto"/>
        </w:rPr>
      </w:pPr>
      <w:r>
        <w:rPr>
          <w:rFonts w:ascii="Arial" w:cs="Arial" w:eastAsia="Arial" w:hAnsi="Arial"/>
          <w:sz w:val="18"/>
          <w:szCs w:val="18"/>
          <w:color w:val="auto"/>
        </w:rPr>
        <w:t xml:space="preserve">We were incorporated in Delaware in May 2008. In June 2008, Freescale Semiconductor, Inc. (now a wholly-owned subsidiary of NXP Semiconductors N.V.), spun-out its MRAM business as Everspin. Our offices are located at 5670 W. Chandler Boulevard, Suite 130, Chandler, Arizona 85226. Our telephone number is (480) 347-1111. Our corporate website is at </w:t>
      </w:r>
      <w:r>
        <w:rPr>
          <w:rFonts w:ascii="Arial" w:cs="Arial" w:eastAsia="Arial" w:hAnsi="Arial"/>
          <w:sz w:val="18"/>
          <w:szCs w:val="18"/>
          <w:i w:val="1"/>
          <w:iCs w:val="1"/>
          <w:color w:val="auto"/>
        </w:rPr>
        <w:t>www.Everspin.com</w:t>
      </w:r>
      <w:r>
        <w:rPr>
          <w:rFonts w:ascii="Arial" w:cs="Arial" w:eastAsia="Arial" w:hAnsi="Arial"/>
          <w:sz w:val="18"/>
          <w:szCs w:val="18"/>
          <w:color w:val="auto"/>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79" w:firstLine="401"/>
        <w:spacing w:after="0" w:line="296" w:lineRule="auto"/>
        <w:rPr>
          <w:sz w:val="20"/>
          <w:szCs w:val="20"/>
          <w:color w:val="auto"/>
        </w:rPr>
      </w:pPr>
      <w:r>
        <w:rPr>
          <w:rFonts w:ascii="Arial" w:cs="Arial" w:eastAsia="Arial" w:hAnsi="Arial"/>
          <w:sz w:val="16"/>
          <w:szCs w:val="16"/>
          <w:color w:val="auto"/>
        </w:rPr>
        <w:t>Our annual report on Form 10-K, quarterly reports on Form 10-Q, current reports on Form 8-K, and amendments to those reports filed or furnished pursuant to Section 13(a) or 15(d) of the Securities Exchange Act of 1934, as amended (Exchange Act), are available free of charge on our website, as soon as reasonably practicable after we electronically file them with, or furnish them to, the SEC. The information contained on or that can be accessed through our website is not incorporated by reference into this report, and information on our website should not be considered to be part of this report.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 In addition, many of the following risks and uncertainties may be exacerbated by the ongoing COVID-19 pandemic, including any new variants that may become predominant, and any worsening of the global business and economic environment as a result.</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Related to Our Financial Condition and Our Indebtedness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planned activities.</w:t>
      </w:r>
    </w:p>
    <w:p>
      <w:pPr>
        <w:spacing w:after="0" w:line="170" w:lineRule="exact"/>
        <w:rPr>
          <w:sz w:val="20"/>
          <w:szCs w:val="20"/>
          <w:color w:val="auto"/>
        </w:rPr>
      </w:pPr>
    </w:p>
    <w:p>
      <w:pPr>
        <w:ind w:left="60" w:right="239" w:firstLine="324"/>
        <w:spacing w:after="0" w:line="288" w:lineRule="auto"/>
        <w:rPr>
          <w:sz w:val="20"/>
          <w:szCs w:val="20"/>
          <w:color w:val="auto"/>
        </w:rPr>
      </w:pPr>
      <w:r>
        <w:rPr>
          <w:rFonts w:ascii="Arial" w:cs="Arial" w:eastAsia="Arial" w:hAnsi="Arial"/>
          <w:sz w:val="16"/>
          <w:szCs w:val="16"/>
          <w:color w:val="auto"/>
        </w:rPr>
        <w:t>Our total revenue was approximately $60.0 million for the year ended December 31, 2022, and $55.1 million for the year ended December 31, 2021. As of December 31, 2022, we had cash and cash equivalents of approximately $26.8 million. Based on our current operating plan, we believe our existing cash and cash equivalents, coupled with availability under our credit facility and our anticipated growth and sales levels, will be sufficient to meet our anticipated cash requirements for at least the next 12 months. However, our existing capital may be insufficient to meet our long-term requirements. We have no committed sources of funding other than our revolving line of credit facility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68"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Further, we may need to raise additional funds through financing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8"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cannot be certain that we will sustain profitability.</w:t>
      </w:r>
    </w:p>
    <w:p>
      <w:pPr>
        <w:spacing w:after="0" w:line="225"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the COVID-19 pandemic, increased competition, ongoing supply chain constraints, or our failure to capitalize on growth opportunities. We also rely on achieving specific cost reduction targets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311" w:lineRule="auto"/>
        <w:rPr>
          <w:sz w:val="20"/>
          <w:szCs w:val="20"/>
          <w:color w:val="auto"/>
        </w:rPr>
      </w:pPr>
      <w:r>
        <w:rPr>
          <w:rFonts w:ascii="Arial" w:cs="Arial" w:eastAsia="Arial" w:hAnsi="Arial"/>
          <w:sz w:val="16"/>
          <w:szCs w:val="16"/>
          <w:color w:val="auto"/>
        </w:rPr>
        <w:t>that have uncertainty in their timing and magnitude. We may also incur unforeseen expenses in the ongoing operation of our business that cause us to exceed our operational spending plan. As a result, our ability to generate sufficient revenue growth and/or control expenses to transition to profitability and generate consistent positive cash flows is uncertain.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Additionally, the operating restrictions and covenants relating to our existing credit facility restrict, and any future financing agreements that we may enter into may further restrict, our ability to finance our operations, engage in business activities or expand or fully pursue our business strategies. For example, our existing credit facility prohibits our ability to, among other things:</w:t>
      </w:r>
    </w:p>
    <w:p>
      <w:pPr>
        <w:spacing w:after="0" w:line="188" w:lineRule="exact"/>
        <w:rPr>
          <w:sz w:val="20"/>
          <w:szCs w:val="20"/>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 or merge with other entities;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redeem subordinated indebtedness.</w:t>
      </w:r>
    </w:p>
    <w:p>
      <w:pPr>
        <w:spacing w:after="0" w:line="200" w:lineRule="exact"/>
        <w:rPr>
          <w:sz w:val="20"/>
          <w:szCs w:val="20"/>
          <w:color w:val="auto"/>
        </w:rPr>
      </w:pPr>
    </w:p>
    <w:p>
      <w:pPr>
        <w:spacing w:after="0" w:line="241" w:lineRule="exact"/>
        <w:rPr>
          <w:sz w:val="20"/>
          <w:szCs w:val="20"/>
          <w:color w:val="auto"/>
        </w:rPr>
      </w:pPr>
    </w:p>
    <w:p>
      <w:pPr>
        <w:ind w:left="60" w:right="59" w:firstLine="324"/>
        <w:spacing w:after="0" w:line="290" w:lineRule="auto"/>
        <w:rPr>
          <w:sz w:val="20"/>
          <w:szCs w:val="20"/>
          <w:color w:val="auto"/>
        </w:rPr>
      </w:pPr>
      <w:r>
        <w:rPr>
          <w:rFonts w:ascii="Arial" w:cs="Arial" w:eastAsia="Arial" w:hAnsi="Arial"/>
          <w:sz w:val="16"/>
          <w:szCs w:val="16"/>
          <w:color w:val="auto"/>
        </w:rPr>
        <w:t>These restrictions are subject to certain exceptions. In addition, our existing credit facility requires that we meet certain operating covenants, such as maintaining insurance on the collateral and meeting certain financial covenants, such as maintaining a minimum cash balance and availability under our revolving line of credit facility.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left="60" w:right="399"/>
        <w:spacing w:after="0" w:line="311" w:lineRule="auto"/>
        <w:rPr>
          <w:sz w:val="20"/>
          <w:szCs w:val="20"/>
          <w:color w:val="auto"/>
        </w:rPr>
      </w:pPr>
      <w:r>
        <w:rPr>
          <w:rFonts w:ascii="Arial" w:cs="Arial" w:eastAsia="Arial" w:hAnsi="Arial"/>
          <w:sz w:val="16"/>
          <w:szCs w:val="16"/>
          <w:b w:val="1"/>
          <w:bCs w:val="1"/>
          <w:i w:val="1"/>
          <w:iCs w:val="1"/>
          <w:color w:val="auto"/>
        </w:rPr>
        <w:t>The ongoing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149"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We could be negatively impacted by the widespread outbreak of an illness, any other communicable disease or any other public health crisis that results in economic and trade disruptions, including the disruption of global supply chains. More recently, new variants of COVID-19 have emerged. The spread of these new strains caused many government authorities and businesses to implement measures to try to reduce the spread that had become less prevalent. While some of these restrictions have begun to be lifted, the lingering impact of the COVID-19 pandemic continues to create significant volatility throughout the global economy, including supply chain constraints, labor supply issues, and higher inflation. Accordingly, it is unclear at this point the full impact COVID-19 and its variants will have on the global economy and on our Company.</w:t>
      </w:r>
    </w:p>
    <w:p>
      <w:pPr>
        <w:spacing w:after="0" w:line="192" w:lineRule="exact"/>
        <w:rPr>
          <w:sz w:val="20"/>
          <w:szCs w:val="20"/>
          <w:color w:val="auto"/>
        </w:rPr>
      </w:pPr>
    </w:p>
    <w:p>
      <w:pPr>
        <w:ind w:left="60" w:right="119" w:firstLine="324"/>
        <w:spacing w:after="0" w:line="311" w:lineRule="auto"/>
        <w:rPr>
          <w:sz w:val="20"/>
          <w:szCs w:val="20"/>
          <w:color w:val="auto"/>
        </w:rPr>
      </w:pPr>
      <w:r>
        <w:rPr>
          <w:rFonts w:ascii="Arial" w:cs="Arial" w:eastAsia="Arial" w:hAnsi="Arial"/>
          <w:sz w:val="16"/>
          <w:szCs w:val="16"/>
          <w:color w:val="auto"/>
        </w:rPr>
        <w:t>As a result of the COVID-19 pandemic and the related responses from government authorities, our business, results of operations and financial condition have been adversely impacted. For example, we have experienced electronics supply chain and demand disruptions from extended factory shutdowns, particularly in some Asian countries, which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created unusual order patterns, and subsequently slowed Toggle MRAM demand, particularly from our industrial customers. Further, in an effort to protect the health and safety of our employees, we took the following actions: transitioned most of our office and support employees and contractors to working from home; suspended all non-essential business travel; and implemented social distancing guidelines for our employees and contractors who must work in our manufacturing and laboratory locations.</w:t>
      </w:r>
    </w:p>
    <w:p>
      <w:pPr>
        <w:spacing w:after="0" w:line="188"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 xml:space="preserve">Additionally, our business, results of operations and financial condition </w:t>
      </w:r>
      <w:r>
        <w:rPr>
          <w:rFonts w:ascii="Arial" w:cs="Arial" w:eastAsia="Arial" w:hAnsi="Arial"/>
          <w:sz w:val="18"/>
          <w:szCs w:val="18"/>
          <w:color w:val="212529"/>
        </w:rPr>
        <w:t>have been and may be further impacted in</w:t>
      </w:r>
      <w:r>
        <w:rPr>
          <w:rFonts w:ascii="Arial" w:cs="Arial" w:eastAsia="Arial" w:hAnsi="Arial"/>
          <w:sz w:val="18"/>
          <w:szCs w:val="18"/>
          <w:color w:val="auto"/>
        </w:rPr>
        <w:t xml:space="preserve"> </w:t>
      </w:r>
      <w:r>
        <w:rPr>
          <w:rFonts w:ascii="Arial" w:cs="Arial" w:eastAsia="Arial" w:hAnsi="Arial"/>
          <w:sz w:val="18"/>
          <w:szCs w:val="18"/>
          <w:color w:val="212529"/>
        </w:rPr>
        <w:t>several ways, including, but not limited to, the following:</w:t>
      </w:r>
    </w:p>
    <w:p>
      <w:pPr>
        <w:spacing w:after="0" w:line="170" w:lineRule="exact"/>
        <w:rPr>
          <w:sz w:val="20"/>
          <w:szCs w:val="20"/>
          <w:color w:val="auto"/>
        </w:rPr>
      </w:pPr>
    </w:p>
    <w:p>
      <w:pPr>
        <w:ind w:left="1040" w:right="139" w:hanging="315"/>
        <w:spacing w:after="0" w:line="26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 disruptions to our operations, including due to additional facility closures, restrictions on our operations and sales, marketing and distribution efforts and/or interruptions to our research and development activities, product development and other important business activities;</w:t>
      </w:r>
    </w:p>
    <w:p>
      <w:pPr>
        <w:spacing w:after="0" w:line="75"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 reduced demand for our products, particularly due to disruptions to the businesses and operations of our customers;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interruptions, availability or delays in global shipping to transport our products;</w:t>
      </w:r>
    </w:p>
    <w:p>
      <w:pPr>
        <w:spacing w:after="0" w:line="117"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 slowdowns, stoppages or other limitations in the supply chain for our products, in addition to higher costs, such as due to suppliers raising prices;</w:t>
      </w:r>
    </w:p>
    <w:p>
      <w:pPr>
        <w:spacing w:after="0" w:line="62" w:lineRule="exact"/>
        <w:rPr>
          <w:rFonts w:ascii="Arial" w:cs="Arial" w:eastAsia="Arial" w:hAnsi="Arial"/>
          <w:sz w:val="18"/>
          <w:szCs w:val="18"/>
          <w:color w:val="auto"/>
        </w:rPr>
      </w:pPr>
    </w:p>
    <w:p>
      <w:pPr>
        <w:ind w:left="1040" w:right="199" w:hanging="315"/>
        <w:spacing w:after="0" w:line="26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employee resources and availability, including due to sickness, government restrictions, labor supply shortages, and the desire of employees to avoid contact with large groups of people or mass transit disruptions;</w:t>
      </w:r>
    </w:p>
    <w:p>
      <w:pPr>
        <w:spacing w:after="0" w:line="7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continuation or worsening of general economic conditions, including increased inflation;</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in collecting customer receivables;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fluctuation in foreign currency exchange rates or interest rates could result from market uncertainties; and</w:t>
      </w:r>
    </w:p>
    <w:p>
      <w:pPr>
        <w:spacing w:after="0" w:line="140" w:lineRule="exact"/>
        <w:rPr>
          <w:rFonts w:ascii="Arial" w:cs="Arial" w:eastAsia="Arial" w:hAnsi="Arial"/>
          <w:sz w:val="16"/>
          <w:szCs w:val="16"/>
          <w:color w:val="auto"/>
        </w:rPr>
      </w:pPr>
    </w:p>
    <w:p>
      <w:pPr>
        <w:ind w:left="1040" w:right="1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cost or the difficulty to obtain debt or equity financing could affect our financial condition or our ability to fund operations or future investment opportunities.</w:t>
      </w:r>
    </w:p>
    <w:p>
      <w:pPr>
        <w:spacing w:after="0" w:line="170"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Additionally, COVID-19 could impact our internal controls over financial reporting as a portion of our workforce is required to work from home and therefore new processes, procedures, and controls could be required to respond to changes in our business environment. Further, should any key employees become ill from COVID-19 and unable to work, the attention of the management team could be diverted.</w:t>
      </w:r>
    </w:p>
    <w:p>
      <w:pPr>
        <w:spacing w:after="0" w:line="187"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The emergence of different variants of COVID-19 and the prevalence of breakthrough cases of infection among fully vaccinated people adds additional uncertainty and could result in further impacts to our business and operations, including those discussed above.</w:t>
      </w:r>
    </w:p>
    <w:p>
      <w:pPr>
        <w:spacing w:after="0" w:line="184" w:lineRule="exact"/>
        <w:rPr>
          <w:sz w:val="20"/>
          <w:szCs w:val="20"/>
          <w:color w:val="auto"/>
        </w:rPr>
      </w:pPr>
    </w:p>
    <w:p>
      <w:pPr>
        <w:ind w:left="60" w:right="319" w:firstLine="324"/>
        <w:spacing w:after="0" w:line="259" w:lineRule="auto"/>
        <w:rPr>
          <w:sz w:val="20"/>
          <w:szCs w:val="20"/>
          <w:color w:val="auto"/>
        </w:rPr>
      </w:pPr>
      <w:r>
        <w:rPr>
          <w:rFonts w:ascii="Arial" w:cs="Arial" w:eastAsia="Arial" w:hAnsi="Arial"/>
          <w:sz w:val="18"/>
          <w:szCs w:val="18"/>
          <w:color w:val="auto"/>
        </w:rPr>
        <w:t>Although we will continue to monitor the situation and take further actions, which may include further altering our operations, in order to protect the best interests of our employees, customers and suppliers and comply with government requirements, there is no certainty that such measures will be enough to mitigate the risks posed by the virus, and our ability to perform critical functions could be harmed.</w:t>
      </w:r>
    </w:p>
    <w:p>
      <w:pPr>
        <w:spacing w:after="0" w:line="187"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Any of the foregoing could adversely affect our business, results of operations and financial condition. The potential effects of COVID-19 may also impact many of our other risk factors discussed in this “Risk Factors” section. 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and its severity; the emergence and severity of its variants; the actions to contain the virus or treat its impact, such as the availability and efficacy of vaccines (particularly with respect to emerging strains of the virus) and potential hesitancy to use them; general economic factors, such as increased inflation; supply chain restraints; labor supply issues; and how quickly and to what extent normal economic and operating conditions can resume.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The limited history of STT-MRAM adoption makes it difficult to evaluate our current business and future prospects.</w:t>
      </w:r>
    </w:p>
    <w:p>
      <w:pPr>
        <w:spacing w:after="0" w:line="248"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pacing w:after="0" w:line="157" w:lineRule="exact"/>
        <w:rPr>
          <w:sz w:val="20"/>
          <w:szCs w:val="20"/>
          <w:color w:val="auto"/>
        </w:rPr>
      </w:pPr>
    </w:p>
    <w:p>
      <w:pPr>
        <w:ind w:left="60" w:right="59" w:firstLine="324"/>
        <w:spacing w:after="0" w:line="253" w:lineRule="auto"/>
        <w:rPr>
          <w:sz w:val="20"/>
          <w:szCs w:val="20"/>
          <w:color w:val="auto"/>
        </w:rPr>
      </w:pPr>
      <w:r>
        <w:rPr>
          <w:rFonts w:ascii="Arial" w:cs="Arial" w:eastAsia="Arial" w:hAnsi="Arial"/>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pacing w:after="0" w:line="129" w:lineRule="exact"/>
        <w:rPr>
          <w:sz w:val="20"/>
          <w:szCs w:val="20"/>
          <w:color w:val="auto"/>
        </w:rPr>
      </w:pPr>
    </w:p>
    <w:p>
      <w:pPr>
        <w:ind w:left="60" w:right="79"/>
        <w:spacing w:after="0" w:line="340" w:lineRule="auto"/>
        <w:rPr>
          <w:sz w:val="20"/>
          <w:szCs w:val="20"/>
          <w:color w:val="auto"/>
        </w:rPr>
      </w:pPr>
      <w:r>
        <w:rPr>
          <w:rFonts w:ascii="Arial" w:cs="Arial" w:eastAsia="Arial" w:hAnsi="Arial"/>
          <w:sz w:val="15"/>
          <w:szCs w:val="15"/>
          <w:b w:val="1"/>
          <w:bCs w:val="1"/>
          <w:i w:val="1"/>
          <w:iCs w:val="1"/>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131"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we could lose sales opportunities and could lose market share or damage our customer relationships if, for example, we underestimate customer demand, are affected by supply chain constraints, or sufficient manufacturing is unavailable.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390" w:lineRule="exact"/>
        <w:rPr>
          <w:sz w:val="20"/>
          <w:szCs w:val="20"/>
          <w:color w:val="auto"/>
        </w:rPr>
      </w:pPr>
    </w:p>
    <w:p>
      <w:pPr>
        <w:ind w:left="60" w:right="479"/>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5"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78"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84" w:lineRule="exact"/>
        <w:rPr>
          <w:sz w:val="20"/>
          <w:szCs w:val="20"/>
          <w:color w:val="auto"/>
        </w:rPr>
      </w:pPr>
    </w:p>
    <w:p>
      <w:pPr>
        <w:ind w:left="640" w:right="219" w:hanging="266"/>
        <w:spacing w:after="0" w:line="263" w:lineRule="auto"/>
        <w:tabs>
          <w:tab w:leader="none" w:pos="6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capacity and materials shortages during periods of high demand or supply constraints;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control over delivery schedules, inventories and quality;</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exclusive representatives for certain customer engagements;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 and</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increases in prices including due to inflation.</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pacing w:after="0" w:line="168"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the COVID-19 pandemic,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76" w:lineRule="exact"/>
        <w:rPr>
          <w:sz w:val="20"/>
          <w:szCs w:val="20"/>
          <w:color w:val="auto"/>
        </w:rPr>
      </w:pPr>
    </w:p>
    <w:p>
      <w:pPr>
        <w:ind w:left="60" w:right="559"/>
        <w:spacing w:after="0" w:line="381" w:lineRule="auto"/>
        <w:rPr>
          <w:sz w:val="20"/>
          <w:szCs w:val="20"/>
          <w:color w:val="auto"/>
        </w:rPr>
      </w:pPr>
      <w:r>
        <w:rPr>
          <w:rFonts w:ascii="Arial" w:cs="Arial" w:eastAsia="Arial" w:hAnsi="Arial"/>
          <w:sz w:val="15"/>
          <w:szCs w:val="15"/>
          <w:b w:val="1"/>
          <w:bCs w:val="1"/>
          <w:i w:val="1"/>
          <w:iCs w:val="1"/>
          <w:color w:val="auto"/>
        </w:rPr>
        <w:t>Disruptions in our supply chain and increased cost of components used in our products may adversely impact our business, results of operations and financial condition, including our ability to fulfill customer demand.</w:t>
      </w:r>
    </w:p>
    <w:p>
      <w:pPr>
        <w:spacing w:after="0" w:line="100"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If we fail to procure sufficient components used in our products, we may be unable to deliver our products to our customers on a timely basis, which could lead to customer dissatisfaction and could harm our reputation and ability to compete. We would likely experience significant delays or cessation in producing some of our products if a labor strike, natural disaster, public health crisis, geopolitical event, or other supply disruption were to occur, including as a result of the COVID-19 pandemic or the military conflict in Ukraine, at any of our main suppliers.</w:t>
      </w:r>
    </w:p>
    <w:p>
      <w:pPr>
        <w:spacing w:after="0" w:line="217"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Further, the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 dependent on some of these electronic components. A continued shortage of electronic components may impact us significantly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 Additionally, the military conflict in Ukraine creates additional uncertainty and risks relating to our supply chain and the cost of components. See “—General Risk Factors—Unfavorable economic, market and geopolitical conditions, domestically and internationally, may adversely affect our business, financial condition, results of operations and cash flows” for additional information.</w:t>
      </w:r>
    </w:p>
    <w:p>
      <w:pPr>
        <w:spacing w:after="0" w:line="222"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We do not have any guarantees of supply from our third-party suppliers,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373" w:lineRule="exact"/>
        <w:rPr>
          <w:sz w:val="20"/>
          <w:szCs w:val="20"/>
          <w:color w:val="auto"/>
        </w:rPr>
      </w:pPr>
    </w:p>
    <w:p>
      <w:pPr>
        <w:ind w:left="640" w:right="219" w:hanging="266"/>
        <w:spacing w:after="0" w:line="263"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8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a foundry;</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control over the operations of foundries is limited;</w:t>
      </w:r>
    </w:p>
    <w:p>
      <w:pPr>
        <w:spacing w:after="0" w:line="225" w:lineRule="exact"/>
        <w:rPr>
          <w:rFonts w:ascii="Arial" w:cs="Arial" w:eastAsia="Arial" w:hAnsi="Arial"/>
          <w:sz w:val="18"/>
          <w:szCs w:val="18"/>
          <w:color w:val="auto"/>
        </w:rPr>
      </w:pPr>
    </w:p>
    <w:p>
      <w:pPr>
        <w:ind w:left="640" w:right="279" w:hanging="266"/>
        <w:spacing w:after="0" w:line="277"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rFonts w:ascii="Arial" w:cs="Arial" w:eastAsia="Arial" w:hAnsi="Arial"/>
          <w:sz w:val="18"/>
          <w:szCs w:val="18"/>
          <w:color w:val="auto"/>
        </w:rPr>
      </w:pPr>
    </w:p>
    <w:p>
      <w:pPr>
        <w:ind w:left="640" w:right="639" w:hanging="266"/>
        <w:spacing w:after="0" w:line="308" w:lineRule="auto"/>
        <w:tabs>
          <w:tab w:leader="none" w:pos="669" w:val="left"/>
        </w:tabs>
        <w:numPr>
          <w:ilvl w:val="0"/>
          <w:numId w:val="12"/>
        </w:numPr>
        <w:rPr>
          <w:rFonts w:ascii="Arial" w:cs="Arial" w:eastAsia="Arial" w:hAnsi="Arial"/>
          <w:sz w:val="17"/>
          <w:szCs w:val="17"/>
          <w:color w:val="auto"/>
        </w:rPr>
      </w:pPr>
      <w:r>
        <w:rPr>
          <w:rFonts w:ascii="Arial" w:cs="Arial" w:eastAsia="Arial" w:hAnsi="Arial"/>
          <w:sz w:val="17"/>
          <w:szCs w:val="17"/>
          <w:color w:val="auto"/>
        </w:rPr>
        <w:t>due to differing business models or long-term business goals, our collaborators may decide not to join us in funding capital investment, which may result in higher levels of cash expenditures by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cash flows may be inadequate to fund increased capital requirements;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25" w:lineRule="exact"/>
        <w:rPr>
          <w:rFonts w:ascii="Arial" w:cs="Arial" w:eastAsia="Arial" w:hAnsi="Arial"/>
          <w:sz w:val="18"/>
          <w:szCs w:val="18"/>
          <w:color w:val="auto"/>
        </w:rPr>
      </w:pPr>
    </w:p>
    <w:p>
      <w:pPr>
        <w:ind w:left="640" w:right="79" w:hanging="266"/>
        <w:spacing w:after="0" w:line="277"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 term of the agreement, as amended, is the completion, termination, or expiration of the last statement of work entered into pursuant to the joint development agreement.</w:t>
      </w:r>
    </w:p>
    <w:p>
      <w:pPr>
        <w:spacing w:after="0" w:line="170"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4"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82" w:lineRule="exact"/>
        <w:rPr>
          <w:sz w:val="20"/>
          <w:szCs w:val="20"/>
          <w:color w:val="auto"/>
        </w:rPr>
      </w:pPr>
    </w:p>
    <w:p>
      <w:pPr>
        <w:ind w:left="60" w:right="819"/>
        <w:spacing w:after="0" w:line="340" w:lineRule="auto"/>
        <w:rPr>
          <w:sz w:val="20"/>
          <w:szCs w:val="20"/>
          <w:color w:val="auto"/>
        </w:rPr>
      </w:pPr>
      <w:r>
        <w:rPr>
          <w:rFonts w:ascii="Arial" w:cs="Arial" w:eastAsia="Arial" w:hAnsi="Arial"/>
          <w:sz w:val="15"/>
          <w:szCs w:val="15"/>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31"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82"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311" w:lineRule="auto"/>
        <w:rPr>
          <w:sz w:val="20"/>
          <w:szCs w:val="20"/>
          <w:color w:val="auto"/>
        </w:rPr>
      </w:pPr>
      <w:r>
        <w:rPr>
          <w:rFonts w:ascii="Arial" w:cs="Arial" w:eastAsia="Arial" w:hAnsi="Arial"/>
          <w:sz w:val="16"/>
          <w:szCs w:val="16"/>
          <w:color w:val="auto"/>
        </w:rPr>
        <w:t>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49"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24% of our total revenue for the year ended December 31, 2022, and one of these customers accounted for more than 10% of our revenue during that period. Our four largest end customers together accounted for 47% of our total revenue for the year ended December 31, 2021,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revenue, and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8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relationships with our customers and other industry participants;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prices of our products and prices of our competitors’ products;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innovative products;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competitors’ greater resources to make acquisitions;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adequate capital to finance operations;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rFonts w:ascii="Arial" w:cs="Arial" w:eastAsia="Arial" w:hAnsi="Arial"/>
          <w:sz w:val="18"/>
          <w:szCs w:val="18"/>
          <w:color w:val="auto"/>
        </w:rPr>
      </w:pPr>
    </w:p>
    <w:p>
      <w:pPr>
        <w:ind w:left="640" w:right="539" w:hanging="266"/>
        <w:spacing w:after="0" w:line="277"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left="60" w:right="119" w:firstLine="324"/>
        <w:spacing w:after="0" w:line="279" w:lineRule="auto"/>
        <w:rPr>
          <w:sz w:val="20"/>
          <w:szCs w:val="20"/>
          <w:color w:val="auto"/>
        </w:rPr>
      </w:pPr>
      <w:r>
        <w:rPr>
          <w:rFonts w:ascii="Arial" w:cs="Arial" w:eastAsia="Arial" w:hAnsi="Arial"/>
          <w:sz w:val="17"/>
          <w:szCs w:val="17"/>
          <w:color w:val="auto"/>
        </w:rPr>
        <w:t>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92"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8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left="60" w:right="239" w:firstLine="324"/>
        <w:spacing w:after="0" w:line="290"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For example, any such problems could result in:</w:t>
      </w:r>
    </w:p>
    <w:p>
      <w:pPr>
        <w:spacing w:after="0" w:line="165" w:lineRule="exact"/>
        <w:rPr>
          <w:sz w:val="20"/>
          <w:szCs w:val="20"/>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development, manufacture and roll-out of new products;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or delays in, market acceptance;</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for damages by our customers or others against us; and</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4" w:lineRule="exact"/>
        <w:rPr>
          <w:sz w:val="20"/>
          <w:szCs w:val="20"/>
          <w:color w:val="auto"/>
        </w:rPr>
      </w:pPr>
    </w:p>
    <w:p>
      <w:pPr>
        <w:ind w:left="60" w:right="299" w:firstLine="324"/>
        <w:spacing w:after="0" w:line="311" w:lineRule="auto"/>
        <w:rPr>
          <w:sz w:val="20"/>
          <w:szCs w:val="20"/>
          <w:color w:val="auto"/>
        </w:rPr>
      </w:pPr>
      <w:r>
        <w:rPr>
          <w:rFonts w:ascii="Arial" w:cs="Arial" w:eastAsia="Arial" w:hAnsi="Arial"/>
          <w:sz w:val="16"/>
          <w:szCs w:val="16"/>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manufacturing processes for our products and to redesign some products, which in turn may result in delays in product deliveries.</w:t>
      </w:r>
    </w:p>
    <w:p>
      <w:pPr>
        <w:spacing w:after="0" w:line="170"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pacing w:after="0" w:line="187"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77"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96"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data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6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We currently maintain and are seeking to expand operations outside of the United States which exposes us to significant risks.</w:t>
      </w:r>
    </w:p>
    <w:p>
      <w:pPr>
        <w:spacing w:after="0" w:line="170"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The success and profitability, as well as the expansion, of our international operations are subject to numerous risks and uncertainties, many of which are outside of our control, such as the following:</w:t>
      </w:r>
    </w:p>
    <w:p>
      <w:pPr>
        <w:spacing w:after="0" w:line="178" w:lineRule="exact"/>
        <w:rPr>
          <w:sz w:val="20"/>
          <w:szCs w:val="20"/>
          <w:color w:val="auto"/>
        </w:rPr>
      </w:pPr>
    </w:p>
    <w:p>
      <w:pPr>
        <w:jc w:val="both"/>
        <w:ind w:left="640" w:right="599" w:hanging="266"/>
        <w:spacing w:after="0" w:line="263"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health issues, such as the COVID-19 pandemic, which can result in varying impacts to our business, employees, partners, customers, distributors or suppliers internationally as discussed elsewhere in this “Risk Factors” section;</w:t>
      </w:r>
    </w:p>
    <w:p>
      <w:pPr>
        <w:spacing w:after="0" w:line="183" w:lineRule="exact"/>
        <w:rPr>
          <w:rFonts w:ascii="Arial" w:cs="Arial" w:eastAsia="Arial" w:hAnsi="Arial"/>
          <w:sz w:val="18"/>
          <w:szCs w:val="18"/>
          <w:color w:val="auto"/>
        </w:rPr>
      </w:pPr>
    </w:p>
    <w:p>
      <w:pPr>
        <w:ind w:left="660" w:hanging="28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and more difficult customer qualification and credit checks;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for various local approvals to operate in some countries;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rFonts w:ascii="Arial" w:cs="Arial" w:eastAsia="Arial" w:hAnsi="Arial"/>
          <w:sz w:val="18"/>
          <w:szCs w:val="18"/>
          <w:color w:val="auto"/>
        </w:rPr>
      </w:pPr>
    </w:p>
    <w:p>
      <w:pPr>
        <w:ind w:left="640" w:right="579" w:hanging="266"/>
        <w:spacing w:after="0" w:line="277"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import/export laws, trade restrictions, regulations and customs and duties and tariffs (foreign and domestic);</w:t>
      </w:r>
    </w:p>
    <w:p>
      <w:pPr>
        <w:spacing w:after="0" w:line="170" w:lineRule="exact"/>
        <w:rPr>
          <w:rFonts w:ascii="Arial" w:cs="Arial" w:eastAsia="Arial" w:hAnsi="Arial"/>
          <w:sz w:val="18"/>
          <w:szCs w:val="18"/>
          <w:color w:val="auto"/>
        </w:rPr>
      </w:pPr>
    </w:p>
    <w:p>
      <w:pPr>
        <w:ind w:left="660" w:hanging="28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local laws and regulations;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rFonts w:ascii="Arial" w:cs="Arial" w:eastAsia="Arial" w:hAnsi="Arial"/>
          <w:sz w:val="16"/>
          <w:szCs w:val="16"/>
          <w:color w:val="auto"/>
        </w:rPr>
      </w:pPr>
    </w:p>
    <w:p>
      <w:pPr>
        <w:ind w:left="640" w:right="519" w:hanging="266"/>
        <w:spacing w:after="0" w:line="277"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rFonts w:ascii="Arial" w:cs="Arial" w:eastAsia="Arial" w:hAnsi="Arial"/>
          <w:sz w:val="18"/>
          <w:szCs w:val="18"/>
          <w:color w:val="auto"/>
        </w:rPr>
      </w:pPr>
    </w:p>
    <w:p>
      <w:pPr>
        <w:ind w:left="640" w:right="139" w:hanging="266"/>
        <w:spacing w:after="0" w:line="277"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rFonts w:ascii="Arial" w:cs="Arial" w:eastAsia="Arial" w:hAnsi="Arial"/>
          <w:sz w:val="18"/>
          <w:szCs w:val="18"/>
          <w:color w:val="auto"/>
        </w:rPr>
      </w:pPr>
    </w:p>
    <w:p>
      <w:pPr>
        <w:ind w:left="640" w:right="99" w:hanging="266"/>
        <w:spacing w:after="0" w:line="259" w:lineRule="auto"/>
        <w:tabs>
          <w:tab w:leader="none" w:pos="6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6" w:lineRule="exact"/>
        <w:rPr>
          <w:rFonts w:ascii="Arial" w:cs="Arial" w:eastAsia="Arial" w:hAnsi="Arial"/>
          <w:sz w:val="18"/>
          <w:szCs w:val="18"/>
          <w:color w:val="auto"/>
        </w:rPr>
      </w:pPr>
    </w:p>
    <w:p>
      <w:pPr>
        <w:ind w:left="660" w:hanging="28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economic, and social instability;</w:t>
      </w:r>
    </w:p>
    <w:p>
      <w:pPr>
        <w:spacing w:after="0" w:line="225" w:lineRule="exact"/>
        <w:rPr>
          <w:rFonts w:ascii="Arial" w:cs="Arial" w:eastAsia="Arial" w:hAnsi="Arial"/>
          <w:sz w:val="18"/>
          <w:szCs w:val="18"/>
          <w:color w:val="auto"/>
        </w:rPr>
      </w:pPr>
    </w:p>
    <w:p>
      <w:pPr>
        <w:ind w:left="640" w:right="379" w:hanging="266"/>
        <w:spacing w:after="0" w:line="277"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terrorism and acts of war, such as the military conflict in Ukraine, which could have a negative impact on sales throughout Europe and Asia;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right="419" w:hanging="266"/>
        <w:spacing w:after="0" w:line="277"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Department of Commerce regulations or restrictions on exports of certain semiconductor technologies and equipment to China.</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Related to Our Intellectual Property and Technology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left="60" w:right="219"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2" w:lineRule="exact"/>
        <w:rPr>
          <w:sz w:val="20"/>
          <w:szCs w:val="20"/>
          <w:color w:val="auto"/>
        </w:rPr>
      </w:pPr>
    </w:p>
    <w:p>
      <w:pPr>
        <w:jc w:val="both"/>
        <w:ind w:left="60" w:right="259" w:firstLine="324"/>
        <w:spacing w:after="0" w:line="296" w:lineRule="auto"/>
        <w:rPr>
          <w:sz w:val="20"/>
          <w:szCs w:val="20"/>
          <w:color w:val="auto"/>
        </w:rPr>
      </w:pPr>
      <w:r>
        <w:rPr>
          <w:rFonts w:ascii="Arial" w:cs="Arial" w:eastAsia="Arial" w:hAnsi="Arial"/>
          <w:sz w:val="16"/>
          <w:szCs w:val="16"/>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61"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6" w:lineRule="exact"/>
        <w:rPr>
          <w:sz w:val="20"/>
          <w:szCs w:val="20"/>
          <w:color w:val="auto"/>
        </w:rPr>
      </w:pPr>
    </w:p>
    <w:p>
      <w:pPr>
        <w:ind w:left="60" w:right="399"/>
        <w:spacing w:after="0" w:line="311" w:lineRule="auto"/>
        <w:rPr>
          <w:sz w:val="20"/>
          <w:szCs w:val="20"/>
          <w:color w:val="auto"/>
        </w:rPr>
      </w:pPr>
      <w:r>
        <w:rPr>
          <w:rFonts w:ascii="Arial" w:cs="Arial" w:eastAsia="Arial" w:hAnsi="Arial"/>
          <w:sz w:val="16"/>
          <w:szCs w:val="16"/>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49"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92"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2" w:lineRule="exact"/>
        <w:rPr>
          <w:sz w:val="20"/>
          <w:szCs w:val="20"/>
          <w:color w:val="auto"/>
        </w:rPr>
      </w:pPr>
    </w:p>
    <w:p>
      <w:pPr>
        <w:ind w:left="660" w:hanging="28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damages for infringement;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0" w:right="559" w:hanging="266"/>
        <w:spacing w:after="0" w:line="277" w:lineRule="auto"/>
        <w:tabs>
          <w:tab w:leader="none" w:pos="6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rFonts w:ascii="Arial" w:cs="Arial" w:eastAsia="Arial" w:hAnsi="Arial"/>
          <w:sz w:val="18"/>
          <w:szCs w:val="18"/>
          <w:color w:val="auto"/>
        </w:rPr>
      </w:pPr>
    </w:p>
    <w:p>
      <w:pPr>
        <w:ind w:left="640" w:right="1059" w:hanging="266"/>
        <w:spacing w:after="0" w:line="277" w:lineRule="auto"/>
        <w:tabs>
          <w:tab w:leader="none" w:pos="6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rFonts w:ascii="Arial" w:cs="Arial" w:eastAsia="Arial" w:hAnsi="Arial"/>
          <w:sz w:val="18"/>
          <w:szCs w:val="18"/>
          <w:color w:val="auto"/>
        </w:rPr>
      </w:pPr>
    </w:p>
    <w:p>
      <w:pPr>
        <w:ind w:left="640" w:right="239" w:hanging="266"/>
        <w:spacing w:after="0" w:line="277" w:lineRule="auto"/>
        <w:tabs>
          <w:tab w:leader="none" w:pos="6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rFonts w:ascii="Arial" w:cs="Arial" w:eastAsia="Arial" w:hAnsi="Arial"/>
          <w:sz w:val="18"/>
          <w:szCs w:val="18"/>
          <w:color w:val="auto"/>
        </w:rPr>
      </w:pPr>
    </w:p>
    <w:p>
      <w:pPr>
        <w:ind w:left="640" w:right="359" w:hanging="266"/>
        <w:spacing w:after="0" w:line="277" w:lineRule="auto"/>
        <w:tabs>
          <w:tab w:leader="none" w:pos="6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2"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left="60" w:right="359" w:firstLine="324"/>
        <w:spacing w:after="0" w:line="308" w:lineRule="auto"/>
        <w:rPr>
          <w:sz w:val="20"/>
          <w:szCs w:val="20"/>
          <w:color w:val="auto"/>
        </w:rPr>
      </w:pPr>
      <w:r>
        <w:rPr>
          <w:rFonts w:ascii="Arial" w:cs="Arial" w:eastAsia="Arial" w:hAnsi="Arial"/>
          <w:sz w:val="17"/>
          <w:szCs w:val="17"/>
          <w:color w:val="auto"/>
        </w:rPr>
        <w:t>We have made and will continue to make significant investments in research and development of new technologies and products, including new and more technically advanced versions of our MRAM technology.</w:t>
      </w:r>
    </w:p>
    <w:p>
      <w:pPr>
        <w:spacing w:after="0" w:line="146"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85"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76" w:lineRule="exact"/>
        <w:rPr>
          <w:sz w:val="20"/>
          <w:szCs w:val="20"/>
          <w:color w:val="auto"/>
        </w:rPr>
      </w:pPr>
    </w:p>
    <w:p>
      <w:pPr>
        <w:ind w:left="60" w:right="299" w:firstLine="324"/>
        <w:spacing w:after="0" w:line="311" w:lineRule="auto"/>
        <w:rPr>
          <w:sz w:val="20"/>
          <w:szCs w:val="20"/>
          <w:color w:val="auto"/>
        </w:rPr>
      </w:pPr>
      <w:r>
        <w:rPr>
          <w:rFonts w:ascii="Arial" w:cs="Arial" w:eastAsia="Arial" w:hAnsi="Arial"/>
          <w:sz w:val="16"/>
          <w:szCs w:val="16"/>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77" w:lineRule="auto"/>
        <w:rPr>
          <w:sz w:val="20"/>
          <w:szCs w:val="20"/>
          <w:color w:val="auto"/>
        </w:rPr>
      </w:pPr>
      <w:r>
        <w:rPr>
          <w:rFonts w:ascii="Arial" w:cs="Arial" w:eastAsia="Arial" w:hAnsi="Arial"/>
          <w:sz w:val="18"/>
          <w:szCs w:val="18"/>
          <w:color w:val="auto"/>
        </w:rPr>
        <w:t>third-party service providers could negatively impact our business, operations, and financial results, as well as our relationship with our customers.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Related to Regulatory Matters and Compliance</w:t>
      </w:r>
    </w:p>
    <w:p>
      <w:pPr>
        <w:spacing w:after="0" w:line="229"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4"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4"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57"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left="60" w:right="139" w:firstLine="324"/>
        <w:spacing w:after="0" w:line="268" w:lineRule="auto"/>
        <w:rPr>
          <w:sz w:val="20"/>
          <w:szCs w:val="20"/>
          <w:color w:val="auto"/>
        </w:rPr>
      </w:pPr>
      <w:r>
        <w:rPr>
          <w:rFonts w:ascii="Arial" w:cs="Arial" w:eastAsia="Arial" w:hAnsi="Arial"/>
          <w:sz w:val="17"/>
          <w:szCs w:val="17"/>
          <w:color w:val="auto"/>
        </w:rPr>
        <w:t>Pursuant to the Dodd-Frank Wall Street Reform and Consumer Protection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2022, we had gross federal net operating loss carryforwards of approximately $119.9 million, of which $79.1 million will expire in 2028 through 2037 if not utilized, and $40.8 million will carryover indefinitely. As of December 31, 2022, we had state net operating loss carryforwards of approximately $50.3 million, of which $47.5 million will expire in 2028 through 2041 if not utilized, and $2.8 million will carryover indefinitely. The federal NOLs generated prior to 2018 will continue to be governed by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There is no current impact to us as we continue to be in a loss position for U.S. income tax purposes. Future changes in our stock ownership, many of which are outside of our control, could result in an ownership change under Section 382 of the Code. The ability to utilize our net operating losses and tax credits could also be impaired under state law. As a result, we might not be able to utilize a material portion of our state NOLs and tax credits.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40" w:right="119" w:hanging="266"/>
        <w:spacing w:after="0" w:line="277"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and its effects on our business, financial condition, results of operations and cash flows;</w:t>
      </w:r>
    </w:p>
    <w:p>
      <w:pPr>
        <w:spacing w:after="0" w:line="170" w:lineRule="exact"/>
        <w:rPr>
          <w:rFonts w:ascii="Arial" w:cs="Arial" w:eastAsia="Arial" w:hAnsi="Arial"/>
          <w:sz w:val="18"/>
          <w:szCs w:val="18"/>
          <w:color w:val="auto"/>
        </w:rPr>
      </w:pPr>
    </w:p>
    <w:p>
      <w:pPr>
        <w:ind w:left="660" w:hanging="28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rFonts w:ascii="Arial" w:cs="Arial" w:eastAsia="Arial" w:hAnsi="Arial"/>
          <w:sz w:val="18"/>
          <w:szCs w:val="18"/>
          <w:color w:val="auto"/>
        </w:rPr>
      </w:pPr>
    </w:p>
    <w:p>
      <w:pPr>
        <w:ind w:left="640" w:right="259" w:hanging="266"/>
        <w:spacing w:after="0" w:line="277"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restructurings;</w:t>
      </w:r>
    </w:p>
    <w:p>
      <w:pPr>
        <w:spacing w:after="0" w:line="170" w:lineRule="exact"/>
        <w:rPr>
          <w:rFonts w:ascii="Arial" w:cs="Arial" w:eastAsia="Arial" w:hAnsi="Arial"/>
          <w:sz w:val="18"/>
          <w:szCs w:val="18"/>
          <w:color w:val="auto"/>
        </w:rPr>
      </w:pPr>
    </w:p>
    <w:p>
      <w:pPr>
        <w:ind w:left="660" w:hanging="28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225" w:lineRule="exact"/>
        <w:rPr>
          <w:rFonts w:ascii="Arial" w:cs="Arial" w:eastAsia="Arial" w:hAnsi="Arial"/>
          <w:sz w:val="18"/>
          <w:szCs w:val="18"/>
          <w:color w:val="auto"/>
        </w:rPr>
      </w:pPr>
    </w:p>
    <w:p>
      <w:pPr>
        <w:jc w:val="both"/>
        <w:ind w:left="640" w:right="559" w:hanging="266"/>
        <w:spacing w:after="0" w:line="263"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including those due to the duration and severity of the COVID-19 pandemic and the military conflict in Ukraine.</w:t>
      </w:r>
    </w:p>
    <w:p>
      <w:pPr>
        <w:spacing w:after="0" w:line="184"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pacing w:after="0" w:line="188" w:lineRule="exact"/>
        <w:rPr>
          <w:sz w:val="20"/>
          <w:szCs w:val="20"/>
          <w:color w:val="auto"/>
        </w:rPr>
      </w:pPr>
    </w:p>
    <w:p>
      <w:pPr>
        <w:ind w:left="60" w:right="379"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6"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1" w:lineRule="exact"/>
        <w:rPr>
          <w:sz w:val="20"/>
          <w:szCs w:val="20"/>
          <w:color w:val="auto"/>
        </w:rPr>
      </w:pPr>
    </w:p>
    <w:p>
      <w:pPr>
        <w:ind w:left="640" w:right="119" w:hanging="266"/>
        <w:spacing w:after="0" w:line="263"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auto"/>
        </w:rPr>
      </w:pPr>
    </w:p>
    <w:p>
      <w:pPr>
        <w:ind w:left="640" w:right="179" w:hanging="266"/>
        <w:spacing w:after="0" w:line="257"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pacing w:after="0" w:line="187" w:lineRule="exact"/>
        <w:rPr>
          <w:rFonts w:ascii="Arial" w:cs="Arial" w:eastAsia="Arial" w:hAnsi="Arial"/>
          <w:sz w:val="18"/>
          <w:szCs w:val="18"/>
          <w:color w:val="auto"/>
        </w:rPr>
      </w:pPr>
    </w:p>
    <w:p>
      <w:pPr>
        <w:ind w:left="640" w:right="519" w:hanging="266"/>
        <w:spacing w:after="0" w:line="277"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ind w:left="640" w:right="159" w:hanging="266"/>
        <w:spacing w:after="0" w:line="257"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pacing w:after="0" w:line="187" w:lineRule="exact"/>
        <w:rPr>
          <w:rFonts w:ascii="Arial" w:cs="Arial" w:eastAsia="Arial" w:hAnsi="Arial"/>
          <w:sz w:val="18"/>
          <w:szCs w:val="18"/>
          <w:color w:val="auto"/>
        </w:rPr>
      </w:pPr>
    </w:p>
    <w:p>
      <w:pPr>
        <w:ind w:left="640" w:right="199" w:hanging="266"/>
        <w:spacing w:after="0" w:line="279" w:lineRule="auto"/>
        <w:tabs>
          <w:tab w:leader="none" w:pos="669" w:val="left"/>
        </w:tabs>
        <w:numPr>
          <w:ilvl w:val="0"/>
          <w:numId w:val="21"/>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71" w:lineRule="exact"/>
        <w:rPr>
          <w:rFonts w:ascii="Arial" w:cs="Arial" w:eastAsia="Arial" w:hAnsi="Arial"/>
          <w:sz w:val="17"/>
          <w:szCs w:val="17"/>
          <w:color w:val="auto"/>
        </w:rPr>
      </w:pPr>
    </w:p>
    <w:p>
      <w:pPr>
        <w:ind w:left="640" w:right="159" w:hanging="266"/>
        <w:spacing w:after="0" w:line="286" w:lineRule="auto"/>
        <w:tabs>
          <w:tab w:leader="none" w:pos="669"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5"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7"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left="60" w:right="199" w:firstLine="324"/>
        <w:spacing w:after="0" w:line="291"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ind w:left="38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any derivative action or proceeding brought on our behalf;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20" w:right="199" w:hanging="246"/>
        <w:spacing w:after="0" w:line="258" w:lineRule="auto"/>
        <w:tabs>
          <w:tab w:leader="none" w:pos="6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w:t>
      </w:r>
    </w:p>
    <w:p>
      <w:pPr>
        <w:spacing w:after="0" w:line="1" w:lineRule="exact"/>
        <w:rPr>
          <w:rFonts w:ascii="Arial" w:cs="Arial" w:eastAsia="Arial" w:hAnsi="Arial"/>
          <w:sz w:val="18"/>
          <w:szCs w:val="18"/>
          <w:color w:val="auto"/>
        </w:rPr>
      </w:pPr>
    </w:p>
    <w:p>
      <w:pPr>
        <w:ind w:left="620" w:right="399" w:hanging="246"/>
        <w:spacing w:after="0" w:line="250" w:lineRule="auto"/>
        <w:tabs>
          <w:tab w:leader="none" w:pos="6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ind w:left="660" w:hanging="28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1"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Arial" w:cs="Arial" w:eastAsia="Arial" w:hAnsi="Arial"/>
          <w:sz w:val="16"/>
          <w:szCs w:val="16"/>
          <w:color w:val="212529"/>
        </w:rPr>
        <w:t>that, unless we consent in</w:t>
      </w:r>
      <w:r>
        <w:rPr>
          <w:rFonts w:ascii="Arial" w:cs="Arial" w:eastAsia="Arial" w:hAnsi="Arial"/>
          <w:sz w:val="16"/>
          <w:szCs w:val="16"/>
          <w:color w:val="auto"/>
        </w:rPr>
        <w:t xml:space="preserve"> </w:t>
      </w:r>
      <w:r>
        <w:rPr>
          <w:rFonts w:ascii="Arial" w:cs="Arial" w:eastAsia="Arial" w:hAnsi="Arial"/>
          <w:sz w:val="16"/>
          <w:szCs w:val="16"/>
          <w:color w:val="212529"/>
        </w:rPr>
        <w:t>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8"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Arial" w:cs="Arial" w:eastAsia="Arial" w:hAnsi="Arial"/>
          <w:sz w:val="16"/>
          <w:szCs w:val="16"/>
          <w:color w:val="000000"/>
        </w:rPr>
        <w:t>further significant</w:t>
      </w:r>
      <w:r>
        <w:rPr>
          <w:rFonts w:ascii="Arial" w:cs="Arial" w:eastAsia="Arial" w:hAnsi="Arial"/>
          <w:sz w:val="16"/>
          <w:szCs w:val="16"/>
          <w:color w:val="212529"/>
        </w:rPr>
        <w:t xml:space="preserve"> additional costs associated with resolving the dispute in other jurisdictions, </w:t>
      </w:r>
      <w:r>
        <w:rPr>
          <w:rFonts w:ascii="Arial" w:cs="Arial" w:eastAsia="Arial" w:hAnsi="Arial"/>
          <w:sz w:val="16"/>
          <w:szCs w:val="16"/>
          <w:color w:val="000000"/>
        </w:rPr>
        <w:t>all of</w:t>
      </w:r>
      <w:r>
        <w:rPr>
          <w:rFonts w:ascii="Arial" w:cs="Arial" w:eastAsia="Arial" w:hAnsi="Arial"/>
          <w:sz w:val="16"/>
          <w:szCs w:val="16"/>
          <w:color w:val="212529"/>
        </w:rPr>
        <w:t xml:space="preserve"> which could seriously harm our business.</w:t>
      </w:r>
    </w:p>
    <w:p>
      <w:pPr>
        <w:spacing w:after="0" w:line="161"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Effective December 31, 2021, we ceased to be an “emerging growth company,” and certain reduced reporting requirements applicable to emerging growth companies no longer apply to us, which is expected to increase our costs as a public company and place additional demands on management.</w:t>
      </w:r>
    </w:p>
    <w:p>
      <w:pPr>
        <w:spacing w:after="0" w:line="184"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Effective December 31, 2021, we ceased to be classified as an “emerging growth company” as defined in the Jumpstart Our Business Startups Act (the JOBS Act). We have previously taken advantage of certain reduced reporting requirements pursuant to the JOBS Act specifically applicable to emerging growth companies, including exemptions from the requirements of holding advisory “say-on-pay” and the related “say-on frequency” votes on executive compensation. Since we are no longer classified as an emerging growth company, we are now required to comply with those additional reporting requirements for which we were previously exempt. For example, we were required to hold a say-on-pay vote and a say-on frequency vote at our 2022 annual meeting of stockholders. As a result, we expect that we will require additional attention from management with respect to our additional reporting requirements and will incur increased costs, which could include higher legal fees, accounting fees, consultant fees and fees associated with investor relations activities, among others.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General Risk Factors</w:t>
      </w:r>
    </w:p>
    <w:p>
      <w:pPr>
        <w:spacing w:after="0" w:line="229"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including as a result of the COVID-19 pandemic, our business will be adversely affected. In addition, the adverse impact of general economic factors that are beyond our control, including, but not limited to, housing markets, recession, inflation, deflation, consumer credit activity, consumer debt levels, fuel and energy costs, interest rates, tax rates and policy, unemployment trends, potential industry downturn, the impact of natural disasters such as pandemics, civil disturbances, terrorist activities and acts of war, including the military conflict in Ukraine, may adversely impact consumer spending, which</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may adversely impact our customers’ spending and demand for our products. Additionally, the military conflict in Ukraine and escalating geopolitical tensions resulting from such conflict have resulted and may continue to result in sanctions, tariffs, and import-export restrictions which, when combined with retaliatory actions taken by Russia, could cause further inflationary pressures and economic and supply chain disruptions, as well as cause us to experience extended lead times and increased prices from our suppliers. Any of the foregoing could adversely affect our business, financial condition, results of operations and cash flows.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may be adversely impacted by natural disasters and other catastrophic events.</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Our operations and business, and those of our manufacturing partners, customers, distributors, or suppliers, can be disrupted by natural disasters; industrial accidents; public health issues, such as the COVID-19 pandemic;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0" w:right="199" w:firstLine="401"/>
        <w:spacing w:after="0" w:line="342" w:lineRule="auto"/>
        <w:rPr>
          <w:sz w:val="20"/>
          <w:szCs w:val="20"/>
          <w:color w:val="auto"/>
        </w:rPr>
      </w:pPr>
      <w:r>
        <w:rPr>
          <w:rFonts w:ascii="Arial" w:cs="Arial" w:eastAsia="Arial" w:hAnsi="Arial"/>
          <w:sz w:val="16"/>
          <w:szCs w:val="16"/>
          <w:color w:val="auto"/>
        </w:rPr>
        <w:t>We lease office space for our corporate headquarters located in Chandler, Arizona and for our design facility located in Austin, Texas. We also lease fabrication, lab, and office space for our manufacturing operations in Chandler, Arizona.</w:t>
      </w:r>
    </w:p>
    <w:p>
      <w:pPr>
        <w:spacing w:after="0" w:line="124" w:lineRule="exact"/>
        <w:rPr>
          <w:sz w:val="20"/>
          <w:szCs w:val="20"/>
          <w:color w:val="auto"/>
        </w:rPr>
      </w:pPr>
    </w:p>
    <w:p>
      <w:pPr>
        <w:ind w:left="60" w:right="79" w:firstLine="401"/>
        <w:spacing w:after="0" w:line="290" w:lineRule="auto"/>
        <w:rPr>
          <w:sz w:val="20"/>
          <w:szCs w:val="20"/>
          <w:color w:val="auto"/>
        </w:rPr>
      </w:pPr>
      <w:r>
        <w:rPr>
          <w:rFonts w:ascii="Arial" w:cs="Arial" w:eastAsia="Arial" w:hAnsi="Arial"/>
          <w:sz w:val="16"/>
          <w:szCs w:val="16"/>
          <w:color w:val="auto"/>
        </w:rPr>
        <w:t>The Chandler, Arizona corporate headquarters lease is for 18,815 square feet of office and laboratory space. The prior lease for the Chandler, Arizona corporate headquarters facility expired in January 2022, upon which a new lease was entered into, with an initial term that ends on January 31, 2029, and an option to renew the lease through January 31, 2034. The Austin, Texas lease is for 6,171 square feet of space for our design facility. The prior lease for the Austin, Texas facility expired in January 2022, upon which a new lease was entered into with an initial term that ends on April 15, 2027, and an option to renew the lease through April 15, 2030. The Chandler, Arizona manufacturing operations lease is for 11,496 square feet of fabrication, lab, and office space. The prior Chandler, Arizona manufacturing operations lease was initially set to expire in January 2023 but was renewed and amended in 2022 to extend the lease through January 2028.</w:t>
      </w:r>
    </w:p>
    <w:p>
      <w:pPr>
        <w:spacing w:after="0" w:line="165" w:lineRule="exact"/>
        <w:rPr>
          <w:sz w:val="20"/>
          <w:szCs w:val="20"/>
          <w:color w:val="auto"/>
        </w:rPr>
      </w:pPr>
    </w:p>
    <w:p>
      <w:pPr>
        <w:ind w:left="60" w:right="239" w:firstLine="401"/>
        <w:spacing w:after="0" w:line="277" w:lineRule="auto"/>
        <w:rPr>
          <w:sz w:val="20"/>
          <w:szCs w:val="20"/>
          <w:color w:val="auto"/>
        </w:rPr>
      </w:pPr>
      <w:r>
        <w:rPr>
          <w:rFonts w:ascii="Arial" w:cs="Arial" w:eastAsia="Arial" w:hAnsi="Arial"/>
          <w:sz w:val="18"/>
          <w:szCs w:val="18"/>
          <w:color w:val="auto"/>
        </w:rPr>
        <w:t>We believe our existing facilities are well maintained and in good operating condition and they are adequate for our foreseeable business needs.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0" w:right="139" w:firstLine="401"/>
        <w:spacing w:after="0" w:line="263" w:lineRule="auto"/>
        <w:rPr>
          <w:sz w:val="20"/>
          <w:szCs w:val="20"/>
          <w:color w:val="auto"/>
        </w:rPr>
      </w:pPr>
      <w:r>
        <w:rPr>
          <w:rFonts w:ascii="Arial" w:cs="Arial" w:eastAsia="Arial" w:hAnsi="Arial"/>
          <w:sz w:val="18"/>
          <w:szCs w:val="18"/>
          <w:color w:val="auto"/>
        </w:rPr>
        <w:t>From time to time, we may become involved in legal proceedings arising from the ordinary course of our business. Management is currently not aware of any matters that will have a material adverse effect on our financial position, results of operations or cash flows.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9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Trading Market for our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has been listed on the Nasdaq Global Market under the symbol “MRAM” since October 7, 2016.</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Prior to that date, there was no public trading market for our common stock.</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left="60" w:right="119" w:firstLine="405"/>
        <w:spacing w:after="0" w:line="259" w:lineRule="auto"/>
        <w:rPr>
          <w:sz w:val="20"/>
          <w:szCs w:val="20"/>
          <w:color w:val="auto"/>
        </w:rPr>
      </w:pPr>
      <w:r>
        <w:rPr>
          <w:rFonts w:ascii="Arial" w:cs="Arial" w:eastAsia="Arial" w:hAnsi="Arial"/>
          <w:sz w:val="18"/>
          <w:szCs w:val="18"/>
          <w:color w:val="auto"/>
        </w:rPr>
        <w:t>As of February 28, 2023, we had 19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179" w:firstLine="405"/>
        <w:spacing w:after="0" w:line="254"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In addition, our existing credit facility prohibits our ability to pay dividends on our capital stock.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60" w:right="59" w:firstLine="401"/>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audited financial statements and related notes included elsewhere in this report. This discussion and other parts of this report contain forward-looking statements that involve risk and uncertainties, such as statements of our plans, objectives, expectations, and intentions. As a result of many factors, including those factors set forth in the “Risk Factors” section of this report, our actual results could differ materially from the results described in or implied by the forward-looking statements contained in the following discussion and analysis.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an overview of our business, see “Part I – Item 1. Business.”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Metrics</w:t>
      </w:r>
    </w:p>
    <w:p>
      <w:pPr>
        <w:spacing w:after="0" w:line="270" w:lineRule="exact"/>
        <w:rPr>
          <w:sz w:val="20"/>
          <w:szCs w:val="20"/>
          <w:color w:val="auto"/>
        </w:rPr>
      </w:pPr>
    </w:p>
    <w:p>
      <w:pPr>
        <w:ind w:left="60" w:right="239" w:firstLine="324"/>
        <w:spacing w:after="0" w:line="291" w:lineRule="auto"/>
        <w:rPr>
          <w:sz w:val="20"/>
          <w:szCs w:val="20"/>
          <w:color w:val="auto"/>
        </w:rPr>
      </w:pPr>
      <w:r>
        <w:rPr>
          <w:rFonts w:ascii="Arial" w:cs="Arial" w:eastAsia="Arial" w:hAnsi="Arial"/>
          <w:sz w:val="16"/>
          <w:szCs w:val="16"/>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generally accepted accounting principles in the United States (GAAP). Additionally, we monitor and project cash flow to determine our sources and uses for working capital to fund our operations. We also monitor Adjusted EBITDA, a non-GAAP financial measure, and design wins. We define Adjusted EBITDA as net income or loss adjusted for interest expense, taxes, depreciation and amortization, stock-based compensation expense, and restructuring costs, if any.</w:t>
      </w:r>
    </w:p>
    <w:p>
      <w:pPr>
        <w:spacing w:after="0" w:line="207" w:lineRule="exact"/>
        <w:rPr>
          <w:sz w:val="20"/>
          <w:szCs w:val="20"/>
          <w:color w:val="auto"/>
        </w:rPr>
      </w:pPr>
    </w:p>
    <w:p>
      <w:pPr>
        <w:ind w:left="60" w:right="99" w:firstLine="324"/>
        <w:spacing w:after="0" w:line="284"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Our management and board of directors use Adjusted EBITDA to understand and evaluate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is a non-GAAP financial measure and should be considered in addition to, not as superior to, or as a substitute for, net income reported in accordance with GAAP. The following table presents a reconciliation of net income, the most directly comparable GAAP measure, to Adjusted EBITDA for the periods indicated:</w:t>
      </w:r>
    </w:p>
    <w:p>
      <w:pPr>
        <w:spacing w:after="0" w:line="2"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33"/>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3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 reconciliation:</w:t>
            </w:r>
          </w:p>
        </w:tc>
        <w:tc>
          <w:tcPr>
            <w:tcW w:w="1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386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Adjusted EBITDA</w:t>
            </w:r>
          </w:p>
        </w:tc>
        <w:tc>
          <w:tcPr>
            <w:tcW w:w="1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401"/>
        <w:spacing w:after="0" w:line="293" w:lineRule="auto"/>
        <w:rPr>
          <w:sz w:val="20"/>
          <w:szCs w:val="20"/>
          <w:color w:val="auto"/>
        </w:rPr>
      </w:pPr>
      <w:r>
        <w:rPr>
          <w:rFonts w:ascii="Arial" w:cs="Arial" w:eastAsia="Arial" w:hAnsi="Arial"/>
          <w:sz w:val="16"/>
          <w:szCs w:val="16"/>
          <w:i w:val="1"/>
          <w:iCs w:val="1"/>
          <w:color w:val="auto"/>
        </w:rPr>
        <w:t>Design wins</w:t>
      </w:r>
      <w:r>
        <w:rPr>
          <w:rFonts w:ascii="Arial" w:cs="Arial" w:eastAsia="Arial" w:hAnsi="Arial"/>
          <w:sz w:val="16"/>
          <w:szCs w:val="16"/>
          <w:color w:val="auto"/>
        </w:rPr>
        <w:t>. To continue to grow our revenue, we must continue to achieve design wins for our MRAM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We consider a design win to occur when an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New design wins in each successive quarter of 2022 were 61, 49, 48, and 52, respectively, compared to 40, 37, 40, and 64 in each successive quarter of 2021, respectively.</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 of the COVID-19 Pandemic on our Business</w:t>
      </w:r>
    </w:p>
    <w:p>
      <w:pPr>
        <w:spacing w:after="0" w:line="229"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The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More recently, new variants of COVID-19, such as the Omicron variant and its subvariants, that are significantly more contagious than previous strains have emerged. The spread of these new strains has caused many government authorities and businesses to reimplement the aforementioned measures to try to reduce the spread that had become less prevalent. While some of these restrictions have been lifted, the lingering impact of the COVID pandemic continues to create significant volatility throughout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color w:val="auto"/>
        </w:rPr>
        <w:t>global economy, including supply chain constraints, labor supply issues and higher inflation. Accordingly, it is unclear at this point the full impact COVID-19 and its variants will have on the global economy and on our company.</w:t>
      </w:r>
    </w:p>
    <w:p>
      <w:pPr>
        <w:spacing w:after="0" w:line="146"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Overall, our business remained operational in the midst of the COVID-19 pandemic. However, as a result of the ongoing related responses from government authorities, our business, results of operations and financial condition have been, and continue to be,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We continue to see an impact as reflected in reduced demand from some customers and distributors. While we are working closely with our manufacturing partners and suppliers to support demand for our products, the full impact on our demand from customers remains unknown. Management is thus planning for a broad range of possible demand outcomes in an effort to ensure the success of our business under a variety of end market conditions.</w:t>
      </w:r>
    </w:p>
    <w:p>
      <w:pPr>
        <w:spacing w:after="0" w:line="181"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The emergence of potential new variants of COVID-19, and the prevalence of cases of infection globally adds additional uncertainty and could result in further impacts to our business and operations, including those discussed above and in “Risk Factors” in Part II, Item 1A of this report.</w:t>
      </w:r>
    </w:p>
    <w:p>
      <w:pPr>
        <w:spacing w:after="0" w:line="184"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Recently, the United States Government declared that it was no longer treating COVID-19 as a pandemic. Since our business is dependent on a global supply chain, we expect to continue to navigate the impact of COVID-19, particularly in some Asian countries. We will continue to monitor the situation and take additional actions as warranted. These actions may include further altering our operations in order to protect the best interests of our employees, customers and suppliers, and to comply with government requirements, while also planning and executing our business to best support our customers, suppliers, and partners.</w:t>
      </w:r>
    </w:p>
    <w:p>
      <w:pPr>
        <w:spacing w:after="0" w:line="192"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its severity, the emergence and severity of its variants, the actions to contain the virus or treat its impact, such as the availability and efficacy of vaccines (particularly with respect to emerging strains of the virus) and potential hesitancy to use them, general economic factors, such as increased inflation, supply chain restraints, labor supply issues, and how quickly and to what extent normal economic and operating conditions can resume. Accordingly, our current results and financial condition discussed herein may not be indicative of future operating results and trends. See “Risk Factors” in Part II, Item 1A of this report for additional risks we face due to the COVID-19 pandemic.</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60" w:right="99" w:firstLine="401"/>
        <w:spacing w:after="0" w:line="277" w:lineRule="auto"/>
        <w:rPr>
          <w:sz w:val="20"/>
          <w:szCs w:val="20"/>
          <w:color w:val="auto"/>
        </w:rPr>
      </w:pPr>
      <w:r>
        <w:rPr>
          <w:rFonts w:ascii="Arial" w:cs="Arial" w:eastAsia="Arial" w:hAnsi="Arial"/>
          <w:sz w:val="18"/>
          <w:szCs w:val="18"/>
          <w:color w:val="auto"/>
        </w:rPr>
        <w:t>Below are factors we want to highlight for understanding our 2022 annual results and year over year comparison with proper historical perspective:</w:t>
      </w:r>
    </w:p>
    <w:p>
      <w:pPr>
        <w:spacing w:after="0" w:line="170" w:lineRule="exact"/>
        <w:rPr>
          <w:sz w:val="20"/>
          <w:szCs w:val="20"/>
          <w:color w:val="auto"/>
        </w:rPr>
      </w:pPr>
    </w:p>
    <w:p>
      <w:pPr>
        <w:ind w:left="800" w:right="739" w:hanging="331"/>
        <w:spacing w:after="0" w:line="342" w:lineRule="auto"/>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2022 represented a year of broad semiconductor supply chain challenges driven by factors including the COVID-19 pandemic and international trade conflicts, which significantly impacted our results.</w:t>
      </w:r>
    </w:p>
    <w:p>
      <w:pPr>
        <w:spacing w:after="0" w:line="15" w:lineRule="exact"/>
        <w:rPr>
          <w:rFonts w:ascii="Arial" w:cs="Arial" w:eastAsia="Arial" w:hAnsi="Arial"/>
          <w:sz w:val="16"/>
          <w:szCs w:val="16"/>
          <w:color w:val="auto"/>
        </w:rPr>
      </w:pPr>
    </w:p>
    <w:p>
      <w:pPr>
        <w:ind w:left="800" w:right="579" w:hanging="331"/>
        <w:spacing w:after="0" w:line="342" w:lineRule="auto"/>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relationships with our foundry partners and assembly and test partners contributed significantly to our ability to secure more capacity and support the growth of product revenue in 2022 compared to 2021.</w:t>
      </w:r>
    </w:p>
    <w:p>
      <w:pPr>
        <w:spacing w:after="0" w:line="15" w:lineRule="exact"/>
        <w:rPr>
          <w:rFonts w:ascii="Arial" w:cs="Arial" w:eastAsia="Arial" w:hAnsi="Arial"/>
          <w:sz w:val="16"/>
          <w:szCs w:val="16"/>
          <w:color w:val="auto"/>
        </w:rPr>
      </w:pPr>
    </w:p>
    <w:p>
      <w:pPr>
        <w:ind w:left="800" w:right="439" w:hanging="331"/>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manufacturing efficiency and yields improved throughout 2022 resulting in significantly higher product margins compared to 2021.</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w w:val="95"/>
              </w:rPr>
              <w:t>Year Ended December 31,</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c>
          <w:tcPr>
            <w:tcW w:w="1920" w:type="dxa"/>
            <w:vAlign w:val="bottom"/>
            <w:gridSpan w:val="4"/>
          </w:tcPr>
          <w:p>
            <w:pPr>
              <w:jc w:val="center"/>
              <w:ind w:right="110"/>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gridSpan w:val="4"/>
          </w:tcPr>
          <w:p>
            <w:pPr>
              <w:jc w:val="center"/>
              <w:ind w:right="90"/>
              <w:spacing w:after="0"/>
              <w:rPr>
                <w:sz w:val="20"/>
                <w:szCs w:val="20"/>
                <w:color w:val="auto"/>
              </w:rPr>
            </w:pPr>
            <w:r>
              <w:rPr>
                <w:rFonts w:ascii="Arial" w:cs="Arial" w:eastAsia="Arial" w:hAnsi="Arial"/>
                <w:sz w:val="14"/>
                <w:szCs w:val="14"/>
                <w:b w:val="1"/>
                <w:bCs w:val="1"/>
                <w:color w:val="auto"/>
                <w:w w:val="90"/>
              </w:rPr>
              <w:t>(As a percentage of revenue)</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55,032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43,931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2"/>
              </w:rPr>
              <w:t>Licensing, royalty, patent, and other revenue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11,215</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59,985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55,146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Cost of product sales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25,112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21,045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Cost of licensing, royalty, patent, and other</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6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cost of sales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26,040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22,074</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33,945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33,072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12,628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11,741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10,949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27,718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28,037</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 before income taxes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0"/>
        </w:trPr>
        <w:tc>
          <w:tcPr>
            <w:tcW w:w="3340" w:type="dxa"/>
            <w:vAlign w:val="bottom"/>
            <w:gridSpan w:val="2"/>
          </w:tcPr>
          <w:p>
            <w:pPr>
              <w:spacing w:after="0"/>
              <w:rPr>
                <w:sz w:val="20"/>
                <w:szCs w:val="20"/>
                <w:color w:val="auto"/>
              </w:rPr>
            </w:pPr>
            <w:r>
              <w:rPr>
                <w:rFonts w:ascii="Arial" w:cs="Arial" w:eastAsia="Arial" w:hAnsi="Arial"/>
                <w:sz w:val="18"/>
                <w:szCs w:val="18"/>
                <w:color w:val="auto"/>
              </w:rPr>
              <w:t>Net income and comprehensive income</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60" w:right="99" w:firstLine="401"/>
        <w:spacing w:after="0" w:line="277" w:lineRule="auto"/>
        <w:rPr>
          <w:sz w:val="20"/>
          <w:szCs w:val="20"/>
          <w:color w:val="auto"/>
        </w:rPr>
      </w:pPr>
      <w:r>
        <w:rPr>
          <w:rFonts w:ascii="Arial" w:cs="Arial" w:eastAsia="Arial" w:hAnsi="Arial"/>
          <w:sz w:val="18"/>
          <w:szCs w:val="18"/>
          <w:color w:val="auto"/>
        </w:rPr>
        <w:t>We generated 85% and 66% of our revenue from products sold through distributors for the years ended December 31, 2022 and 2021, respectively.</w:t>
      </w:r>
    </w:p>
    <w:p>
      <w:pPr>
        <w:spacing w:after="0" w:line="170" w:lineRule="exact"/>
        <w:rPr>
          <w:sz w:val="20"/>
          <w:szCs w:val="20"/>
          <w:color w:val="auto"/>
        </w:rPr>
      </w:pPr>
    </w:p>
    <w:p>
      <w:pPr>
        <w:ind w:left="60" w:right="59" w:firstLine="401"/>
        <w:spacing w:after="0" w:line="257" w:lineRule="auto"/>
        <w:rPr>
          <w:sz w:val="20"/>
          <w:szCs w:val="20"/>
          <w:color w:val="auto"/>
        </w:rPr>
      </w:pPr>
      <w:r>
        <w:rPr>
          <w:rFonts w:ascii="Arial" w:cs="Arial" w:eastAsia="Arial" w:hAnsi="Arial"/>
          <w:sz w:val="18"/>
          <w:szCs w:val="18"/>
          <w:color w:val="auto"/>
        </w:rPr>
        <w:t>We maintain a direct selling relationship, for strategic purposes, with several key customer accounts. We have organized our sales team and representatives into three primary regions: Asia-Pacific (APAC); North America; and Europe, Middle East and Africa (EMEA). We recognize revenue by geography based on the region in which our products are sold, and not to where the end products in which they are assembled are shipped. Our revenue by region for the periods indicated was as follows (in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North America</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14,533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15,813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8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59,985</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20" w:type="dxa"/>
            <w:vAlign w:val="bottom"/>
            <w:vMerge w:val="restart"/>
          </w:tcPr>
          <w:p>
            <w:pPr>
              <w:jc w:val="right"/>
              <w:ind w:right="1370"/>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4"/>
                <w:szCs w:val="14"/>
                <w:b w:val="1"/>
                <w:bCs w:val="1"/>
                <w:color w:val="auto"/>
                <w:w w:val="94"/>
              </w:rPr>
              <w:t>Year Ended December 31,</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6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1"/>
                <w:szCs w:val="11"/>
                <w:color w:val="auto"/>
              </w:rPr>
            </w:pPr>
          </w:p>
        </w:tc>
        <w:tc>
          <w:tcPr>
            <w:tcW w:w="9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25.3 %</w:t>
            </w:r>
          </w:p>
        </w:tc>
      </w:tr>
      <w:tr>
        <w:trPr>
          <w:trHeight w:val="202"/>
        </w:trPr>
        <w:tc>
          <w:tcPr>
            <w:tcW w:w="2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w w:val="96"/>
              </w:rPr>
              <w:t>Licensing, royalty, patent, and other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(6,262)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r>
      <w:tr>
        <w:trPr>
          <w:trHeight w:val="209"/>
        </w:trPr>
        <w:tc>
          <w:tcPr>
            <w:tcW w:w="20" w:type="dxa"/>
            <w:vAlign w:val="bottom"/>
          </w:tcPr>
          <w:p>
            <w:pPr>
              <w:spacing w:after="0"/>
              <w:rPr>
                <w:sz w:val="18"/>
                <w:szCs w:val="18"/>
                <w:color w:val="auto"/>
              </w:rPr>
            </w:pPr>
          </w:p>
        </w:tc>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8.8 %</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299" w:firstLine="401"/>
        <w:spacing w:after="0" w:line="259" w:lineRule="auto"/>
        <w:rPr>
          <w:sz w:val="20"/>
          <w:szCs w:val="20"/>
          <w:color w:val="auto"/>
        </w:rPr>
      </w:pPr>
      <w:r>
        <w:rPr>
          <w:rFonts w:ascii="Arial" w:cs="Arial" w:eastAsia="Arial" w:hAnsi="Arial"/>
          <w:sz w:val="18"/>
          <w:szCs w:val="18"/>
          <w:color w:val="auto"/>
        </w:rPr>
        <w:t>Total revenue increased by $4.9 million, or 8.8%, from $55.1 million during the year ended December 31, 2021, to $60.0 million during the year ended December 31, 2022. Product sales increased by $11.1 million or 25.3%, from $43.9 million to $55.0 million. The increase was primarily driven by a higher volume of toggle units produced and sold, along with average sales price increases to offset supplier increases.</w:t>
      </w:r>
    </w:p>
    <w:p>
      <w:pPr>
        <w:spacing w:after="0" w:line="187" w:lineRule="exact"/>
        <w:rPr>
          <w:sz w:val="20"/>
          <w:szCs w:val="20"/>
          <w:color w:val="auto"/>
        </w:rPr>
      </w:pPr>
    </w:p>
    <w:p>
      <w:pPr>
        <w:ind w:left="60" w:right="99" w:firstLine="401"/>
        <w:spacing w:after="0" w:line="271" w:lineRule="auto"/>
        <w:rPr>
          <w:sz w:val="20"/>
          <w:szCs w:val="20"/>
          <w:color w:val="auto"/>
        </w:rPr>
      </w:pPr>
      <w:r>
        <w:rPr>
          <w:rFonts w:ascii="Arial" w:cs="Arial" w:eastAsia="Arial" w:hAnsi="Arial"/>
          <w:sz w:val="17"/>
          <w:szCs w:val="17"/>
          <w:color w:val="auto"/>
        </w:rPr>
        <w:t>Licensing, royalty, patent, and other revenue is a highly variable revenue item characterized by a small number of transactions annually with revenue based on size and terms of each transaction. Licensing, royalty, patent, and other revenue decreased by $6.3 million, from $11.2 million during the year ended December 31, 2021 to $5.0 million during the year ended December 31, 2022. The decrease was primarily due to the intellectual property monetization deal to sell five patents to a customer for a total contract value of $5.3 million in 2021, along with a decrease in license revenues from a contractual agreement with a customer for the development of a RAD-Hard product, consisting of a technology license, a design license agreement and development contract entered into during the year ended December 31, 2021. There were no patent sales during the year ended December 31, 2022.</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Sales and Gross Margin</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6"/>
          </w:tcPr>
          <w:p>
            <w:pPr>
              <w:jc w:val="right"/>
              <w:ind w:right="214"/>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25,112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$ 21,045</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4,067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w w:val="99"/>
              </w:rPr>
              <w:t>Cost of licensing, royalty, patent, and other</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928</w:t>
            </w: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1,029</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26,040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$ 22,074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3,966</w:t>
            </w:r>
          </w:p>
        </w:tc>
        <w:tc>
          <w:tcPr>
            <w:tcW w:w="84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56.6</w:t>
            </w:r>
          </w:p>
        </w:tc>
        <w:tc>
          <w:tcPr>
            <w:tcW w:w="1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59" w:firstLine="401"/>
        <w:spacing w:after="0" w:line="286" w:lineRule="auto"/>
        <w:rPr>
          <w:sz w:val="20"/>
          <w:szCs w:val="20"/>
          <w:color w:val="auto"/>
        </w:rPr>
      </w:pPr>
      <w:r>
        <w:rPr>
          <w:rFonts w:ascii="Arial" w:cs="Arial" w:eastAsia="Arial" w:hAnsi="Arial"/>
          <w:sz w:val="17"/>
          <w:szCs w:val="17"/>
          <w:color w:val="auto"/>
        </w:rPr>
        <w:t>Cost of product sales increased by $4.1 million, or 19.3%, from $21.0 million during the year ended December 31, 2021, to $25.1 million during the year ended December 31, 2022. The increase was due to an increase in product sales and price increases from suppliers, partially offset by increased yields on toggle products.</w:t>
      </w:r>
    </w:p>
    <w:p>
      <w:pPr>
        <w:spacing w:after="0" w:line="165" w:lineRule="exact"/>
        <w:rPr>
          <w:sz w:val="20"/>
          <w:szCs w:val="20"/>
          <w:color w:val="auto"/>
        </w:rPr>
      </w:pPr>
    </w:p>
    <w:p>
      <w:pPr>
        <w:ind w:left="60" w:right="399" w:firstLine="401"/>
        <w:spacing w:after="0" w:line="263" w:lineRule="auto"/>
        <w:rPr>
          <w:sz w:val="20"/>
          <w:szCs w:val="20"/>
          <w:color w:val="auto"/>
        </w:rPr>
      </w:pPr>
      <w:r>
        <w:rPr>
          <w:rFonts w:ascii="Arial" w:cs="Arial" w:eastAsia="Arial" w:hAnsi="Arial"/>
          <w:sz w:val="18"/>
          <w:szCs w:val="18"/>
          <w:color w:val="auto"/>
        </w:rPr>
        <w:t>Cost of licensing, royalty, patent, and other revenue decreased by $0.1 million, or 9.8%, from $1.0 million during the year ended December 31, 2021, to $0.9 million during the year ended December 31, 2022. The decrease was due primarily to a decline in licensing costs.</w:t>
      </w:r>
    </w:p>
    <w:p>
      <w:pPr>
        <w:spacing w:after="0" w:line="184" w:lineRule="exact"/>
        <w:rPr>
          <w:sz w:val="20"/>
          <w:szCs w:val="20"/>
          <w:color w:val="auto"/>
        </w:rPr>
      </w:pPr>
    </w:p>
    <w:p>
      <w:pPr>
        <w:jc w:val="both"/>
        <w:ind w:left="60" w:right="159" w:firstLine="401"/>
        <w:spacing w:after="0" w:line="263" w:lineRule="auto"/>
        <w:rPr>
          <w:sz w:val="20"/>
          <w:szCs w:val="20"/>
          <w:color w:val="auto"/>
        </w:rPr>
      </w:pPr>
      <w:r>
        <w:rPr>
          <w:rFonts w:ascii="Arial" w:cs="Arial" w:eastAsia="Arial" w:hAnsi="Arial"/>
          <w:sz w:val="18"/>
          <w:szCs w:val="18"/>
          <w:color w:val="auto"/>
        </w:rPr>
        <w:t>Our gross margin decreased from 60.0% during the year ended December 31, 2021, to 56.6% during the year ended December 31, 2022. Our gross margin decreased due to price increases from suppliers and lower licensing, royalty, patent, and other revenue.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60" w:right="199" w:firstLine="401"/>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920" w:type="dxa"/>
            <w:vAlign w:val="bottom"/>
            <w:vMerge w:val="restart"/>
          </w:tcPr>
          <w:p>
            <w:pPr>
              <w:ind w:left="440"/>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ind w:right="148"/>
              <w:spacing w:after="0" w:line="142"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2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$ 11,108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$ 12,628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(1,520)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2"/>
              </w:rPr>
              <w:t>Research and development as a % of revenue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23 %</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59" w:firstLine="401"/>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decreased by $1.5 million, or 12.0%, from</w:t>
      </w:r>
      <w:r>
        <w:rPr>
          <w:rFonts w:ascii="Arial" w:cs="Arial" w:eastAsia="Arial" w:hAnsi="Arial"/>
          <w:sz w:val="18"/>
          <w:szCs w:val="18"/>
          <w:i w:val="1"/>
          <w:iCs w:val="1"/>
          <w:color w:val="auto"/>
        </w:rPr>
        <w:t xml:space="preserve"> </w:t>
      </w:r>
      <w:r>
        <w:rPr>
          <w:rFonts w:ascii="Arial" w:cs="Arial" w:eastAsia="Arial" w:hAnsi="Arial"/>
          <w:sz w:val="18"/>
          <w:szCs w:val="18"/>
          <w:color w:val="auto"/>
        </w:rPr>
        <w:t>$12.6 million during the year ended December 31, 2021, to $11.1 million during the year ended December 31, 2022. The decrease was primarily due to higher expenses in 2021 relating to the development of our 28 nm product that started production in 2022.</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74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5"/>
              </w:rPr>
              <w:t>Change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gridSpan w:val="5"/>
          </w:tcPr>
          <w:p>
            <w:pPr>
              <w:ind w:left="7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$ 11,741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$ 10,949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$ 792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7.2 %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8"/>
              </w:rPr>
              <w:t>General and administrative as a % of revenue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20 %</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39" w:firstLine="401"/>
        <w:spacing w:after="0" w:line="31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by $0.8 million, or 7.2%, from</w:t>
      </w:r>
      <w:r>
        <w:rPr>
          <w:rFonts w:ascii="Arial" w:cs="Arial" w:eastAsia="Arial" w:hAnsi="Arial"/>
          <w:sz w:val="16"/>
          <w:szCs w:val="16"/>
          <w:i w:val="1"/>
          <w:iCs w:val="1"/>
          <w:color w:val="auto"/>
        </w:rPr>
        <w:t xml:space="preserve"> </w:t>
      </w:r>
      <w:r>
        <w:rPr>
          <w:rFonts w:ascii="Arial" w:cs="Arial" w:eastAsia="Arial" w:hAnsi="Arial"/>
          <w:sz w:val="16"/>
          <w:szCs w:val="16"/>
          <w:color w:val="auto"/>
        </w:rPr>
        <w:t>$10.9 million during the year ended December 31, 2021, to $11.7 million during the year ended December 31, 2022. The increase was primarily due to increases in expenses related to profit sharing and professional service fees.</w:t>
      </w:r>
    </w:p>
    <w:p>
      <w:pPr>
        <w:spacing w:after="0" w:line="14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74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5"/>
              </w:rPr>
              <w:t>Change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80" w:type="dxa"/>
            <w:vAlign w:val="bottom"/>
            <w:gridSpan w:val="5"/>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$ 4,869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$ 4,460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$ 409</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9.2 %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8 %</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19" w:firstLine="401"/>
        <w:spacing w:after="0" w:line="263"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by $0.4 million, or 9.2%, from $4.5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 ended December 31, 2021, to $4.9 million during the year ended December 31, 2022. The increase was primarily due to an increase in variable compensation costs.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24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0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60" w:type="dxa"/>
            <w:vAlign w:val="bottom"/>
          </w:tcPr>
          <w:p>
            <w:pPr>
              <w:spacing w:after="0"/>
              <w:rPr>
                <w:sz w:val="14"/>
                <w:szCs w:val="14"/>
                <w:color w:val="auto"/>
              </w:rPr>
            </w:pPr>
          </w:p>
        </w:tc>
        <w:tc>
          <w:tcPr>
            <w:tcW w:w="13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gridSpan w:val="5"/>
          </w:tcPr>
          <w:p>
            <w:pPr>
              <w:jc w:val="center"/>
              <w:ind w:right="10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w:t>
            </w:r>
          </w:p>
        </w:tc>
      </w:tr>
    </w:tbl>
    <w:p>
      <w:pPr>
        <w:spacing w:after="0" w:line="202" w:lineRule="exact"/>
        <w:rPr>
          <w:sz w:val="20"/>
          <w:szCs w:val="20"/>
          <w:color w:val="auto"/>
        </w:rPr>
      </w:pPr>
    </w:p>
    <w:p>
      <w:pPr>
        <w:ind w:left="60" w:right="79" w:firstLine="401"/>
        <w:spacing w:after="0" w:line="263" w:lineRule="auto"/>
        <w:rPr>
          <w:sz w:val="20"/>
          <w:szCs w:val="20"/>
          <w:color w:val="auto"/>
        </w:rPr>
      </w:pPr>
      <w:r>
        <w:rPr>
          <w:rFonts w:ascii="Arial" w:cs="Arial" w:eastAsia="Arial" w:hAnsi="Arial"/>
          <w:sz w:val="18"/>
          <w:szCs w:val="18"/>
          <w:color w:val="auto"/>
        </w:rPr>
        <w:t>Interest expense decreased by $0.3 million, or 49.9%, from $0.5 million during the year ended December 31, 2021, to $0.3 million during the year ended December 31, 2022. The decrease was due to lower outstanding balances under the credit facility during the year resulting in less interest incurred.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(Expense), Net</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Year Ended December 31,</w:t>
            </w:r>
          </w:p>
        </w:tc>
        <w:tc>
          <w:tcPr>
            <w:tcW w:w="140" w:type="dxa"/>
            <w:vAlign w:val="bottom"/>
          </w:tcPr>
          <w:p>
            <w:pPr>
              <w:spacing w:after="0"/>
              <w:rPr>
                <w:sz w:val="14"/>
                <w:szCs w:val="14"/>
                <w:color w:val="auto"/>
              </w:rPr>
            </w:pPr>
          </w:p>
        </w:tc>
        <w:tc>
          <w:tcPr>
            <w:tcW w:w="13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8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82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jc w:val="right"/>
              <w:ind w:right="19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(Dollars in</w:t>
            </w: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3"/>
                <w:szCs w:val="13"/>
                <w:b w:val="1"/>
                <w:bCs w:val="1"/>
                <w:color w:val="auto"/>
                <w:w w:val="71"/>
              </w:rPr>
              <w:t>thousands)</w:t>
            </w: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$ 331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(234.8)%</w:t>
            </w:r>
          </w:p>
        </w:tc>
      </w:tr>
    </w:tbl>
    <w:p>
      <w:pPr>
        <w:spacing w:after="0" w:line="202" w:lineRule="exact"/>
        <w:rPr>
          <w:sz w:val="20"/>
          <w:szCs w:val="20"/>
          <w:color w:val="auto"/>
        </w:rPr>
      </w:pPr>
    </w:p>
    <w:p>
      <w:pPr>
        <w:jc w:val="both"/>
        <w:ind w:left="60" w:right="79" w:firstLine="405"/>
        <w:spacing w:after="0" w:line="263" w:lineRule="auto"/>
        <w:rPr>
          <w:sz w:val="20"/>
          <w:szCs w:val="20"/>
          <w:color w:val="auto"/>
        </w:rPr>
      </w:pPr>
      <w:r>
        <w:rPr>
          <w:rFonts w:ascii="Arial" w:cs="Arial" w:eastAsia="Arial" w:hAnsi="Arial"/>
          <w:sz w:val="18"/>
          <w:szCs w:val="18"/>
          <w:color w:val="auto"/>
        </w:rPr>
        <w:t>Other income (expense), net changed by $0.3 million, or 234.8%, from $0.1 million of expense during the year ended December 31, 2021 to $0.2 million of income during the year ended December 31, 2022. The increase was primarily due to interest income earned on the money market cash account.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59" w:firstLine="401"/>
        <w:spacing w:after="0" w:line="273" w:lineRule="auto"/>
        <w:rPr>
          <w:sz w:val="20"/>
          <w:szCs w:val="20"/>
          <w:color w:val="auto"/>
        </w:rPr>
      </w:pPr>
      <w:r>
        <w:rPr>
          <w:rFonts w:ascii="Arial" w:cs="Arial" w:eastAsia="Arial" w:hAnsi="Arial"/>
          <w:sz w:val="17"/>
          <w:szCs w:val="17"/>
          <w:color w:val="auto"/>
        </w:rPr>
        <w:t>As of December 31, 2022, we had $26.8 million of cash and cash equivalents, compared to $21.4 million as of December 31, 2021. We believe our cash and cash equivalents, coupled with the amount available under our credit facility and our anticipated growth and sales levels are sufficient to meet our anticipated capital requirements in the next 12 months. Our future capital requirements will depend on many factors, including, among other things, our growth rate, the timing and extent of our spending to support research and development activities, the timing and cost of establishing additional sales and marketing capabilities, and the introduction of new products.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Additionally, see “Credit Facilities” below for information regarding our debt financing.</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Year Ended</w:t>
      </w:r>
    </w:p>
    <w:p>
      <w:pPr>
        <w:ind w:left="66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r>
      <w:tr>
        <w:trPr>
          <w:trHeight w:val="128"/>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4"/>
          </w:tcPr>
          <w:p>
            <w:pPr>
              <w:jc w:val="right"/>
              <w:ind w:right="475"/>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60" w:right="79" w:firstLine="401"/>
        <w:spacing w:after="0" w:line="290" w:lineRule="auto"/>
        <w:rPr>
          <w:sz w:val="20"/>
          <w:szCs w:val="20"/>
          <w:color w:val="auto"/>
        </w:rPr>
      </w:pPr>
      <w:r>
        <w:rPr>
          <w:rFonts w:ascii="Arial" w:cs="Arial" w:eastAsia="Arial" w:hAnsi="Arial"/>
          <w:sz w:val="16"/>
          <w:szCs w:val="16"/>
          <w:color w:val="auto"/>
        </w:rPr>
        <w:t>During the year ended December 31, 2022, cash provided by operating activities was $9.5 million, which primarily consisted of net income of $6.1 million, adjusted by non-cash charges of $5.3 million and a decrease of $1.9 million in our net operating assets and liabilities. The non-cash charges primarily consisted of stock-based compensation of $4.4 million, depreciation and amortization of $1.0 million, and non-cash interest expense of $0.1 million, offset by a gain on disposal of property and equipment of $0.2 million. The change in our net operating assets and liabilities was primarily due to an increase of $2.5 million in accounts receivable due to an increased sales volume and timing of cash receipts for outstanding balances and a $0.3 million increase in inventory. These were offset by an increase of $0.6 million in accounts payable due to timing of invoice due dates and a $0.2 million increase in lease liabilities.</w:t>
      </w:r>
    </w:p>
    <w:p>
      <w:pPr>
        <w:spacing w:after="0" w:line="165" w:lineRule="exact"/>
        <w:rPr>
          <w:sz w:val="20"/>
          <w:szCs w:val="20"/>
          <w:color w:val="auto"/>
        </w:rPr>
      </w:pPr>
    </w:p>
    <w:p>
      <w:pPr>
        <w:ind w:left="60" w:right="99" w:firstLine="401"/>
        <w:spacing w:after="0" w:line="288" w:lineRule="auto"/>
        <w:rPr>
          <w:sz w:val="20"/>
          <w:szCs w:val="20"/>
          <w:color w:val="auto"/>
        </w:rPr>
      </w:pPr>
      <w:r>
        <w:rPr>
          <w:rFonts w:ascii="Arial" w:cs="Arial" w:eastAsia="Arial" w:hAnsi="Arial"/>
          <w:sz w:val="16"/>
          <w:szCs w:val="16"/>
          <w:color w:val="auto"/>
        </w:rPr>
        <w:t>During the year ended December 31, 2021, cash provided by operating activities was $9.4 million, which primarily consisted of net income of $4.3 million, adjusted by non-cash charges of $5.0 million and a change of $4,000 in our net operating assets and liabilities. The non-cash charges primarily consisted of stock-based compensation of $3.2 million, depreciation and amortization of $1.5 million, and non-cash interest expense of $0.3 million. The change in our net operating assets and liabilities was primarily due to an increase of $1.7 million of accrued liabilities and an increase in deferred revenue of $0.8 million related to timing of RAD-Hard licensing revenue recognition. These were offset by a decrease of $0.7 million in inventory, an increase of $0.5 million in prepaid expenses and other current assets, an increase of $0.6 million in accounts receivable due to increased sales volume and timing of cash receipts for outstanding balances, a decrease of $0.6 million in accounts payable due to the increased cash flow and increased efforts on timely payments, a decrease of $0.2 million in lease liabilities, and an increase of $11,000 in other assets.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60" w:right="259" w:firstLine="401"/>
        <w:spacing w:after="0" w:line="263" w:lineRule="auto"/>
        <w:rPr>
          <w:sz w:val="20"/>
          <w:szCs w:val="20"/>
          <w:color w:val="auto"/>
        </w:rPr>
      </w:pPr>
      <w:r>
        <w:rPr>
          <w:rFonts w:ascii="Arial" w:cs="Arial" w:eastAsia="Arial" w:hAnsi="Arial"/>
          <w:sz w:val="18"/>
          <w:szCs w:val="18"/>
          <w:color w:val="auto"/>
        </w:rPr>
        <w:t>Cash used in investing activities during the years ended December 31, 2022 and 2021 was $2.6 million and $1.0 million, respectively, which consisted of capital expenditures primarily for the purchase of manufacturing equipment and purchased software.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60" w:right="119" w:firstLine="401"/>
        <w:spacing w:after="0" w:line="263" w:lineRule="auto"/>
        <w:rPr>
          <w:sz w:val="20"/>
          <w:szCs w:val="20"/>
          <w:color w:val="auto"/>
        </w:rPr>
      </w:pPr>
      <w:r>
        <w:rPr>
          <w:rFonts w:ascii="Arial" w:cs="Arial" w:eastAsia="Arial" w:hAnsi="Arial"/>
          <w:sz w:val="18"/>
          <w:szCs w:val="18"/>
          <w:color w:val="auto"/>
        </w:rPr>
        <w:t>During the year ended December 31, 2022, cash used in financing activities was $1.5 million, which primarily consisted of $2.4 million in payments on long-term debt offset by $0.9 million in proceeds from stock option exercises and purchases of shares under our employee stock purchase plan.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401"/>
        <w:spacing w:after="0" w:line="263" w:lineRule="auto"/>
        <w:rPr>
          <w:sz w:val="20"/>
          <w:szCs w:val="20"/>
          <w:color w:val="auto"/>
        </w:rPr>
      </w:pPr>
      <w:r>
        <w:rPr>
          <w:rFonts w:ascii="Arial" w:cs="Arial" w:eastAsia="Arial" w:hAnsi="Arial"/>
          <w:sz w:val="18"/>
          <w:szCs w:val="18"/>
          <w:color w:val="auto"/>
        </w:rPr>
        <w:t>During the year ended December 31, 2021, cash used in financing activities was $1.5 million, which primarily consisted of $3.4 million in payments on long-term debt offset by $1.9 million in proceeds from stock option exercises and purchases of shares under our employee stock purchase plan.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Credit Facilities</w:t>
      </w:r>
    </w:p>
    <w:p>
      <w:pPr>
        <w:spacing w:after="0" w:line="229"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In May 2017, we executed a Loan and Security Agreement (2017 Credit Facility) with Silicon Valley Bank (SVB) for a $12.0 million term loan, which we subsequently amended in January 2019 and June 2019. In August 2019, we executed an Amended and Restated Loan and Security Agreement (2019 Credit Facility), which amended and restated the 2017 Credit Facility, providing for a formula revolving line of credit (Line of Credit) and a term loan (2019 Term Loan) with SVB to refinance in full the outstanding principal balance of $8.0 million under the 2017 Credit Facility.</w:t>
      </w:r>
    </w:p>
    <w:p>
      <w:pPr>
        <w:spacing w:after="0" w:line="161" w:lineRule="exact"/>
        <w:rPr>
          <w:sz w:val="20"/>
          <w:szCs w:val="20"/>
          <w:color w:val="auto"/>
        </w:rPr>
      </w:pPr>
    </w:p>
    <w:p>
      <w:pPr>
        <w:jc w:val="both"/>
        <w:ind w:left="60" w:right="99" w:firstLine="401"/>
        <w:spacing w:after="0" w:line="259" w:lineRule="auto"/>
        <w:rPr>
          <w:sz w:val="20"/>
          <w:szCs w:val="20"/>
          <w:color w:val="auto"/>
        </w:rPr>
      </w:pPr>
      <w:r>
        <w:rPr>
          <w:rFonts w:ascii="Arial" w:cs="Arial" w:eastAsia="Arial" w:hAnsi="Arial"/>
          <w:sz w:val="18"/>
          <w:szCs w:val="18"/>
          <w:color w:val="auto"/>
        </w:rPr>
        <w:t>In July 2020, we executed the first amendment to the 2019 Credit Facility with SVB. The amendment, among other things, extended the initial 12-month interest-only period for the term loan to a 16-month interest-only period and lowered the floor interest rate. The floor interest rates for 2019 Term Loan and the Line of Credit Facility were reduced from 4.75% and 6.75% to 3.75% and 4.75%, respectively.</w:t>
      </w:r>
    </w:p>
    <w:p>
      <w:pPr>
        <w:spacing w:after="0" w:line="187"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The amended Line of Credit allows for a maximum draw of $5.0 million, subject to a formula borrowing base, has a two-year term and bears interest at a floating rate equal to the Wall Street Journal (WSJ) prime rate plus 1.5%, per annum, subject to a floor of 4.75%. As of December 31, 2022, the interest rate was 9.00%. The Line of Credit required a commitment fee of 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 scheduled maturity date, and an unused facility fee equal to 0.125% per annum of the average unused portion of the Line of Credit, which is expensed as incurred. Currently, $4.0 million remains available under the Line of Credit, subject to borrowing base availability. As of December 31, 2022, the effective interest rate under the Line of Credit was 9.36% and the outstanding balance was $1.0 million. The Line of Credit was set to mature on August 5, 2022. The third amendment entered into on July 22, 2022, extended the maturity date of the Line of Credit to August 5, 2023.</w:t>
      </w:r>
    </w:p>
    <w:p>
      <w:pPr>
        <w:spacing w:after="0" w:line="172"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The amended 2019 Term Loan provides for a $6.0 million term loan. The amended 2019 Term Loan has a term of 46 months, and a 16-month interest-only period followed by 30 months of equal principal payments of $200,000 per month, plus accrued interest. The 2019 Term Loan bears interest at a floating rate equal to the WSJ prime rate minus 0.75%, subject to a floor of 3.75%. As of December 31, 2022, the interest rate was 6.75%. A final payment of 7% 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 of the total commitment, which is due only if the 2019 Term Loan is prepaid prior to the scheduled maturity date for any reason. As of December 31, 2022, the effective interest rate under the 2019 Term Loan was 6.94% and the outstanding balance was $1.6 million. The 2019 Term Loan matures on June 1, 2023.</w:t>
      </w:r>
    </w:p>
    <w:p>
      <w:pPr>
        <w:spacing w:after="0" w:line="18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In conjunction with entering into the 2019 Credit Facility, on August 5, 2019, we and SVB amended and restated the warrant issued to SVB in connection with the first amendment to the 2017 Credit Facility, which was a warrant to purchase 9,375 shares of our common stock at an exercise price of $8.91 per share, to add an option by SVB to put the warrant back to us for $50,000 upon expiration or a liquidity event, to be prorated if SVB exercises a portion of the warrant. The warrant expires on July 6, 2023. The warrant is classified as a liability and recorded at fair value within other liabilities in our balance sheet. Due to the put right, the warrant is subject to fair value remeasurement at each subsequent reporting date until the exercise or expiration of the warrant. Any resulting change in the fair value of the warrant will be recorded as other (expense) income, net in our statements of income and comprehensive income. The other (expense) income recognized for the years ended 2022 and 2021 related to the change in fair value of the warrant has been minimal and immaterial to the financial statements.</w:t>
      </w:r>
    </w:p>
    <w:p>
      <w:pPr>
        <w:spacing w:after="0" w:line="185" w:lineRule="exact"/>
        <w:rPr>
          <w:sz w:val="20"/>
          <w:szCs w:val="20"/>
          <w:color w:val="auto"/>
        </w:rPr>
      </w:pPr>
    </w:p>
    <w:p>
      <w:pPr>
        <w:ind w:left="60" w:right="59" w:firstLine="401"/>
        <w:spacing w:after="0" w:line="257" w:lineRule="auto"/>
        <w:rPr>
          <w:sz w:val="20"/>
          <w:szCs w:val="20"/>
          <w:color w:val="auto"/>
        </w:rPr>
      </w:pPr>
      <w:r>
        <w:rPr>
          <w:rFonts w:ascii="Arial" w:cs="Arial" w:eastAsia="Arial" w:hAnsi="Arial"/>
          <w:sz w:val="18"/>
          <w:szCs w:val="18"/>
          <w:color w:val="auto"/>
        </w:rPr>
        <w:t>Additionally, in conjunction with entering into the first amendment to the 2019 Credit Facility, on July 15, 2020, we issued an additional warrant to SVB to purchase 21,500 shares of our common stock at an exercise price of $0.01 per share, which was to expire on July 15, 2025. The warrant was classified as equity and was recorded as a debt discount that was amortized to interest expense using the effective interest method. The fair value of the warrant was $152,000 on the date of issuance using the Black-Scholes option-pricing model.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On July 22, 2021, SVB elected to exercise the warrant associated with the first amendment to the 2019 Credit</w:t>
      </w:r>
    </w:p>
    <w:p>
      <w:pPr>
        <w:spacing w:after="0" w:line="3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Facility, which resulted in a net cashless exercise of the warrant and the issuance of 21,463 shares of our common stock.</w:t>
      </w:r>
    </w:p>
    <w:p>
      <w:pPr>
        <w:spacing w:after="0" w:line="234" w:lineRule="exact"/>
        <w:rPr>
          <w:sz w:val="20"/>
          <w:szCs w:val="20"/>
          <w:color w:val="auto"/>
        </w:rPr>
      </w:pPr>
    </w:p>
    <w:p>
      <w:pPr>
        <w:ind w:left="60" w:right="119" w:firstLine="324"/>
        <w:spacing w:after="0" w:line="288" w:lineRule="auto"/>
        <w:rPr>
          <w:sz w:val="20"/>
          <w:szCs w:val="20"/>
          <w:color w:val="auto"/>
        </w:rPr>
      </w:pPr>
      <w:r>
        <w:rPr>
          <w:rFonts w:ascii="Arial" w:cs="Arial" w:eastAsia="Arial" w:hAnsi="Arial"/>
          <w:sz w:val="16"/>
          <w:szCs w:val="16"/>
          <w:color w:val="auto"/>
        </w:rPr>
        <w:t>Collateral for the 2019 Credit Facility includes all of our assets except for intellectual property. We are required to comply with certain covenants under the 2019 Credit Facility, including requirements to maintain a minimum cash balance and availability under the Line of Credit, and restrictions on certain actions without the consent of the lender, such as limitations on our ability to engage in mergers or acquisitions, sell assets, incur indebtedness, or grant liens or negative pledges on our assets, make loans or make other investments. Under these covenants, we are prohibited from paying cash dividends with respect to our capital stock. We were in compliance with all covenants at December 31, 2022. The 2019 Credit Facility contains a material adverse effect clause which provides that an event of default will occur if, among other triggers, an event occurs that could reasonably be expected to result in a material adverse effect on our business, operations, or condition, or on our ability to perform our obligations under the 2019 Term Loan. As of December 31, 2022, we do not believe that it is probable that the clause will be triggered within the next 12 months.</w:t>
      </w:r>
    </w:p>
    <w:p>
      <w:pPr>
        <w:spacing w:after="0" w:line="168"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The amortization of the debt issuance costs and accretion of the debt discount is included in interest expense within the statement of income and comprehensive income and included in non-cash interest expense within the statements of cash flows.</w:t>
      </w:r>
    </w:p>
    <w:p>
      <w:pPr>
        <w:spacing w:after="0" w:line="184" w:lineRule="exact"/>
        <w:rPr>
          <w:sz w:val="20"/>
          <w:szCs w:val="20"/>
          <w:color w:val="auto"/>
        </w:rPr>
      </w:pPr>
    </w:p>
    <w:p>
      <w:pPr>
        <w:ind w:left="60" w:right="779" w:firstLine="324"/>
        <w:spacing w:after="0" w:line="277" w:lineRule="auto"/>
        <w:rPr>
          <w:sz w:val="20"/>
          <w:szCs w:val="20"/>
          <w:color w:val="auto"/>
        </w:rPr>
      </w:pPr>
      <w:r>
        <w:rPr>
          <w:rFonts w:ascii="Arial" w:cs="Arial" w:eastAsia="Arial" w:hAnsi="Arial"/>
          <w:sz w:val="18"/>
          <w:szCs w:val="18"/>
          <w:color w:val="auto"/>
        </w:rPr>
        <w:t>For additional information about the 2019 Credit Facility, see Note 6 in the accompanying Notes to Financial Statements in Part II, Item 8 of this Form 10-K.</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9"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Our financial statements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3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419" w:firstLine="401"/>
        <w:spacing w:after="0" w:line="259" w:lineRule="auto"/>
        <w:rPr>
          <w:sz w:val="20"/>
          <w:szCs w:val="20"/>
          <w:color w:val="auto"/>
        </w:rPr>
      </w:pPr>
      <w:r>
        <w:rPr>
          <w:rFonts w:ascii="Arial" w:cs="Arial" w:eastAsia="Arial" w:hAnsi="Arial"/>
          <w:sz w:val="18"/>
          <w:szCs w:val="18"/>
          <w:color w:val="auto"/>
        </w:rPr>
        <w:t>We recognize revenue when a customer obtains control of the promised products or services, in an amount that reflects the consideration we expect to receive in exchange for those products or services. We recognize revenue net of allowances for returns and price concessions, and any taxes imposed on revenue transactions, which are subsequently remitted to governmental authorities.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left="60" w:right="99" w:firstLine="401"/>
        <w:spacing w:after="0" w:line="273" w:lineRule="auto"/>
        <w:rPr>
          <w:sz w:val="20"/>
          <w:szCs w:val="20"/>
          <w:color w:val="auto"/>
        </w:rPr>
      </w:pPr>
      <w:r>
        <w:rPr>
          <w:rFonts w:ascii="Arial" w:cs="Arial" w:eastAsia="Arial" w:hAnsi="Arial"/>
          <w:sz w:val="17"/>
          <w:szCs w:val="17"/>
          <w:color w:val="auto"/>
        </w:rPr>
        <w:t>We derive our revenue from the sale of MRAM-based products in discrete unit form, licenses of and royalties on our MRAM and magnetic sensor technology, the sale of backend foundry services, and design services to third parties. We recognize sales of products in discrete unit form at a point in time, revenue related to licensing agreements when we have delivered control of the technology, revenue related to royalty agreements in the period in which sales generated from products sold using our technology occurs, sales of backend foundry services over time, and design services to third parties either at a point in time or over time, depending on the nature of the services.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left="60" w:right="139" w:firstLine="401"/>
        <w:spacing w:after="0" w:line="259" w:lineRule="auto"/>
        <w:rPr>
          <w:sz w:val="20"/>
          <w:szCs w:val="20"/>
          <w:color w:val="auto"/>
        </w:rPr>
      </w:pPr>
      <w:r>
        <w:rPr>
          <w:rFonts w:ascii="Arial" w:cs="Arial" w:eastAsia="Arial" w:hAnsi="Arial"/>
          <w:sz w:val="18"/>
          <w:szCs w:val="18"/>
          <w:color w:val="auto"/>
        </w:rPr>
        <w:t>For products sold in their discrete form, we either sell our products directly to OEMs, ODMs, contract manufacturers (CMs), or through a network of distributors, who in turn sell to those customers. For sales directly to OEMs, ODMs and CMs, we recognize revenue when the OEM, ODM or CM obtains control of the product, which occurs at a point in time, generally upon shipment to the customer.</w:t>
      </w:r>
    </w:p>
    <w:p>
      <w:pPr>
        <w:spacing w:after="0" w:line="187" w:lineRule="exact"/>
        <w:rPr>
          <w:sz w:val="20"/>
          <w:szCs w:val="20"/>
          <w:color w:val="auto"/>
        </w:rPr>
      </w:pPr>
    </w:p>
    <w:p>
      <w:pPr>
        <w:ind w:left="60" w:right="159" w:firstLine="401"/>
        <w:spacing w:after="0" w:line="342" w:lineRule="auto"/>
        <w:rPr>
          <w:sz w:val="20"/>
          <w:szCs w:val="20"/>
          <w:color w:val="auto"/>
        </w:rPr>
      </w:pPr>
      <w:r>
        <w:rPr>
          <w:rFonts w:ascii="Arial" w:cs="Arial" w:eastAsia="Arial" w:hAnsi="Arial"/>
          <w:sz w:val="16"/>
          <w:szCs w:val="16"/>
          <w:color w:val="auto"/>
        </w:rPr>
        <w:t>From time to time, we may provide distributors with price adjustments subsequent to the delivery of product to them and such amounts are dependent on the end customer and product sales price. Price adjustments can be based on 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variety of factors, including customer, product, quantity, geography, and competitive differentiation. Price protection rights grant distributors the right to a credit in the event of declines in the price of our products. Under these circumstances, we remit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We estimate these credits and record such estimates in the same period the related revenue is recognized, resulting in a reduction of product revenue and the establishment of an allowance for price adjustments for amounts due to distributors. We estimate credits to distributors based on the historical rate of credits provided to distributors relative to sales and evaluation of current market conditions. Revenue on shipments to distributors is recorded when control of the products has been transferred to the distributor.</w:t>
      </w:r>
    </w:p>
    <w:p>
      <w:pPr>
        <w:spacing w:after="0" w:line="185" w:lineRule="exact"/>
        <w:rPr>
          <w:sz w:val="20"/>
          <w:szCs w:val="20"/>
          <w:color w:val="auto"/>
        </w:rPr>
      </w:pPr>
    </w:p>
    <w:p>
      <w:pPr>
        <w:ind w:left="60" w:right="139" w:firstLine="401"/>
        <w:spacing w:after="0" w:line="301" w:lineRule="auto"/>
        <w:rPr>
          <w:sz w:val="20"/>
          <w:szCs w:val="20"/>
          <w:color w:val="auto"/>
        </w:rPr>
      </w:pPr>
      <w:r>
        <w:rPr>
          <w:rFonts w:ascii="Arial" w:cs="Arial" w:eastAsia="Arial" w:hAnsi="Arial"/>
          <w:sz w:val="16"/>
          <w:szCs w:val="16"/>
          <w:color w:val="auto"/>
        </w:rPr>
        <w:t>We estimate the amount of our product sales that may be returned by our customers and record this estimate as a reduction of revenue in the period the related product revenue is recognized. We estimate our product return liability by analyzing our historical returns, current economic trends and changes in customer demand and acceptance of products. We have received insignificant returns to date and believe that returns of our products will continue to be minimal.</w:t>
      </w:r>
    </w:p>
    <w:p>
      <w:pPr>
        <w:spacing w:after="0" w:line="157" w:lineRule="exact"/>
        <w:rPr>
          <w:sz w:val="20"/>
          <w:szCs w:val="20"/>
          <w:color w:val="auto"/>
        </w:rPr>
      </w:pPr>
    </w:p>
    <w:p>
      <w:pPr>
        <w:ind w:left="60" w:right="119" w:firstLine="401"/>
        <w:spacing w:after="0" w:line="259" w:lineRule="auto"/>
        <w:rPr>
          <w:sz w:val="20"/>
          <w:szCs w:val="20"/>
          <w:color w:val="auto"/>
        </w:rPr>
      </w:pPr>
      <w:r>
        <w:rPr>
          <w:rFonts w:ascii="Arial" w:cs="Arial" w:eastAsia="Arial" w:hAnsi="Arial"/>
          <w:sz w:val="18"/>
          <w:szCs w:val="18"/>
          <w:color w:val="auto"/>
        </w:rPr>
        <w:t>Upon the transfer of control, generally at shipment, we record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statements of income and comprehensive income.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left="60" w:right="339" w:firstLine="401"/>
        <w:spacing w:after="0" w:line="273" w:lineRule="auto"/>
        <w:rPr>
          <w:sz w:val="20"/>
          <w:szCs w:val="20"/>
          <w:color w:val="auto"/>
        </w:rPr>
      </w:pPr>
      <w:r>
        <w:rPr>
          <w:rFonts w:ascii="Arial" w:cs="Arial" w:eastAsia="Arial" w:hAnsi="Arial"/>
          <w:sz w:val="17"/>
          <w:szCs w:val="17"/>
          <w:color w:val="auto"/>
        </w:rPr>
        <w:t>For licenses of technology, recognition of revenue is dependent upon whether we have delivered rights to the technology, and whether there are future performance obligations under the contract. In some instances, the license agreements call for future events or activities to occur in order for milestone amounts to become due from the customer. The terms of such agreements include payment to us of one or more of the following: non-refundable upfront fees; and royalties on net sales of licensed products. Historically, these license agreements have not included other future performance obligations once the license has been transferred to the customer.</w:t>
      </w:r>
    </w:p>
    <w:p>
      <w:pPr>
        <w:spacing w:after="0" w:line="178" w:lineRule="exact"/>
        <w:rPr>
          <w:sz w:val="20"/>
          <w:szCs w:val="20"/>
          <w:color w:val="auto"/>
        </w:rPr>
      </w:pPr>
    </w:p>
    <w:p>
      <w:pPr>
        <w:ind w:left="60" w:right="179" w:firstLine="401"/>
        <w:spacing w:after="0" w:line="277" w:lineRule="auto"/>
        <w:rPr>
          <w:sz w:val="20"/>
          <w:szCs w:val="20"/>
          <w:color w:val="auto"/>
        </w:rPr>
      </w:pPr>
      <w:r>
        <w:rPr>
          <w:rFonts w:ascii="Arial" w:cs="Arial" w:eastAsia="Arial" w:hAnsi="Arial"/>
          <w:sz w:val="18"/>
          <w:szCs w:val="18"/>
          <w:color w:val="auto"/>
        </w:rPr>
        <w:t>We recognize revenue from non-refundable upfront payments when the license is transferred to the customer and we have no other performance obligations.</w:t>
      </w:r>
    </w:p>
    <w:p>
      <w:pPr>
        <w:spacing w:after="0" w:line="170"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We also entered into a contractual agreement with a customer during the year ended December 31, 2021 for the development of a RAD-Hard product, consisting of a technology license, a design license agreement and development contract and a separate contractual agreement with a customer during the year ended December 31, 2022 for the development of a strategic radiation hardened field programmable gate array product, consisting of a technology license to provide design and development services under the contractual agreement. We applied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w:t>
      </w:r>
    </w:p>
    <w:p>
      <w:pPr>
        <w:spacing w:after="0" w:line="165" w:lineRule="exact"/>
        <w:rPr>
          <w:sz w:val="20"/>
          <w:szCs w:val="20"/>
          <w:color w:val="auto"/>
        </w:rPr>
      </w:pPr>
    </w:p>
    <w:p>
      <w:pPr>
        <w:ind w:left="60" w:right="219" w:firstLine="324"/>
        <w:spacing w:after="0" w:line="293" w:lineRule="auto"/>
        <w:rPr>
          <w:sz w:val="20"/>
          <w:szCs w:val="20"/>
          <w:color w:val="auto"/>
        </w:rPr>
      </w:pPr>
      <w:r>
        <w:rPr>
          <w:rFonts w:ascii="Arial" w:cs="Arial" w:eastAsia="Arial" w:hAnsi="Arial"/>
          <w:sz w:val="16"/>
          <w:szCs w:val="16"/>
          <w:color w:val="auto"/>
        </w:rPr>
        <w:t>We concluded these contractual arrangements represent one arrangement and evaluated our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we determined the licenses were not distinct within the context of the contract and combined the license with other performance obligations.</w:t>
      </w:r>
    </w:p>
    <w:p>
      <w:pPr>
        <w:spacing w:after="0" w:line="164" w:lineRule="exact"/>
        <w:rPr>
          <w:sz w:val="20"/>
          <w:szCs w:val="20"/>
          <w:color w:val="auto"/>
        </w:rPr>
      </w:pPr>
    </w:p>
    <w:p>
      <w:pPr>
        <w:ind w:left="60" w:right="139" w:firstLine="324"/>
        <w:spacing w:after="0" w:line="342" w:lineRule="auto"/>
        <w:rPr>
          <w:sz w:val="20"/>
          <w:szCs w:val="20"/>
          <w:color w:val="auto"/>
        </w:rPr>
      </w:pPr>
      <w:r>
        <w:rPr>
          <w:rFonts w:ascii="Arial" w:cs="Arial" w:eastAsia="Arial" w:hAnsi="Arial"/>
          <w:sz w:val="16"/>
          <w:szCs w:val="16"/>
          <w:color w:val="auto"/>
        </w:rPr>
        <w:t>As a result, we are recognizing revenue related to the performance obligations over time using the input method based on costs incurred to date relative to the total expected costs of the contract over the performance obligation period.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left="60" w:right="839" w:firstLine="648"/>
        <w:spacing w:after="0" w:line="342" w:lineRule="auto"/>
        <w:rPr>
          <w:sz w:val="20"/>
          <w:szCs w:val="20"/>
          <w:color w:val="auto"/>
        </w:rPr>
      </w:pPr>
      <w:r>
        <w:rPr>
          <w:rFonts w:ascii="Arial" w:cs="Arial" w:eastAsia="Arial" w:hAnsi="Arial"/>
          <w:sz w:val="16"/>
          <w:szCs w:val="16"/>
          <w:color w:val="auto"/>
        </w:rPr>
        <w:t>In an effort to monetize on our intellectual property, we may sell patents to customers. The performance obligations are satisfied at the point in time at which the customer obtains control of the patents.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ind w:left="60" w:right="59" w:firstLine="401"/>
        <w:spacing w:after="0" w:line="272" w:lineRule="auto"/>
        <w:rPr>
          <w:sz w:val="20"/>
          <w:szCs w:val="20"/>
          <w:color w:val="auto"/>
        </w:rPr>
      </w:pPr>
      <w:r>
        <w:rPr>
          <w:rFonts w:ascii="Arial" w:cs="Arial" w:eastAsia="Arial" w:hAnsi="Arial"/>
          <w:sz w:val="17"/>
          <w:szCs w:val="17"/>
          <w:color w:val="auto"/>
        </w:rPr>
        <w:t>We recognize revenue from sales-based royalties from licenses of our technology at the later of when (1) the sale occurs or (2) the performance obligation to which some or all of the sales-based royalty has been allocated is satisfied (in whole or in part). We record an unbilled receivable (within accounts receivable, net) for the portion of sales-based royalties that have been earned, but not invoiced at the end of each reporting period. The unbilled accounts receivable is an estimate of consideration to which we expect to be entitled for uses of our intellectual property. Certain customers report on a lagged basis and actual information is not available timely. The estimates recorded are based on historical trends in the customer’s usage and current market conditions.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60" w:right="79" w:firstLine="405"/>
        <w:spacing w:after="0" w:line="271" w:lineRule="auto"/>
        <w:rPr>
          <w:sz w:val="20"/>
          <w:szCs w:val="20"/>
          <w:color w:val="auto"/>
        </w:rPr>
      </w:pPr>
      <w:r>
        <w:rPr>
          <w:rFonts w:ascii="Arial" w:cs="Arial" w:eastAsia="Arial" w:hAnsi="Arial"/>
          <w:sz w:val="17"/>
          <w:szCs w:val="17"/>
          <w:color w:val="auto"/>
        </w:rPr>
        <w:t>We record inventories at the lower of cost, determined on a first-in, first-out basis or net realizable value. We write down inventory for estimated excess or obsolete inventory equal to the difference between cost and estimated net realizable value. Inventory write downs establish a new cost basis for inventory and charges are not subsequently reversed even if circumstances subsequently indicate that increased carrying amounts are recoverable. In estimating these reserves, our evaluation takes into consideration historical and expected future demand considering current market conditions and trends, the effect new products may have on the sale of existing products, technological obsolescence, and other factors. We record inventory write-downs for the valuation of inventory when required based on our analyses and any write-downs result in a new cost basis for the affected item.</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339" w:firstLine="401"/>
        <w:spacing w:after="0" w:line="286" w:lineRule="auto"/>
        <w:rPr>
          <w:sz w:val="20"/>
          <w:szCs w:val="20"/>
          <w:color w:val="auto"/>
        </w:rPr>
      </w:pPr>
      <w:r>
        <w:rPr>
          <w:rFonts w:ascii="Arial" w:cs="Arial" w:eastAsia="Arial" w:hAnsi="Arial"/>
          <w:sz w:val="17"/>
          <w:szCs w:val="17"/>
          <w:color w:val="auto"/>
        </w:rPr>
        <w:t>See Note 2 in the accompanying Notes to Financial Statements in Part II, Item 8 of this Form 10-K for more information about recent accounting pronouncements, the timing of their adoption, and our assessment, to the extent we have made one yet, of their potential impact on our financial condition of results of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required for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500" w:type="dxa"/>
            <w:vAlign w:val="bottom"/>
            <w:gridSpan w:val="8"/>
            <w:vMerge w:val="restart"/>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42)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8500" w:type="dxa"/>
            <w:vAlign w:val="bottom"/>
            <w:gridSpan w:val="8"/>
            <w:vMerge w:val="continue"/>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6"/>
        </w:trPr>
        <w:tc>
          <w:tcPr>
            <w:tcW w:w="4220" w:type="dxa"/>
            <w:vAlign w:val="bottom"/>
            <w:tcBorders>
              <w:top w:val="single" w:sz="8" w:color="0000EE"/>
            </w:tcBorders>
            <w:gridSpan w:val="7"/>
          </w:tcPr>
          <w:p>
            <w:pPr>
              <w:ind w:left="260"/>
              <w:spacing w:after="0"/>
              <w:rPr>
                <w:sz w:val="20"/>
                <w:szCs w:val="20"/>
                <w:color w:val="auto"/>
              </w:rPr>
            </w:pPr>
            <w:r>
              <w:rPr>
                <w:rFonts w:ascii="Arial" w:cs="Arial" w:eastAsia="Arial" w:hAnsi="Arial"/>
                <w:sz w:val="18"/>
                <w:szCs w:val="18"/>
                <w:color w:val="auto"/>
              </w:rPr>
              <w:t>Financial Statements:</w:t>
            </w:r>
          </w:p>
        </w:tc>
        <w:tc>
          <w:tcPr>
            <w:tcW w:w="4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7980" w:type="dxa"/>
            <w:vAlign w:val="bottom"/>
            <w:gridSpan w:val="7"/>
          </w:tcPr>
          <w:p>
            <w:pPr>
              <w:spacing w:after="0" w:line="190" w:lineRule="exact"/>
              <w:rPr>
                <w:sz w:val="20"/>
                <w:szCs w:val="20"/>
                <w:color w:val="auto"/>
              </w:rPr>
            </w:pPr>
            <w:r>
              <w:rPr>
                <w:rFonts w:ascii="Arial" w:cs="Arial" w:eastAsia="Arial" w:hAnsi="Arial"/>
                <w:sz w:val="18"/>
                <w:szCs w:val="18"/>
                <w:color w:val="0000EE"/>
              </w:rPr>
              <w:t>Balance Sheets</w:t>
            </w: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7980" w:type="dxa"/>
            <w:vAlign w:val="bottom"/>
            <w:gridSpan w:val="7"/>
          </w:tcPr>
          <w:p>
            <w:pPr>
              <w:spacing w:after="0" w:line="196" w:lineRule="exact"/>
              <w:rPr>
                <w:sz w:val="20"/>
                <w:szCs w:val="20"/>
                <w:color w:val="auto"/>
              </w:rPr>
            </w:pPr>
            <w:r>
              <w:rPr>
                <w:rFonts w:ascii="Arial" w:cs="Arial" w:eastAsia="Arial" w:hAnsi="Arial"/>
                <w:sz w:val="18"/>
                <w:szCs w:val="18"/>
                <w:color w:val="0000EE"/>
              </w:rPr>
              <w:t>Statements of Income and Comprehensive Income</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Statements of Stockholders’ Equity</w:t>
            </w:r>
          </w:p>
        </w:tc>
        <w:tc>
          <w:tcPr>
            <w:tcW w:w="43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54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Statements of Cash Flows</w:t>
            </w:r>
          </w:p>
        </w:tc>
        <w:tc>
          <w:tcPr>
            <w:tcW w:w="54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7980" w:type="dxa"/>
            <w:vAlign w:val="bottom"/>
            <w:gridSpan w:val="7"/>
          </w:tcPr>
          <w:p>
            <w:pPr>
              <w:spacing w:after="0" w:line="196" w:lineRule="exact"/>
              <w:rPr>
                <w:sz w:val="20"/>
                <w:szCs w:val="20"/>
                <w:color w:val="auto"/>
              </w:rPr>
            </w:pPr>
            <w:r>
              <w:rPr>
                <w:rFonts w:ascii="Arial" w:cs="Arial" w:eastAsia="Arial" w:hAnsi="Arial"/>
                <w:sz w:val="18"/>
                <w:szCs w:val="18"/>
                <w:color w:val="0000EE"/>
              </w:rPr>
              <w:t>Notes to Financial Statements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Everspin Technologies,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We have audited the accompanying balance sheets of Everspin Technologies, Inc. (the Company) as of December 31, 2022 and 2021, the related statements of income and comprehensive income,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Accounting for Inventory</w:t>
      </w:r>
    </w:p>
    <w:p>
      <w:pPr>
        <w:spacing w:after="0" w:line="243" w:lineRule="exact"/>
        <w:rPr>
          <w:sz w:val="20"/>
          <w:szCs w:val="20"/>
          <w:color w:val="auto"/>
        </w:rPr>
      </w:pPr>
    </w:p>
    <w:p>
      <w:pPr>
        <w:ind w:left="60"/>
        <w:spacing w:after="0"/>
        <w:tabs>
          <w:tab w:leader="none" w:pos="160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2 to the financial statements, Inventory is valued at the lower of cost or net</w:t>
      </w:r>
    </w:p>
    <w:p>
      <w:pPr>
        <w:sectPr>
          <w:pgSz w:w="11900" w:h="16838" w:orient="portrait"/>
          <w:cols w:equalWidth="0" w:num="1">
            <w:col w:w="9019"/>
          </w:cols>
          <w:pgMar w:left="1440" w:top="517" w:right="1440" w:bottom="1440" w:gutter="0" w:footer="0" w:header="0"/>
        </w:sectPr>
      </w:pP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Matter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179"/>
        <w:spacing w:after="0" w:line="260" w:lineRule="auto"/>
        <w:rPr>
          <w:sz w:val="20"/>
          <w:szCs w:val="20"/>
          <w:color w:val="auto"/>
        </w:rPr>
      </w:pPr>
      <w:r>
        <w:rPr>
          <w:rFonts w:ascii="Arial" w:cs="Arial" w:eastAsia="Arial" w:hAnsi="Arial"/>
          <w:sz w:val="18"/>
          <w:szCs w:val="18"/>
          <w:color w:val="auto"/>
        </w:rPr>
        <w:t>realizable value using the first-in, first-out method. At December 31, 2022 the Company’s inventory balance was $6.7 million.</w:t>
      </w:r>
    </w:p>
    <w:p>
      <w:pPr>
        <w:spacing w:after="0" w:line="185" w:lineRule="exact"/>
        <w:rPr>
          <w:sz w:val="20"/>
          <w:szCs w:val="20"/>
          <w:color w:val="auto"/>
        </w:rPr>
      </w:pPr>
    </w:p>
    <w:p>
      <w:pPr>
        <w:sectPr>
          <w:pgSz w:w="11900" w:h="16838" w:orient="portrait"/>
          <w:cols w:equalWidth="0" w:num="2">
            <w:col w:w="900" w:space="720"/>
            <w:col w:w="7399"/>
          </w:cols>
          <w:pgMar w:left="1440" w:top="517" w:right="1440" w:bottom="1440" w:gutter="0" w:footer="0" w:header="0"/>
          <w:type w:val="continuous"/>
        </w:sectPr>
      </w:pPr>
    </w:p>
    <w:p>
      <w:pPr>
        <w:ind w:left="1620" w:right="179"/>
        <w:spacing w:after="0" w:line="279" w:lineRule="auto"/>
        <w:rPr>
          <w:sz w:val="20"/>
          <w:szCs w:val="20"/>
          <w:color w:val="auto"/>
        </w:rPr>
      </w:pPr>
      <w:r>
        <w:rPr>
          <w:rFonts w:ascii="Arial" w:cs="Arial" w:eastAsia="Arial" w:hAnsi="Arial"/>
          <w:sz w:val="17"/>
          <w:szCs w:val="17"/>
          <w:color w:val="auto"/>
        </w:rPr>
        <w:t>Auditing the Company's accounting for inventory was challenging and complex primarily due to the high volume of transactions and multiple data sources involved in the initiation, processing, and recording of inventory transactions. The data sources include information received from the Company’s several third-party suppliers involved in the manufacturing process.</w:t>
      </w:r>
    </w:p>
    <w:p>
      <w:pPr>
        <w:sectPr>
          <w:pgSz w:w="11900" w:h="16838" w:orient="portrait"/>
          <w:cols w:equalWidth="0" w:num="1">
            <w:col w:w="9019"/>
          </w:cols>
          <w:pgMar w:left="1440" w:top="517" w:right="1440" w:bottom="1440" w:gutter="0" w:footer="0" w:header="0"/>
          <w:type w:val="continuous"/>
        </w:sectPr>
      </w:pPr>
    </w:p>
    <w:p>
      <w:pPr>
        <w:spacing w:after="0" w:line="171" w:lineRule="exact"/>
        <w:rPr>
          <w:sz w:val="20"/>
          <w:szCs w:val="20"/>
          <w:color w:val="auto"/>
        </w:rPr>
      </w:pPr>
    </w:p>
    <w:p>
      <w:pPr>
        <w:ind w:left="60"/>
        <w:spacing w:after="0" w:line="25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299"/>
        <w:spacing w:after="0" w:line="259" w:lineRule="auto"/>
        <w:rPr>
          <w:sz w:val="20"/>
          <w:szCs w:val="20"/>
          <w:color w:val="auto"/>
        </w:rPr>
      </w:pPr>
      <w:r>
        <w:rPr>
          <w:rFonts w:ascii="Arial" w:cs="Arial" w:eastAsia="Arial" w:hAnsi="Arial"/>
          <w:sz w:val="18"/>
          <w:szCs w:val="18"/>
          <w:color w:val="auto"/>
        </w:rPr>
        <w:t>To test the Company’s accounting for inventory, we performed audit procedures that included, among others, performing physical observation and direct confirmations of inventory held at third-party suppliers, and testing a sample of inventory transactions and manufacturing costs incurred during the year to evaluate the cost of inventory.</w:t>
      </w:r>
    </w:p>
    <w:p>
      <w:pPr>
        <w:spacing w:after="0" w:line="187" w:lineRule="exact"/>
        <w:rPr>
          <w:sz w:val="20"/>
          <w:szCs w:val="20"/>
          <w:color w:val="auto"/>
        </w:rPr>
      </w:pPr>
    </w:p>
    <w:p>
      <w:pPr>
        <w:sectPr>
          <w:pgSz w:w="11900" w:h="16838" w:orient="portrait"/>
          <w:cols w:equalWidth="0" w:num="2">
            <w:col w:w="1060" w:space="560"/>
            <w:col w:w="7399"/>
          </w:cols>
          <w:pgMar w:left="1440" w:top="517" w:right="1440" w:bottom="1440" w:gutter="0" w:footer="0" w:header="0"/>
          <w:type w:val="continuous"/>
        </w:sectPr>
      </w:pPr>
    </w:p>
    <w:p>
      <w:pPr>
        <w:ind w:left="4500"/>
        <w:spacing w:after="0"/>
        <w:rPr>
          <w:sz w:val="20"/>
          <w:szCs w:val="20"/>
          <w:color w:val="auto"/>
        </w:rPr>
      </w:pPr>
      <w:r>
        <w:rPr>
          <w:rFonts w:ascii="Arial" w:cs="Arial" w:eastAsia="Arial" w:hAnsi="Arial"/>
          <w:sz w:val="16"/>
          <w:szCs w:val="16"/>
          <w:color w:val="auto"/>
        </w:rPr>
        <w:t>/s/ Ernst &amp; Young LLP</w:t>
      </w:r>
    </w:p>
    <w:p>
      <w:pPr>
        <w:sectPr>
          <w:pgSz w:w="11900" w:h="16838" w:orient="portrait"/>
          <w:cols w:equalWidth="0" w:num="1">
            <w:col w:w="9019"/>
          </w:cols>
          <w:pgMar w:left="1440" w:top="517" w:right="1440" w:bottom="1440" w:gutter="0" w:footer="0" w:header="0"/>
          <w:type w:val="continuous"/>
        </w:sect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26,795</w:t>
            </w:r>
          </w:p>
        </w:tc>
        <w:tc>
          <w:tcPr>
            <w:tcW w:w="5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10,665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55,333</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5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 liabilities, current portion</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net of current portion</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income tax liability</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16,669</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Commitments and contingencies (Note 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ind w:left="80"/>
              <w:spacing w:after="0" w:line="201" w:lineRule="exact"/>
              <w:rPr>
                <w:sz w:val="20"/>
                <w:szCs w:val="20"/>
                <w:color w:val="auto"/>
              </w:rPr>
            </w:pPr>
            <w:r>
              <w:rPr>
                <w:rFonts w:ascii="Arial" w:cs="Arial" w:eastAsia="Arial" w:hAnsi="Arial"/>
                <w:sz w:val="18"/>
                <w:szCs w:val="18"/>
                <w:color w:val="auto"/>
                <w:w w:val="90"/>
              </w:rPr>
              <w:t>Preferred stock, $0.0001 par value per share; 5,000,000 shares authorized; no shares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issued and outstanding as of December 31, 2022 and 2021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9"/>
              </w:rPr>
              <w:t>Common stock, $0.0001 par value per share; 100,000,000 shares authorized;</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20,374,288 and 19,858,460 shares issued and outstanding as of December 31, 2022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and 2021</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185,364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(146,702)</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(152,831)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38,664</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55,333</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Statements of Income and Comprehensive Income</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55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patent, and other revenue</w:t>
            </w:r>
          </w:p>
        </w:tc>
        <w:tc>
          <w:tcPr>
            <w:tcW w:w="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revenue</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product sales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licensing, royalty, patent, and other revenue</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cost of sales</w:t>
            </w:r>
          </w:p>
        </w:tc>
        <w:tc>
          <w:tcPr>
            <w:tcW w:w="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line="216" w:lineRule="exact"/>
              <w:rPr>
                <w:sz w:val="20"/>
                <w:szCs w:val="20"/>
                <w:color w:val="auto"/>
              </w:rPr>
            </w:pPr>
            <w:r>
              <w:rPr>
                <w:rFonts w:ascii="Arial" w:cs="Arial" w:eastAsia="Arial" w:hAnsi="Arial"/>
                <w:sz w:val="17"/>
                <w:szCs w:val="17"/>
                <w:color w:val="auto"/>
              </w:rPr>
              <w:t>Operating expenses:</w:t>
            </w:r>
            <w:r>
              <w:rPr>
                <w:rFonts w:ascii="Arial" w:cs="Arial" w:eastAsia="Arial" w:hAnsi="Arial"/>
                <w:sz w:val="25"/>
                <w:szCs w:val="25"/>
                <w:color w:val="auto"/>
                <w:vertAlign w:val="superscript"/>
              </w:rPr>
              <w:t>1</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11,741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Sales and marketing</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27,718</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income before income taxes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5460" w:type="dxa"/>
            <w:vAlign w:val="bottom"/>
            <w:gridSpan w:val="2"/>
          </w:tcPr>
          <w:p>
            <w:pPr>
              <w:spacing w:after="0"/>
              <w:rPr>
                <w:sz w:val="20"/>
                <w:szCs w:val="20"/>
                <w:color w:val="auto"/>
              </w:rPr>
            </w:pPr>
            <w:r>
              <w:rPr>
                <w:rFonts w:ascii="Arial" w:cs="Arial" w:eastAsia="Arial" w:hAnsi="Arial"/>
                <w:sz w:val="18"/>
                <w:szCs w:val="18"/>
                <w:color w:val="auto"/>
              </w:rPr>
              <w:t>Net income and comprehensive income</w:t>
            </w:r>
          </w:p>
        </w:tc>
        <w:tc>
          <w:tcPr>
            <w:tcW w:w="640" w:type="dxa"/>
            <w:vAlign w:val="bottom"/>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per common share:</w:t>
            </w:r>
          </w:p>
        </w:tc>
        <w:tc>
          <w:tcPr>
            <w:tcW w:w="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Basic</w:t>
            </w:r>
          </w:p>
        </w:tc>
        <w:tc>
          <w:tcPr>
            <w:tcW w:w="8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22"/>
                <w:szCs w:val="22"/>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20,130,336</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19,400,124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80"/>
              <w:spacing w:after="0"/>
              <w:rPr>
                <w:sz w:val="20"/>
                <w:szCs w:val="20"/>
                <w:color w:val="auto"/>
              </w:rPr>
            </w:pPr>
            <w:r>
              <w:rPr>
                <w:rFonts w:ascii="Arial" w:cs="Arial" w:eastAsia="Arial" w:hAnsi="Arial"/>
                <w:sz w:val="18"/>
                <w:szCs w:val="18"/>
                <w:color w:val="auto"/>
              </w:rPr>
              <w:t>Diluted</w:t>
            </w: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Borders>
              <w:bottom w:val="single" w:sz="8" w:color="CCEEFF"/>
            </w:tcBorders>
            <w:vMerge w:val="continue"/>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20,775,925</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19,972,145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line="216"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7"/>
                <w:szCs w:val="17"/>
                <w:color w:val="auto"/>
              </w:rPr>
              <w:t>Operating expenses include stock-based compensation as follows: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8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Sales and marketing</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Total stock-based compensation</w:t>
            </w:r>
          </w:p>
        </w:tc>
        <w:tc>
          <w:tcPr>
            <w:tcW w:w="64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67"/>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8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7"/>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800" w:type="dxa"/>
            <w:vAlign w:val="bottom"/>
          </w:tcPr>
          <w:p>
            <w:pPr>
              <w:jc w:val="right"/>
              <w:ind w:right="127"/>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67"/>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107"/>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4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2020</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19,031,556</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174,584</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(157,174)</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17,412</w:t>
            </w:r>
          </w:p>
        </w:tc>
        <w:tc>
          <w:tcPr>
            <w:tcW w:w="0" w:type="dxa"/>
            <w:vAlign w:val="bottom"/>
          </w:tcPr>
          <w:p>
            <w:pPr>
              <w:spacing w:after="0"/>
              <w:rPr>
                <w:sz w:val="1"/>
                <w:szCs w:val="1"/>
                <w:color w:val="auto"/>
              </w:rPr>
            </w:pPr>
          </w:p>
        </w:tc>
      </w:tr>
      <w:tr>
        <w:trPr>
          <w:trHeight w:val="130"/>
        </w:trPr>
        <w:tc>
          <w:tcPr>
            <w:tcW w:w="418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under stock incentive plans and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80" w:type="dxa"/>
            <w:vAlign w:val="bottom"/>
          </w:tcPr>
          <w:p>
            <w:pPr>
              <w:ind w:left="220"/>
              <w:spacing w:after="0"/>
              <w:rPr>
                <w:sz w:val="20"/>
                <w:szCs w:val="20"/>
                <w:color w:val="auto"/>
              </w:rPr>
            </w:pPr>
            <w:r>
              <w:rPr>
                <w:rFonts w:ascii="Arial" w:cs="Arial" w:eastAsia="Arial" w:hAnsi="Arial"/>
                <w:sz w:val="14"/>
                <w:szCs w:val="14"/>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805,441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Exercise of warrant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21,463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3,227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3,227</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4,343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4,343</w:t>
            </w:r>
          </w:p>
        </w:tc>
        <w:tc>
          <w:tcPr>
            <w:tcW w:w="0" w:type="dxa"/>
            <w:vAlign w:val="bottom"/>
          </w:tcPr>
          <w:p>
            <w:pPr>
              <w:spacing w:after="0"/>
              <w:rPr>
                <w:sz w:val="1"/>
                <w:szCs w:val="1"/>
                <w:color w:val="auto"/>
              </w:rPr>
            </w:pPr>
          </w:p>
        </w:tc>
      </w:tr>
      <w:tr>
        <w:trPr>
          <w:trHeight w:val="142"/>
        </w:trPr>
        <w:tc>
          <w:tcPr>
            <w:tcW w:w="4180" w:type="dxa"/>
            <w:vAlign w:val="bottom"/>
          </w:tcPr>
          <w:p>
            <w:pPr>
              <w:spacing w:after="0" w:line="142" w:lineRule="exact"/>
              <w:rPr>
                <w:sz w:val="20"/>
                <w:szCs w:val="20"/>
                <w:color w:val="auto"/>
              </w:rPr>
            </w:pPr>
            <w:r>
              <w:rPr>
                <w:rFonts w:ascii="Arial" w:cs="Arial" w:eastAsia="Arial" w:hAnsi="Arial"/>
                <w:sz w:val="14"/>
                <w:szCs w:val="14"/>
                <w:color w:val="auto"/>
              </w:rPr>
              <w:t>Balance at December 31, 2021</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19,858,460</w:t>
            </w:r>
          </w:p>
        </w:tc>
        <w:tc>
          <w:tcPr>
            <w:tcW w:w="12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line="142"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180,067</w:t>
            </w:r>
          </w:p>
        </w:tc>
        <w:tc>
          <w:tcPr>
            <w:tcW w:w="1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(152,831)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59"/>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27,238</w:t>
            </w:r>
          </w:p>
        </w:tc>
        <w:tc>
          <w:tcPr>
            <w:tcW w:w="0" w:type="dxa"/>
            <w:vAlign w:val="bottom"/>
          </w:tcPr>
          <w:p>
            <w:pPr>
              <w:spacing w:after="0"/>
              <w:rPr>
                <w:sz w:val="1"/>
                <w:szCs w:val="1"/>
                <w:color w:val="auto"/>
              </w:rPr>
            </w:pPr>
          </w:p>
        </w:tc>
      </w:tr>
      <w:tr>
        <w:trPr>
          <w:trHeight w:val="130"/>
        </w:trPr>
        <w:tc>
          <w:tcPr>
            <w:tcW w:w="418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common stock under stock incentive plans and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515,828</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889</w:t>
            </w:r>
          </w:p>
        </w:tc>
        <w:tc>
          <w:tcPr>
            <w:tcW w:w="0" w:type="dxa"/>
            <w:vAlign w:val="bottom"/>
          </w:tcPr>
          <w:p>
            <w:pPr>
              <w:spacing w:after="0"/>
              <w:rPr>
                <w:sz w:val="1"/>
                <w:szCs w:val="1"/>
                <w:color w:val="auto"/>
              </w:rPr>
            </w:pPr>
          </w:p>
        </w:tc>
      </w:tr>
      <w:tr>
        <w:trPr>
          <w:trHeight w:val="167"/>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 of stock options</w:t>
            </w: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4,408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4,408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6,129</w:t>
            </w:r>
          </w:p>
        </w:tc>
        <w:tc>
          <w:tcPr>
            <w:tcW w:w="0" w:type="dxa"/>
            <w:vAlign w:val="bottom"/>
          </w:tcPr>
          <w:p>
            <w:pPr>
              <w:spacing w:after="0"/>
              <w:rPr>
                <w:sz w:val="1"/>
                <w:szCs w:val="1"/>
                <w:color w:val="auto"/>
              </w:rPr>
            </w:pPr>
          </w:p>
        </w:tc>
      </w:tr>
      <w:tr>
        <w:trPr>
          <w:trHeight w:val="183"/>
        </w:trPr>
        <w:tc>
          <w:tcPr>
            <w:tcW w:w="4180" w:type="dxa"/>
            <w:vAlign w:val="bottom"/>
          </w:tcPr>
          <w:p>
            <w:pPr>
              <w:spacing w:after="0"/>
              <w:rPr>
                <w:sz w:val="20"/>
                <w:szCs w:val="20"/>
                <w:color w:val="auto"/>
              </w:rPr>
            </w:pPr>
            <w:r>
              <w:rPr>
                <w:rFonts w:ascii="Arial" w:cs="Arial" w:eastAsia="Arial" w:hAnsi="Arial"/>
                <w:sz w:val="14"/>
                <w:szCs w:val="14"/>
                <w:color w:val="auto"/>
              </w:rPr>
              <w:t>Balance at December 31, 2022</w:t>
            </w:r>
          </w:p>
        </w:tc>
        <w:tc>
          <w:tcPr>
            <w:tcW w:w="800" w:type="dxa"/>
            <w:vAlign w:val="bottom"/>
          </w:tcPr>
          <w:p>
            <w:pPr>
              <w:jc w:val="right"/>
              <w:spacing w:after="0"/>
              <w:rPr>
                <w:sz w:val="20"/>
                <w:szCs w:val="20"/>
                <w:color w:val="auto"/>
              </w:rPr>
            </w:pPr>
            <w:r>
              <w:rPr>
                <w:rFonts w:ascii="Arial" w:cs="Arial" w:eastAsia="Arial" w:hAnsi="Arial"/>
                <w:sz w:val="15"/>
                <w:szCs w:val="15"/>
                <w:color w:val="auto"/>
                <w:w w:val="95"/>
              </w:rPr>
              <w:t>20,374,288</w:t>
            </w:r>
          </w:p>
        </w:tc>
        <w:tc>
          <w:tcPr>
            <w:tcW w:w="3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185,364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(146,702)</w:t>
            </w:r>
          </w:p>
        </w:tc>
        <w:tc>
          <w:tcPr>
            <w:tcW w:w="100" w:type="dxa"/>
            <w:vAlign w:val="bottom"/>
          </w:tcPr>
          <w:p>
            <w:pPr>
              <w:spacing w:after="0"/>
              <w:rPr>
                <w:sz w:val="15"/>
                <w:szCs w:val="15"/>
                <w:color w:val="auto"/>
              </w:rPr>
            </w:pPr>
          </w:p>
        </w:tc>
        <w:tc>
          <w:tcPr>
            <w:tcW w:w="160" w:type="dxa"/>
            <w:vAlign w:val="bottom"/>
            <w:gridSpan w:val="2"/>
          </w:tcPr>
          <w:p>
            <w:pPr>
              <w:jc w:val="right"/>
              <w:ind w:right="5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38,664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8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1040" w:type="dxa"/>
            <w:vAlign w:val="bottom"/>
            <w:gridSpan w:val="2"/>
          </w:tcPr>
          <w:p>
            <w:pPr>
              <w:jc w:val="right"/>
              <w:ind w:right="625"/>
              <w:spacing w:after="0" w:line="162" w:lineRule="exact"/>
              <w:rPr>
                <w:sz w:val="20"/>
                <w:szCs w:val="20"/>
                <w:color w:val="auto"/>
              </w:rPr>
            </w:pPr>
            <w:r>
              <w:rPr>
                <w:rFonts w:ascii="Arial" w:cs="Arial" w:eastAsia="Arial" w:hAnsi="Arial"/>
                <w:sz w:val="15"/>
                <w:szCs w:val="15"/>
                <w:color w:val="auto"/>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6,129</w:t>
            </w:r>
          </w:p>
        </w:tc>
        <w:tc>
          <w:tcPr>
            <w:tcW w:w="1020" w:type="dxa"/>
            <w:vAlign w:val="bottom"/>
            <w:gridSpan w:val="2"/>
          </w:tcPr>
          <w:p>
            <w:pPr>
              <w:jc w:val="right"/>
              <w:ind w:right="671"/>
              <w:spacing w:after="0" w:line="162" w:lineRule="exact"/>
              <w:rPr>
                <w:sz w:val="20"/>
                <w:szCs w:val="20"/>
                <w:color w:val="auto"/>
              </w:rPr>
            </w:pPr>
            <w:r>
              <w:rPr>
                <w:rFonts w:ascii="Arial" w:cs="Arial" w:eastAsia="Arial" w:hAnsi="Arial"/>
                <w:sz w:val="15"/>
                <w:szCs w:val="15"/>
                <w:color w:val="auto"/>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4,343</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100"/>
              <w:spacing w:after="0" w:line="162" w:lineRule="exact"/>
              <w:rPr>
                <w:sz w:val="20"/>
                <w:szCs w:val="20"/>
                <w:color w:val="auto"/>
              </w:rPr>
            </w:pPr>
            <w:r>
              <w:rPr>
                <w:rFonts w:ascii="Arial" w:cs="Arial" w:eastAsia="Arial" w:hAnsi="Arial"/>
                <w:sz w:val="15"/>
                <w:szCs w:val="15"/>
                <w:color w:val="auto"/>
              </w:rPr>
              <w:t>Depreciation and amortization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982</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1,455</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Gain on sale of property and equipment</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(167)</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100"/>
              <w:spacing w:after="0" w:line="162" w:lineRule="exact"/>
              <w:rPr>
                <w:sz w:val="20"/>
                <w:szCs w:val="20"/>
                <w:color w:val="auto"/>
              </w:rPr>
            </w:pPr>
            <w:r>
              <w:rPr>
                <w:rFonts w:ascii="Arial" w:cs="Arial" w:eastAsia="Arial" w:hAnsi="Arial"/>
                <w:sz w:val="15"/>
                <w:szCs w:val="15"/>
                <w:color w:val="auto"/>
              </w:rPr>
              <w:t>Stock-based compensation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4,408</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3,227</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Non-cash warrant revaluation</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62"/>
        </w:trPr>
        <w:tc>
          <w:tcPr>
            <w:tcW w:w="5840" w:type="dxa"/>
            <w:vAlign w:val="bottom"/>
          </w:tcPr>
          <w:p>
            <w:pPr>
              <w:ind w:left="100"/>
              <w:spacing w:after="0" w:line="162" w:lineRule="exact"/>
              <w:rPr>
                <w:sz w:val="20"/>
                <w:szCs w:val="20"/>
                <w:color w:val="auto"/>
              </w:rPr>
            </w:pPr>
            <w:r>
              <w:rPr>
                <w:rFonts w:ascii="Arial" w:cs="Arial" w:eastAsia="Arial" w:hAnsi="Arial"/>
                <w:sz w:val="15"/>
                <w:szCs w:val="15"/>
                <w:color w:val="auto"/>
              </w:rPr>
              <w:t>Non-cash interest expense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105</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319</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100"/>
              <w:spacing w:after="0" w:line="162" w:lineRule="exact"/>
              <w:rPr>
                <w:sz w:val="20"/>
                <w:szCs w:val="20"/>
                <w:color w:val="auto"/>
              </w:rPr>
            </w:pPr>
            <w:r>
              <w:rPr>
                <w:rFonts w:ascii="Arial" w:cs="Arial" w:eastAsia="Arial" w:hAnsi="Arial"/>
                <w:sz w:val="15"/>
                <w:szCs w:val="15"/>
                <w:color w:val="auto"/>
              </w:rPr>
              <w:t>Accounts receivable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w w:val="96"/>
              </w:rPr>
              <w:t>(2,472)</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(586)</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Inventory</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(287)</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(675)</w:t>
            </w:r>
          </w:p>
        </w:tc>
        <w:tc>
          <w:tcPr>
            <w:tcW w:w="0" w:type="dxa"/>
            <w:vAlign w:val="bottom"/>
          </w:tcPr>
          <w:p>
            <w:pPr>
              <w:spacing w:after="0"/>
              <w:rPr>
                <w:sz w:val="1"/>
                <w:szCs w:val="1"/>
                <w:color w:val="auto"/>
              </w:rPr>
            </w:pPr>
          </w:p>
        </w:tc>
      </w:tr>
      <w:tr>
        <w:trPr>
          <w:trHeight w:val="162"/>
        </w:trPr>
        <w:tc>
          <w:tcPr>
            <w:tcW w:w="5840" w:type="dxa"/>
            <w:vAlign w:val="bottom"/>
          </w:tcPr>
          <w:p>
            <w:pPr>
              <w:ind w:left="1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158</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(492)</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Other assets</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62"/>
        </w:trPr>
        <w:tc>
          <w:tcPr>
            <w:tcW w:w="5840" w:type="dxa"/>
            <w:vAlign w:val="bottom"/>
          </w:tcPr>
          <w:p>
            <w:pPr>
              <w:ind w:left="100"/>
              <w:spacing w:after="0" w:line="162" w:lineRule="exact"/>
              <w:rPr>
                <w:sz w:val="20"/>
                <w:szCs w:val="20"/>
                <w:color w:val="auto"/>
              </w:rPr>
            </w:pPr>
            <w:r>
              <w:rPr>
                <w:rFonts w:ascii="Arial" w:cs="Arial" w:eastAsia="Arial" w:hAnsi="Arial"/>
                <w:sz w:val="15"/>
                <w:szCs w:val="15"/>
                <w:color w:val="auto"/>
              </w:rPr>
              <w:t>Accounts payable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563</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(571)</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Accrued liabilities</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(46)</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1,696</w:t>
            </w:r>
          </w:p>
        </w:tc>
        <w:tc>
          <w:tcPr>
            <w:tcW w:w="0" w:type="dxa"/>
            <w:vAlign w:val="bottom"/>
          </w:tcPr>
          <w:p>
            <w:pPr>
              <w:spacing w:after="0"/>
              <w:rPr>
                <w:sz w:val="1"/>
                <w:szCs w:val="1"/>
                <w:color w:val="auto"/>
              </w:rPr>
            </w:pPr>
          </w:p>
        </w:tc>
      </w:tr>
      <w:tr>
        <w:trPr>
          <w:trHeight w:val="162"/>
        </w:trPr>
        <w:tc>
          <w:tcPr>
            <w:tcW w:w="5840" w:type="dxa"/>
            <w:vAlign w:val="bottom"/>
          </w:tcPr>
          <w:p>
            <w:pPr>
              <w:ind w:left="100"/>
              <w:spacing w:after="0" w:line="162" w:lineRule="exact"/>
              <w:rPr>
                <w:sz w:val="20"/>
                <w:szCs w:val="20"/>
                <w:color w:val="auto"/>
              </w:rPr>
            </w:pPr>
            <w:r>
              <w:rPr>
                <w:rFonts w:ascii="Arial" w:cs="Arial" w:eastAsia="Arial" w:hAnsi="Arial"/>
                <w:sz w:val="15"/>
                <w:szCs w:val="15"/>
                <w:color w:val="auto"/>
              </w:rPr>
              <w:t>Deferred revenue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(11)</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832</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Lease liabilities</w:t>
            </w:r>
          </w:p>
        </w:tc>
        <w:tc>
          <w:tcPr>
            <w:tcW w:w="26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182</w:t>
            </w:r>
          </w:p>
        </w:tc>
        <w:tc>
          <w:tcPr>
            <w:tcW w:w="24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CEEFF"/>
            </w:tcBorders>
          </w:tcPr>
          <w:p>
            <w:pPr>
              <w:ind w:left="100"/>
              <w:spacing w:after="0" w:line="156" w:lineRule="exact"/>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9,493</w:t>
            </w:r>
          </w:p>
        </w:tc>
        <w:tc>
          <w:tcPr>
            <w:tcW w:w="2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9,359</w:t>
            </w:r>
          </w:p>
        </w:tc>
        <w:tc>
          <w:tcPr>
            <w:tcW w:w="0" w:type="dxa"/>
            <w:vAlign w:val="bottom"/>
          </w:tcPr>
          <w:p>
            <w:pPr>
              <w:spacing w:after="0"/>
              <w:rPr>
                <w:sz w:val="1"/>
                <w:szCs w:val="1"/>
                <w:color w:val="auto"/>
              </w:rPr>
            </w:pPr>
          </w:p>
        </w:tc>
      </w:tr>
      <w:tr>
        <w:trPr>
          <w:trHeight w:val="156"/>
        </w:trPr>
        <w:tc>
          <w:tcPr>
            <w:tcW w:w="584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w w:val="96"/>
              </w:rPr>
              <w:t>(2,788)</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(1,030)</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received from sale of property and equipment</w:t>
            </w:r>
          </w:p>
        </w:tc>
        <w:tc>
          <w:tcPr>
            <w:tcW w:w="26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202</w:t>
            </w:r>
          </w:p>
        </w:tc>
        <w:tc>
          <w:tcPr>
            <w:tcW w:w="24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CEEFF"/>
            </w:tcBorders>
          </w:tcPr>
          <w:p>
            <w:pPr>
              <w:ind w:left="100"/>
              <w:spacing w:after="0" w:line="156" w:lineRule="exact"/>
              <w:rPr>
                <w:sz w:val="20"/>
                <w:szCs w:val="20"/>
                <w:color w:val="auto"/>
              </w:rPr>
            </w:pPr>
            <w:r>
              <w:rPr>
                <w:rFonts w:ascii="Arial" w:cs="Arial" w:eastAsia="Arial" w:hAnsi="Arial"/>
                <w:sz w:val="15"/>
                <w:szCs w:val="15"/>
                <w:color w:val="auto"/>
              </w:rPr>
              <w:t>Net cash used in investing activities</w:t>
            </w:r>
          </w:p>
        </w:tc>
        <w:tc>
          <w:tcPr>
            <w:tcW w:w="2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6"/>
              </w:rPr>
              <w:t>(2,586)</w:t>
            </w:r>
          </w:p>
        </w:tc>
        <w:tc>
          <w:tcPr>
            <w:tcW w:w="2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(1,030)</w:t>
            </w:r>
          </w:p>
        </w:tc>
        <w:tc>
          <w:tcPr>
            <w:tcW w:w="0" w:type="dxa"/>
            <w:vAlign w:val="bottom"/>
          </w:tcPr>
          <w:p>
            <w:pPr>
              <w:spacing w:after="0"/>
              <w:rPr>
                <w:sz w:val="1"/>
                <w:szCs w:val="1"/>
                <w:color w:val="auto"/>
              </w:rPr>
            </w:pPr>
          </w:p>
        </w:tc>
      </w:tr>
      <w:tr>
        <w:trPr>
          <w:trHeight w:val="155"/>
        </w:trPr>
        <w:tc>
          <w:tcPr>
            <w:tcW w:w="584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line="162" w:lineRule="exact"/>
              <w:rPr>
                <w:sz w:val="20"/>
                <w:szCs w:val="20"/>
                <w:color w:val="auto"/>
              </w:rPr>
            </w:pPr>
            <w:r>
              <w:rPr>
                <w:rFonts w:ascii="Arial" w:cs="Arial" w:eastAsia="Arial" w:hAnsi="Arial"/>
                <w:sz w:val="15"/>
                <w:szCs w:val="15"/>
                <w:color w:val="auto"/>
              </w:rPr>
              <w:t>Payments on long-term debt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w w:val="96"/>
              </w:rPr>
              <w:t>(2,400)</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(3,400)</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of debt issuance costs</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49"/>
        </w:trPr>
        <w:tc>
          <w:tcPr>
            <w:tcW w:w="5840" w:type="dxa"/>
            <w:vAlign w:val="bottom"/>
          </w:tcPr>
          <w:p>
            <w:pPr>
              <w:spacing w:after="0" w:line="149" w:lineRule="exact"/>
              <w:rPr>
                <w:sz w:val="20"/>
                <w:szCs w:val="20"/>
                <w:color w:val="auto"/>
              </w:rPr>
            </w:pPr>
            <w:r>
              <w:rPr>
                <w:rFonts w:ascii="Arial" w:cs="Arial" w:eastAsia="Arial" w:hAnsi="Arial"/>
                <w:sz w:val="15"/>
                <w:szCs w:val="15"/>
                <w:color w:val="auto"/>
                <w:w w:val="94"/>
              </w:rPr>
              <w:t>Proceeds from exercise of stock options and purchase of shares in employee stock purchase</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plan</w:t>
            </w: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889</w:t>
            </w: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1,892</w:t>
            </w:r>
          </w:p>
        </w:tc>
        <w:tc>
          <w:tcPr>
            <w:tcW w:w="0" w:type="dxa"/>
            <w:vAlign w:val="bottom"/>
          </w:tcPr>
          <w:p>
            <w:pPr>
              <w:spacing w:after="0"/>
              <w:rPr>
                <w:sz w:val="1"/>
                <w:szCs w:val="1"/>
                <w:color w:val="auto"/>
              </w:rPr>
            </w:pPr>
          </w:p>
        </w:tc>
      </w:tr>
      <w:tr>
        <w:trPr>
          <w:trHeight w:val="155"/>
        </w:trPr>
        <w:tc>
          <w:tcPr>
            <w:tcW w:w="5840" w:type="dxa"/>
            <w:vAlign w:val="bottom"/>
            <w:shd w:val="clear" w:color="auto" w:fill="CCEEFF"/>
          </w:tcPr>
          <w:p>
            <w:pPr>
              <w:ind w:left="100"/>
              <w:spacing w:after="0" w:line="156" w:lineRule="exact"/>
              <w:rPr>
                <w:sz w:val="20"/>
                <w:szCs w:val="20"/>
                <w:color w:val="auto"/>
              </w:rPr>
            </w:pPr>
            <w:r>
              <w:rPr>
                <w:rFonts w:ascii="Arial" w:cs="Arial" w:eastAsia="Arial" w:hAnsi="Arial"/>
                <w:sz w:val="15"/>
                <w:szCs w:val="15"/>
                <w:color w:val="auto"/>
              </w:rPr>
              <w:t>Net cash used in financing activities</w:t>
            </w:r>
          </w:p>
        </w:tc>
        <w:tc>
          <w:tcPr>
            <w:tcW w:w="26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6"/>
              </w:rPr>
              <w:t>(1,521)</w:t>
            </w:r>
          </w:p>
        </w:tc>
        <w:tc>
          <w:tcPr>
            <w:tcW w:w="24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(1,519)</w:t>
            </w:r>
          </w:p>
        </w:tc>
        <w:tc>
          <w:tcPr>
            <w:tcW w:w="0" w:type="dxa"/>
            <w:vAlign w:val="bottom"/>
          </w:tcPr>
          <w:p>
            <w:pPr>
              <w:spacing w:after="0"/>
              <w:rPr>
                <w:sz w:val="1"/>
                <w:szCs w:val="1"/>
                <w:color w:val="auto"/>
              </w:rPr>
            </w:pPr>
          </w:p>
        </w:tc>
      </w:tr>
      <w:tr>
        <w:trPr>
          <w:trHeight w:val="156"/>
        </w:trPr>
        <w:tc>
          <w:tcPr>
            <w:tcW w:w="5840" w:type="dxa"/>
            <w:vAlign w:val="bottom"/>
          </w:tcPr>
          <w:p>
            <w:pPr>
              <w:spacing w:after="0" w:line="156" w:lineRule="exact"/>
              <w:rPr>
                <w:sz w:val="20"/>
                <w:szCs w:val="20"/>
                <w:color w:val="auto"/>
              </w:rPr>
            </w:pPr>
            <w:r>
              <w:rPr>
                <w:rFonts w:ascii="Arial" w:cs="Arial" w:eastAsia="Arial" w:hAnsi="Arial"/>
                <w:sz w:val="15"/>
                <w:szCs w:val="15"/>
                <w:color w:val="auto"/>
              </w:rPr>
              <w:t>Net increase in cash and cash equivalents</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5"/>
                <w:szCs w:val="15"/>
                <w:color w:val="auto"/>
              </w:rPr>
              <w:t>5,386</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5"/>
                <w:szCs w:val="15"/>
                <w:color w:val="auto"/>
              </w:rPr>
              <w:t>6,810</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26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1"/>
              </w:rPr>
              <w:t>21,409</w:t>
            </w:r>
          </w:p>
        </w:tc>
        <w:tc>
          <w:tcPr>
            <w:tcW w:w="24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1"/>
              </w:rPr>
              <w:t>14,599</w:t>
            </w:r>
          </w:p>
        </w:tc>
        <w:tc>
          <w:tcPr>
            <w:tcW w:w="0" w:type="dxa"/>
            <w:vAlign w:val="bottom"/>
          </w:tcPr>
          <w:p>
            <w:pPr>
              <w:spacing w:after="0"/>
              <w:rPr>
                <w:sz w:val="1"/>
                <w:szCs w:val="1"/>
                <w:color w:val="auto"/>
              </w:rPr>
            </w:pPr>
          </w:p>
        </w:tc>
      </w:tr>
      <w:tr>
        <w:trPr>
          <w:trHeight w:val="195"/>
        </w:trPr>
        <w:tc>
          <w:tcPr>
            <w:tcW w:w="584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2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625"/>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1"/>
              </w:rPr>
              <w:t>26,795</w:t>
            </w: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671"/>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1"/>
              </w:rPr>
              <w:t>21,409</w:t>
            </w:r>
          </w:p>
        </w:tc>
        <w:tc>
          <w:tcPr>
            <w:tcW w:w="0" w:type="dxa"/>
            <w:vAlign w:val="bottom"/>
          </w:tcPr>
          <w:p>
            <w:pPr>
              <w:spacing w:after="0"/>
              <w:rPr>
                <w:sz w:val="1"/>
                <w:szCs w:val="1"/>
                <w:color w:val="auto"/>
              </w:rPr>
            </w:pPr>
          </w:p>
        </w:tc>
      </w:tr>
      <w:tr>
        <w:trPr>
          <w:trHeight w:val="143"/>
        </w:trPr>
        <w:tc>
          <w:tcPr>
            <w:tcW w:w="5840" w:type="dxa"/>
            <w:vAlign w:val="bottom"/>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Supplementary cash flow information:</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840" w:type="dxa"/>
            <w:vAlign w:val="bottom"/>
          </w:tcPr>
          <w:p>
            <w:pPr>
              <w:spacing w:after="0" w:line="162" w:lineRule="exact"/>
              <w:rPr>
                <w:sz w:val="20"/>
                <w:szCs w:val="20"/>
                <w:color w:val="auto"/>
              </w:rPr>
            </w:pPr>
            <w:r>
              <w:rPr>
                <w:rFonts w:ascii="Arial" w:cs="Arial" w:eastAsia="Arial" w:hAnsi="Arial"/>
                <w:sz w:val="15"/>
                <w:szCs w:val="15"/>
                <w:color w:val="auto"/>
              </w:rPr>
              <w:t>Interest paid</w:t>
            </w:r>
          </w:p>
        </w:tc>
        <w:tc>
          <w:tcPr>
            <w:tcW w:w="1040" w:type="dxa"/>
            <w:vAlign w:val="bottom"/>
            <w:gridSpan w:val="2"/>
          </w:tcPr>
          <w:p>
            <w:pPr>
              <w:jc w:val="right"/>
              <w:ind w:right="625"/>
              <w:spacing w:after="0" w:line="162" w:lineRule="exact"/>
              <w:rPr>
                <w:sz w:val="20"/>
                <w:szCs w:val="20"/>
                <w:color w:val="auto"/>
              </w:rPr>
            </w:pPr>
            <w:r>
              <w:rPr>
                <w:rFonts w:ascii="Arial" w:cs="Arial" w:eastAsia="Arial" w:hAnsi="Arial"/>
                <w:sz w:val="15"/>
                <w:szCs w:val="15"/>
                <w:color w:val="auto"/>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169</w:t>
            </w:r>
          </w:p>
        </w:tc>
        <w:tc>
          <w:tcPr>
            <w:tcW w:w="1020" w:type="dxa"/>
            <w:vAlign w:val="bottom"/>
            <w:gridSpan w:val="2"/>
          </w:tcPr>
          <w:p>
            <w:pPr>
              <w:jc w:val="right"/>
              <w:ind w:right="671"/>
              <w:spacing w:after="0" w:line="162" w:lineRule="exact"/>
              <w:rPr>
                <w:sz w:val="20"/>
                <w:szCs w:val="20"/>
                <w:color w:val="auto"/>
              </w:rPr>
            </w:pPr>
            <w:r>
              <w:rPr>
                <w:rFonts w:ascii="Arial" w:cs="Arial" w:eastAsia="Arial" w:hAnsi="Arial"/>
                <w:sz w:val="15"/>
                <w:szCs w:val="15"/>
                <w:color w:val="auto"/>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228</w:t>
            </w:r>
          </w:p>
        </w:tc>
        <w:tc>
          <w:tcPr>
            <w:tcW w:w="0" w:type="dxa"/>
            <w:vAlign w:val="bottom"/>
          </w:tcPr>
          <w:p>
            <w:pPr>
              <w:spacing w:after="0"/>
              <w:rPr>
                <w:sz w:val="1"/>
                <w:szCs w:val="1"/>
                <w:color w:val="auto"/>
              </w:rPr>
            </w:pPr>
          </w:p>
        </w:tc>
      </w:tr>
      <w:tr>
        <w:trPr>
          <w:trHeight w:val="143"/>
        </w:trPr>
        <w:tc>
          <w:tcPr>
            <w:tcW w:w="584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Operating cash flows paid for operating leases</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625"/>
              <w:spacing w:after="0" w:line="143"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1,320</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67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1,603</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5"/>
                <w:szCs w:val="15"/>
                <w:color w:val="auto"/>
              </w:rPr>
              <w:t>Financing cash flows paid for finance leases</w:t>
            </w:r>
          </w:p>
        </w:tc>
        <w:tc>
          <w:tcPr>
            <w:tcW w:w="1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625"/>
              <w:spacing w:after="0" w:line="143"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11</w:t>
            </w:r>
          </w:p>
        </w:tc>
        <w:tc>
          <w:tcPr>
            <w:tcW w:w="2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67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3"/>
        </w:trPr>
        <w:tc>
          <w:tcPr>
            <w:tcW w:w="5840" w:type="dxa"/>
            <w:vAlign w:val="bottom"/>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Non-cash investing and financing activities:</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840" w:type="dxa"/>
            <w:vAlign w:val="bottom"/>
          </w:tcPr>
          <w:p>
            <w:pPr>
              <w:spacing w:after="0" w:line="162" w:lineRule="exact"/>
              <w:rPr>
                <w:sz w:val="20"/>
                <w:szCs w:val="20"/>
                <w:color w:val="auto"/>
              </w:rPr>
            </w:pPr>
            <w:r>
              <w:rPr>
                <w:rFonts w:ascii="Arial" w:cs="Arial" w:eastAsia="Arial" w:hAnsi="Arial"/>
                <w:sz w:val="15"/>
                <w:szCs w:val="15"/>
                <w:color w:val="auto"/>
              </w:rPr>
              <w:t>Right-of-use assets obtained in exchange for operating lease liabilities</w:t>
            </w:r>
          </w:p>
        </w:tc>
        <w:tc>
          <w:tcPr>
            <w:tcW w:w="1040" w:type="dxa"/>
            <w:vAlign w:val="bottom"/>
            <w:gridSpan w:val="2"/>
          </w:tcPr>
          <w:p>
            <w:pPr>
              <w:jc w:val="right"/>
              <w:ind w:right="625"/>
              <w:spacing w:after="0" w:line="162" w:lineRule="exact"/>
              <w:rPr>
                <w:sz w:val="20"/>
                <w:szCs w:val="20"/>
                <w:color w:val="auto"/>
              </w:rPr>
            </w:pPr>
            <w:r>
              <w:rPr>
                <w:rFonts w:ascii="Arial" w:cs="Arial" w:eastAsia="Arial" w:hAnsi="Arial"/>
                <w:sz w:val="15"/>
                <w:szCs w:val="15"/>
                <w:color w:val="auto"/>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6,837</w:t>
            </w:r>
          </w:p>
        </w:tc>
        <w:tc>
          <w:tcPr>
            <w:tcW w:w="1020" w:type="dxa"/>
            <w:vAlign w:val="bottom"/>
            <w:gridSpan w:val="2"/>
          </w:tcPr>
          <w:p>
            <w:pPr>
              <w:jc w:val="right"/>
              <w:ind w:right="671"/>
              <w:spacing w:after="0" w:line="162" w:lineRule="exact"/>
              <w:rPr>
                <w:sz w:val="20"/>
                <w:szCs w:val="20"/>
                <w:color w:val="auto"/>
              </w:rPr>
            </w:pPr>
            <w:r>
              <w:rPr>
                <w:rFonts w:ascii="Arial" w:cs="Arial" w:eastAsia="Arial" w:hAnsi="Arial"/>
                <w:sz w:val="15"/>
                <w:szCs w:val="15"/>
                <w:color w:val="auto"/>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3"/>
        </w:trPr>
        <w:tc>
          <w:tcPr>
            <w:tcW w:w="584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Right-of-use assets obtained in exchange for finance lease liabilities</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625"/>
              <w:spacing w:after="0" w:line="143"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36</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67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5"/>
                <w:szCs w:val="15"/>
                <w:color w:val="auto"/>
              </w:rPr>
              <w:t>Purchases of property and equipment in accounts payable and accrued liabilities</w:t>
            </w:r>
          </w:p>
        </w:tc>
        <w:tc>
          <w:tcPr>
            <w:tcW w:w="1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625"/>
              <w:spacing w:after="0" w:line="143"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807</w:t>
            </w:r>
          </w:p>
        </w:tc>
        <w:tc>
          <w:tcPr>
            <w:tcW w:w="2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67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43"/>
        </w:trPr>
        <w:tc>
          <w:tcPr>
            <w:tcW w:w="584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Bonus settled in shares of common stock</w:t>
            </w:r>
          </w:p>
        </w:tc>
        <w:tc>
          <w:tcPr>
            <w:tcW w:w="2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25"/>
              <w:spacing w:after="0" w:line="143"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364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left="60" w:right="99" w:firstLine="401"/>
        <w:spacing w:after="0" w:line="273" w:lineRule="auto"/>
        <w:rPr>
          <w:sz w:val="20"/>
          <w:szCs w:val="20"/>
          <w:color w:val="auto"/>
        </w:rPr>
      </w:pPr>
      <w:r>
        <w:rPr>
          <w:rFonts w:ascii="Arial" w:cs="Arial" w:eastAsia="Arial" w:hAnsi="Arial"/>
          <w:sz w:val="17"/>
          <w:szCs w:val="17"/>
          <w:color w:val="auto"/>
        </w:rPr>
        <w:t>Everspin Technologies, Inc. (the Company) was incorporated in Delaware on May 16, 2008. The Company’s magnetoresistive random access memory (MRAM) solutions offer the persistence of non-volatile memory with the speed and endurance of random access memory (RAM) and enable the protection of mission critical data particularly in the event of power interruption or failure. The Company’s MRAM solutions allow its customers in key markets, such as industrial, medical, automotive/transportation, aerospace, and data center, to design high performance, power-efficient and reliable systems without the need for bulky batteries or capacitors.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119" w:firstLine="401"/>
        <w:spacing w:after="0" w:line="272" w:lineRule="auto"/>
        <w:rPr>
          <w:sz w:val="20"/>
          <w:szCs w:val="20"/>
          <w:color w:val="auto"/>
        </w:rPr>
      </w:pPr>
      <w:r>
        <w:rPr>
          <w:rFonts w:ascii="Arial" w:cs="Arial" w:eastAsia="Arial" w:hAnsi="Arial"/>
          <w:sz w:val="17"/>
          <w:szCs w:val="17"/>
          <w:color w:val="auto"/>
        </w:rPr>
        <w:t>The preparation of the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fair value of assets and liabilities, inventory net realizable value, product warranty reserves, deferred tax assets and related valuation allowances, and stock-based compensation. The Company believes its estimates and assumptions are reasonable; however, actual results may differ from the Company’s estimates.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left="60" w:right="219" w:firstLine="401"/>
        <w:spacing w:after="0" w:line="263" w:lineRule="auto"/>
        <w:rPr>
          <w:sz w:val="20"/>
          <w:szCs w:val="20"/>
          <w:color w:val="auto"/>
        </w:rPr>
      </w:pPr>
      <w:r>
        <w:rPr>
          <w:rFonts w:ascii="Arial" w:cs="Arial" w:eastAsia="Arial" w:hAnsi="Arial"/>
          <w:sz w:val="18"/>
          <w:szCs w:val="18"/>
          <w:color w:val="auto"/>
        </w:rPr>
        <w:t>The Company’s chief operating decision maker is its Chief Executive Officer who reviews financial information for purposes of allocating resources and evaluating financial performance for the entire Company. As a result, the Company has single operating and reportable segment.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0" w:right="159" w:firstLine="401"/>
        <w:spacing w:after="0" w:line="308" w:lineRule="auto"/>
        <w:rPr>
          <w:sz w:val="20"/>
          <w:szCs w:val="20"/>
          <w:color w:val="auto"/>
        </w:rPr>
      </w:pPr>
      <w:r>
        <w:rPr>
          <w:rFonts w:ascii="Arial" w:cs="Arial" w:eastAsia="Arial" w:hAnsi="Arial"/>
          <w:sz w:val="17"/>
          <w:szCs w:val="17"/>
          <w:color w:val="auto"/>
        </w:rPr>
        <w:t>The Company considers all highly liquid, short-term investments with maturity dates of 90 days or less at the date of purchase to be cash equivalents. The Company’s cash equivalents consist solely of money market funds.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60" w:right="139" w:firstLine="401"/>
        <w:spacing w:after="0" w:line="269" w:lineRule="auto"/>
        <w:rPr>
          <w:sz w:val="20"/>
          <w:szCs w:val="20"/>
          <w:color w:val="auto"/>
        </w:rPr>
      </w:pPr>
      <w:r>
        <w:rPr>
          <w:rFonts w:ascii="Arial" w:cs="Arial" w:eastAsia="Arial" w:hAnsi="Arial"/>
          <w:sz w:val="17"/>
          <w:szCs w:val="17"/>
          <w:color w:val="auto"/>
        </w:rPr>
        <w:t>Accounts receivable are recorded at the invoiced amount and do not bear interest. The Company generally does not require collateral or other security in support of accounts receivable. Allowances would be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a number of factors in evaluating the sufficiency of its allowance for doubtful accounts, including the length of time receivables are past due, significant one-time events, creditworthiness of customers and historical experience. Account balances would be charged off against the allowance after all means of collection have been exhausted and the potential for recovery is considered remote. The Company’s evaluation determined that no material allowance for doubtful accounts was necessary at December 31, 2022 and 2021.</w:t>
      </w:r>
    </w:p>
    <w:p>
      <w:pPr>
        <w:spacing w:after="0" w:line="185" w:lineRule="exact"/>
        <w:rPr>
          <w:sz w:val="20"/>
          <w:szCs w:val="20"/>
          <w:color w:val="auto"/>
        </w:rPr>
      </w:pPr>
    </w:p>
    <w:p>
      <w:pPr>
        <w:ind w:left="60" w:right="99" w:firstLine="401"/>
        <w:spacing w:after="0" w:line="301" w:lineRule="auto"/>
        <w:rPr>
          <w:sz w:val="20"/>
          <w:szCs w:val="20"/>
          <w:color w:val="auto"/>
        </w:rPr>
      </w:pPr>
      <w:r>
        <w:rPr>
          <w:rFonts w:ascii="Arial" w:cs="Arial" w:eastAsia="Arial" w:hAnsi="Arial"/>
          <w:sz w:val="16"/>
          <w:szCs w:val="16"/>
          <w:color w:val="auto"/>
        </w:rPr>
        <w:t>The unbilled accounts receivable is an estimate of consideration to which the Company expects to be entitled for uses of the Company’s intellectual property. Certain customers report on a lagged basis and actual information is not available timely. The estimates recorded are based on historical trends in the customer’s usage and current market conditions. At December 31, 2022 and 2021, the unbilled accounts receivable balance was $551,000 and $450,000, respectively.</w:t>
      </w:r>
    </w:p>
    <w:p>
      <w:pPr>
        <w:spacing w:after="0" w:line="157" w:lineRule="exact"/>
        <w:rPr>
          <w:sz w:val="20"/>
          <w:szCs w:val="20"/>
          <w:color w:val="auto"/>
        </w:rPr>
      </w:pPr>
    </w:p>
    <w:p>
      <w:pPr>
        <w:ind w:left="60" w:right="539" w:firstLine="401"/>
        <w:spacing w:after="0" w:line="340" w:lineRule="auto"/>
        <w:rPr>
          <w:sz w:val="20"/>
          <w:szCs w:val="20"/>
          <w:color w:val="auto"/>
        </w:rPr>
      </w:pPr>
      <w:r>
        <w:rPr>
          <w:rFonts w:ascii="Arial" w:cs="Arial" w:eastAsia="Arial" w:hAnsi="Arial"/>
          <w:sz w:val="15"/>
          <w:szCs w:val="15"/>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w:t>
      </w:r>
    </w:p>
    <w:p>
      <w:pPr>
        <w:sectPr>
          <w:pgSz w:w="11900" w:h="16838" w:orient="portrait"/>
          <w:cols w:equalWidth="0" w:num="1">
            <w:col w:w="9019"/>
          </w:cols>
          <w:pgMar w:left="1440" w:top="517" w:right="1440" w:bottom="1440" w:gutter="0" w:footer="0" w:header="0"/>
        </w:sect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 At December 31, 2022 and 2021, the allowance for product returns and price adjustments was $384,000 and $397,000, respectively.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product returns and price adjustments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09"/>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88" w:lineRule="exact"/>
        <w:rPr>
          <w:sz w:val="20"/>
          <w:szCs w:val="20"/>
          <w:color w:val="auto"/>
        </w:rPr>
      </w:pPr>
    </w:p>
    <w:p>
      <w:pPr>
        <w:ind w:left="60" w:right="99" w:firstLine="401"/>
        <w:spacing w:after="0" w:line="255" w:lineRule="auto"/>
        <w:rPr>
          <w:sz w:val="20"/>
          <w:szCs w:val="20"/>
          <w:color w:val="auto"/>
        </w:rPr>
      </w:pPr>
      <w:r>
        <w:rPr>
          <w:rFonts w:ascii="Arial" w:cs="Arial" w:eastAsia="Arial" w:hAnsi="Arial"/>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gridSpan w:val="3"/>
          </w:tcPr>
          <w:p>
            <w:pPr>
              <w:ind w:left="740"/>
              <w:spacing w:after="0"/>
              <w:rPr>
                <w:sz w:val="20"/>
                <w:szCs w:val="20"/>
                <w:color w:val="auto"/>
              </w:rPr>
            </w:pPr>
            <w:r>
              <w:rPr>
                <w:rFonts w:ascii="Arial" w:cs="Arial" w:eastAsia="Arial" w:hAnsi="Arial"/>
                <w:sz w:val="14"/>
                <w:szCs w:val="14"/>
                <w:b w:val="1"/>
                <w:bCs w:val="1"/>
                <w:color w:val="auto"/>
                <w:w w:val="89"/>
              </w:rPr>
              <w:t>Revenue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4"/>
          </w:tcPr>
          <w:p>
            <w:pPr>
              <w:jc w:val="center"/>
              <w:ind w:right="90"/>
              <w:spacing w:after="0"/>
              <w:rPr>
                <w:sz w:val="20"/>
                <w:szCs w:val="20"/>
                <w:color w:val="auto"/>
              </w:rPr>
            </w:pPr>
            <w:r>
              <w:rPr>
                <w:rFonts w:ascii="Arial" w:cs="Arial" w:eastAsia="Arial" w:hAnsi="Arial"/>
                <w:sz w:val="14"/>
                <w:szCs w:val="14"/>
                <w:b w:val="1"/>
                <w:bCs w:val="1"/>
                <w:color w:val="auto"/>
                <w:w w:val="89"/>
              </w:rPr>
              <w:t>Accounts Receivable</w:t>
            </w:r>
          </w:p>
        </w:tc>
      </w:tr>
      <w:tr>
        <w:trPr>
          <w:trHeight w:val="142"/>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20" w:type="dxa"/>
            <w:vAlign w:val="bottom"/>
            <w:tcBorders>
              <w:top w:val="single" w:sz="8" w:color="auto"/>
              <w:bottom w:val="single" w:sz="8" w:color="auto"/>
            </w:tcBorders>
            <w:gridSpan w:val="5"/>
          </w:tcPr>
          <w:p>
            <w:pPr>
              <w:jc w:val="right"/>
              <w:ind w:right="150"/>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2"/>
                <w:szCs w:val="12"/>
                <w:color w:val="auto"/>
              </w:rPr>
            </w:pPr>
          </w:p>
        </w:tc>
        <w:tc>
          <w:tcPr>
            <w:tcW w:w="18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r>
      <w:tr>
        <w:trPr>
          <w:trHeight w:val="142"/>
        </w:trPr>
        <w:tc>
          <w:tcPr>
            <w:tcW w:w="3780" w:type="dxa"/>
            <w:vAlign w:val="bottom"/>
            <w:gridSpan w:val="3"/>
          </w:tcPr>
          <w:p>
            <w:pPr>
              <w:ind w:left="900"/>
              <w:spacing w:after="0" w:line="142" w:lineRule="exact"/>
              <w:rPr>
                <w:sz w:val="20"/>
                <w:szCs w:val="20"/>
                <w:color w:val="auto"/>
              </w:rPr>
            </w:pPr>
            <w:r>
              <w:rPr>
                <w:rFonts w:ascii="Arial" w:cs="Arial" w:eastAsia="Arial" w:hAnsi="Arial"/>
                <w:sz w:val="14"/>
                <w:szCs w:val="14"/>
                <w:b w:val="1"/>
                <w:bCs w:val="1"/>
                <w:color w:val="auto"/>
              </w:rPr>
              <w:t>Customers</w:t>
            </w:r>
          </w:p>
        </w:tc>
        <w:tc>
          <w:tcPr>
            <w:tcW w:w="84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w w:val="83"/>
              </w:rPr>
              <w:t>2021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86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2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9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9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115"/>
        </w:trPr>
        <w:tc>
          <w:tcPr>
            <w:tcW w:w="9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67"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w:t>
        <w:tab/>
        <w:t>Less than 10%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60" w:right="179" w:firstLine="401"/>
        <w:spacing w:after="0" w:line="255" w:lineRule="auto"/>
        <w:rPr>
          <w:sz w:val="20"/>
          <w:szCs w:val="20"/>
          <w:color w:val="auto"/>
        </w:rPr>
      </w:pPr>
      <w:r>
        <w:rPr>
          <w:rFonts w:ascii="Arial" w:cs="Arial" w:eastAsia="Arial" w:hAnsi="Arial"/>
          <w:sz w:val="18"/>
          <w:szCs w:val="18"/>
          <w:color w:val="auto"/>
        </w:rPr>
        <w:t>Inventory is valued at the lower of cost, using the first-in, first-out or net realizable value. The carrying value of inventory is adjusted for excess and obsolescence based on the Company’s evaluation which takes into consideration historical and expected future demand, the effect new products may have on the sale of existing products, technological obsolescence, and other factors including inventory age and shipment. At the point of loss recognition, a new lower cost basis for that inventory is established and subsequent changes in facts and circumstances do not result in the restoration or increase in that new cost basis.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39" w:firstLine="405"/>
        <w:spacing w:after="0" w:line="286"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for identical assets or liabilities in active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right="359"/>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other than quoted prices for identical assets or liabilities in active markets, which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and</w:t>
      </w:r>
    </w:p>
    <w:p>
      <w:pPr>
        <w:spacing w:after="0" w:line="170" w:lineRule="exact"/>
        <w:rPr>
          <w:sz w:val="20"/>
          <w:szCs w:val="20"/>
          <w:color w:val="auto"/>
        </w:rPr>
      </w:pPr>
    </w:p>
    <w:p>
      <w:pPr>
        <w:ind w:left="460" w:right="259"/>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in which there is little or no market data requiring the reporting entity to develop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assumptions.</w:t>
      </w:r>
    </w:p>
    <w:p>
      <w:pPr>
        <w:spacing w:after="0" w:line="170" w:lineRule="exact"/>
        <w:rPr>
          <w:sz w:val="20"/>
          <w:szCs w:val="20"/>
          <w:color w:val="auto"/>
        </w:rPr>
      </w:pPr>
    </w:p>
    <w:p>
      <w:pPr>
        <w:ind w:left="60" w:right="159" w:firstLine="401"/>
        <w:spacing w:after="0" w:line="270" w:lineRule="auto"/>
        <w:rPr>
          <w:sz w:val="20"/>
          <w:szCs w:val="20"/>
          <w:color w:val="auto"/>
        </w:rPr>
      </w:pPr>
      <w:r>
        <w:rPr>
          <w:rFonts w:ascii="Arial" w:cs="Arial" w:eastAsia="Arial" w:hAnsi="Arial"/>
          <w:sz w:val="17"/>
          <w:szCs w:val="17"/>
          <w:color w:val="auto"/>
        </w:rPr>
        <w:t>The carrying value of accounts receivable, accounts payable, and other accruals readily convertible into cash approximate fair value because of the short-term nature of the instruments. As of December 31, 2022,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Where quoted prices are available in an active market, securities are classified as Level 1. Level 1 assets consist of highly liquid money market funds that are included in cash equivalents. The Company’s Level 3 liability consists of warrants issued in connection with the 2019 Credit Facility (as defined in Note 6). The change in the fair value of the warrant liability during the year ended December 31, 2022 was immaterial.</w:t>
      </w:r>
    </w:p>
    <w:p>
      <w:pPr>
        <w:spacing w:after="0" w:line="181" w:lineRule="exact"/>
        <w:rPr>
          <w:sz w:val="20"/>
          <w:szCs w:val="20"/>
          <w:color w:val="auto"/>
        </w:rPr>
      </w:pPr>
    </w:p>
    <w:p>
      <w:pPr>
        <w:ind w:left="60" w:right="259" w:firstLine="401"/>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and liabilities measured at fair value on a recurring basis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Money market funds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26,812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26,812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Warrant liability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27</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Money market funds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21,508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21,508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Warrant liability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50</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60" w:right="79" w:firstLine="401"/>
        <w:spacing w:after="0" w:line="286"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begins at the time the asset is placed in service. Maintenance and repairs are charged to operations as incurred. Depreciation is computed using the straight-line method over the following estimated useful lives of the assets: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680" w:type="dxa"/>
            <w:vAlign w:val="bottom"/>
            <w:tcBorders>
              <w:bottom w:val="single" w:sz="8" w:color="CCEEFF"/>
            </w:tcBorders>
          </w:tcPr>
          <w:p>
            <w:pPr>
              <w:spacing w:after="0"/>
              <w:rPr>
                <w:sz w:val="14"/>
                <w:szCs w:val="14"/>
                <w:color w:val="auto"/>
              </w:rPr>
            </w:pPr>
          </w:p>
        </w:tc>
        <w:tc>
          <w:tcPr>
            <w:tcW w:w="4440" w:type="dxa"/>
            <w:vAlign w:val="bottom"/>
            <w:tcBorders>
              <w:bottom w:val="single" w:sz="8" w:color="auto"/>
            </w:tcBorders>
          </w:tcPr>
          <w:p>
            <w:pPr>
              <w:jc w:val="right"/>
              <w:ind w:right="1753"/>
              <w:spacing w:after="0"/>
              <w:rPr>
                <w:sz w:val="20"/>
                <w:szCs w:val="20"/>
                <w:color w:val="auto"/>
              </w:rPr>
            </w:pPr>
            <w:r>
              <w:rPr>
                <w:rFonts w:ascii="Arial" w:cs="Arial" w:eastAsia="Arial" w:hAnsi="Arial"/>
                <w:sz w:val="14"/>
                <w:szCs w:val="14"/>
                <w:b w:val="1"/>
                <w:bCs w:val="1"/>
                <w:color w:val="auto"/>
              </w:rPr>
              <w:t>Useful Lives</w:t>
            </w: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8"/>
              </w:rPr>
              <w:t>Computer and network equipment</w:t>
            </w:r>
          </w:p>
        </w:tc>
        <w:tc>
          <w:tcPr>
            <w:tcW w:w="4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years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4440" w:type="dxa"/>
            <w:vAlign w:val="bottom"/>
          </w:tcPr>
          <w:p>
            <w:pPr>
              <w:jc w:val="right"/>
              <w:spacing w:after="0"/>
              <w:rPr>
                <w:sz w:val="20"/>
                <w:szCs w:val="20"/>
                <w:color w:val="auto"/>
              </w:rPr>
            </w:pPr>
            <w:r>
              <w:rPr>
                <w:rFonts w:ascii="Arial" w:cs="Arial" w:eastAsia="Arial" w:hAnsi="Arial"/>
                <w:sz w:val="18"/>
                <w:szCs w:val="18"/>
                <w:color w:val="auto"/>
              </w:rPr>
              <w:t>2 – 7 years</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years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Software</w:t>
            </w:r>
          </w:p>
        </w:tc>
        <w:tc>
          <w:tcPr>
            <w:tcW w:w="444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Lesser of useful life of the asset or the remaining lease term</w:t>
            </w:r>
          </w:p>
        </w:tc>
      </w:tr>
    </w:tbl>
    <w:p>
      <w:pPr>
        <w:spacing w:after="0" w:line="202" w:lineRule="exact"/>
        <w:rPr>
          <w:sz w:val="20"/>
          <w:szCs w:val="20"/>
          <w:color w:val="auto"/>
        </w:rPr>
      </w:pPr>
    </w:p>
    <w:p>
      <w:pPr>
        <w:ind w:left="60" w:right="59" w:firstLine="401"/>
        <w:spacing w:after="0" w:line="296" w:lineRule="auto"/>
        <w:rPr>
          <w:sz w:val="20"/>
          <w:szCs w:val="20"/>
          <w:color w:val="auto"/>
        </w:rPr>
      </w:pPr>
      <w:r>
        <w:rPr>
          <w:rFonts w:ascii="Arial" w:cs="Arial" w:eastAsia="Arial" w:hAnsi="Arial"/>
          <w:sz w:val="16"/>
          <w:szCs w:val="16"/>
          <w:color w:val="auto"/>
        </w:rPr>
        <w:t>Costs incurred to develop software for internal use during the application development phase are capitalized and amortized over such software’s estimated useful life. Costs related to the design or maintenance of internal-use software are included in operating expenses as incurred. Upon sale or retirement of assets, the cost and related accumulated depreciation are removed from the balance sheet and any resulting gain or loss is reflected in operations. Amortization expense of assets acquired through finance leases is included in the statements of income and comprehensive income.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left="60" w:right="79" w:firstLine="401"/>
        <w:spacing w:after="0" w:line="270" w:lineRule="auto"/>
        <w:rPr>
          <w:sz w:val="20"/>
          <w:szCs w:val="20"/>
          <w:color w:val="auto"/>
        </w:rPr>
      </w:pPr>
      <w:r>
        <w:rPr>
          <w:rFonts w:ascii="Arial" w:cs="Arial" w:eastAsia="Arial" w:hAnsi="Arial"/>
          <w:sz w:val="17"/>
          <w:szCs w:val="17"/>
          <w:color w:val="auto"/>
        </w:rPr>
        <w:t>The Company evaluates its long-lived assets, including property and equipment, at the asset group level, for impairment whenever events or changes in circumstances indicate that the carrying value of these assets may not be recoverable. If such events or changes in circumstances occur, for purposes of this assessment, long-lived assets are grouped with other assets and liabilities at the lowest level for which identifiable cash flows are largely independent of the cash flows of other assets and liabilities. Recoverability of these assets is measured by comparison of the carrying amount of each asset group to the future undiscounted cash flows the asset group is expected to generate over its remaining life. If the asset group is considered to be impaired, the amount of any impairment is measured as the difference between the carrying value and the fair value of the impaired asset. There have been no impairments of the Company’s long-lived assets during either of the periods presented.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79" w:firstLine="401"/>
        <w:spacing w:after="0" w:line="255" w:lineRule="auto"/>
        <w:rPr>
          <w:sz w:val="20"/>
          <w:szCs w:val="20"/>
          <w:color w:val="auto"/>
        </w:rPr>
      </w:pPr>
      <w:r>
        <w:rPr>
          <w:rFonts w:ascii="Arial" w:cs="Arial" w:eastAsia="Arial" w:hAnsi="Arial"/>
          <w:sz w:val="18"/>
          <w:szCs w:val="18"/>
          <w:color w:val="auto"/>
        </w:rPr>
        <w:t>The Company leases office, lab, manufacturing space and equipment in various locations with initial lease terms of up to seven years. These leases require monthly lease payments that may be subject to annual increases throughout the lease term. The terms of these leases also include renewal options at the election of the Company to renew or extend the lease for a range of an additional two to five years. These optional periods have not been considered in the determination of the right-of-use-assets (ROU) or lease liabilities associated with these leases as the Company did not consider it reasonably certain it would exercise the options.</w:t>
      </w:r>
    </w:p>
    <w:p>
      <w:pPr>
        <w:spacing w:after="0" w:line="192" w:lineRule="exact"/>
        <w:rPr>
          <w:sz w:val="20"/>
          <w:szCs w:val="20"/>
          <w:color w:val="auto"/>
        </w:rPr>
      </w:pPr>
    </w:p>
    <w:p>
      <w:pPr>
        <w:ind w:left="60" w:right="159" w:firstLine="401"/>
        <w:spacing w:after="0" w:line="286" w:lineRule="auto"/>
        <w:rPr>
          <w:sz w:val="20"/>
          <w:szCs w:val="20"/>
          <w:color w:val="auto"/>
        </w:rPr>
      </w:pPr>
      <w:r>
        <w:rPr>
          <w:rFonts w:ascii="Arial" w:cs="Arial" w:eastAsia="Arial" w:hAnsi="Arial"/>
          <w:sz w:val="16"/>
          <w:szCs w:val="16"/>
          <w:color w:val="auto"/>
        </w:rPr>
        <w:t>The Company determines if an arrangement is a lease at inception.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The Company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excludes lease incentives and initial direct costs incurred, as applicable. Lease expense for the Company’s operating leases is recognized on a straight-line basis over the lease term. Amortization expense for ROU assets associated with finance leases is recognized on a straight-line basis over the shorter of the useful life of the asset or the lease term and interest expense associated with finance leases is recognized on the balance of the lease liability using the effective interest method based on the estimated incremental borrowing rate.</w:t>
      </w:r>
    </w:p>
    <w:p>
      <w:pPr>
        <w:spacing w:after="0" w:line="174" w:lineRule="exact"/>
        <w:rPr>
          <w:sz w:val="20"/>
          <w:szCs w:val="20"/>
          <w:color w:val="auto"/>
        </w:rPr>
      </w:pPr>
    </w:p>
    <w:p>
      <w:pPr>
        <w:ind w:left="60" w:right="139" w:firstLine="401"/>
        <w:spacing w:after="0" w:line="272" w:lineRule="auto"/>
        <w:rPr>
          <w:sz w:val="20"/>
          <w:szCs w:val="20"/>
          <w:color w:val="auto"/>
        </w:rPr>
      </w:pPr>
      <w:r>
        <w:rPr>
          <w:rFonts w:ascii="Arial" w:cs="Arial" w:eastAsia="Arial" w:hAnsi="Arial"/>
          <w:sz w:val="17"/>
          <w:szCs w:val="17"/>
          <w:color w:val="auto"/>
        </w:rPr>
        <w:t>The Company has lease agreements with lease and non-lease components. The Company has elected to not separate lease and non-lease components for any leases involving real estate and office equipment classes of assets and, as a result, accounts for the lease and non-lease components as a single lease component. The Company has elected to separate lease and non-lease components for any leases involving manufacturing facility classes of assets. Further, the Company elected the short-term lease exception policy, permitting it to not apply the recognition requirements of this standard to leases with terms of 12 months or less (short-term leases) for all classes of assets. As of December 31, 2022, the Company did not have any short-term leases.</w:t>
      </w:r>
    </w:p>
    <w:p>
      <w:pPr>
        <w:spacing w:after="0" w:line="177" w:lineRule="exact"/>
        <w:rPr>
          <w:sz w:val="20"/>
          <w:szCs w:val="20"/>
          <w:color w:val="auto"/>
        </w:rPr>
      </w:pPr>
    </w:p>
    <w:p>
      <w:pPr>
        <w:ind w:left="60" w:right="199" w:firstLine="401"/>
        <w:spacing w:after="0" w:line="277" w:lineRule="auto"/>
        <w:rPr>
          <w:sz w:val="20"/>
          <w:szCs w:val="20"/>
          <w:color w:val="auto"/>
        </w:rPr>
      </w:pPr>
      <w:r>
        <w:rPr>
          <w:rFonts w:ascii="Arial" w:cs="Arial" w:eastAsia="Arial" w:hAnsi="Arial"/>
          <w:sz w:val="18"/>
          <w:szCs w:val="18"/>
          <w:color w:val="auto"/>
        </w:rPr>
        <w:t>Operating leases are included in right-of-use assets, lease liabilities, and lease liabilities, net of current portion in the Company’s balance sheet. Finance leases are immaterial.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ind w:left="60" w:right="359" w:firstLine="405"/>
        <w:spacing w:after="0" w:line="259" w:lineRule="auto"/>
        <w:rPr>
          <w:sz w:val="20"/>
          <w:szCs w:val="20"/>
          <w:color w:val="auto"/>
        </w:rPr>
      </w:pPr>
      <w:r>
        <w:rPr>
          <w:rFonts w:ascii="Arial" w:cs="Arial" w:eastAsia="Arial" w:hAnsi="Arial"/>
          <w:sz w:val="18"/>
          <w:szCs w:val="18"/>
          <w:color w:val="auto"/>
        </w:rPr>
        <w:t>The Company defers and amortizes issuance costs, underwriting fees, end of term payments, and related expenses incurred in connection with the issuance of debt instruments using the effective interest method over the terms of the respective instruments. Debt issuance costs are reflected as a direct reduction of the carrying amount of the related debt liability.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119" w:firstLine="401"/>
        <w:spacing w:after="0" w:line="259" w:lineRule="auto"/>
        <w:rPr>
          <w:sz w:val="20"/>
          <w:szCs w:val="20"/>
          <w:color w:val="auto"/>
        </w:rPr>
      </w:pPr>
      <w:r>
        <w:rPr>
          <w:rFonts w:ascii="Arial" w:cs="Arial" w:eastAsia="Arial" w:hAnsi="Arial"/>
          <w:sz w:val="18"/>
          <w:szCs w:val="18"/>
          <w:color w:val="auto"/>
        </w:rPr>
        <w:t>The Company recognizes revenue when a customer obtains control of the promised products or services, in an amount that reflects the consideration the Company expects to receive in exchange for those products or services. Revenue is recognized net of allowances for returns and price adjustments, and any taxes imposed on specific revenue-producing transactions, which are subsequently remitted to governmental authorities.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left="60" w:right="99" w:firstLine="401"/>
        <w:spacing w:after="0" w:line="272" w:lineRule="auto"/>
        <w:rPr>
          <w:sz w:val="20"/>
          <w:szCs w:val="20"/>
          <w:color w:val="auto"/>
        </w:rPr>
      </w:pPr>
      <w:r>
        <w:rPr>
          <w:rFonts w:ascii="Arial" w:cs="Arial" w:eastAsia="Arial" w:hAnsi="Arial"/>
          <w:sz w:val="17"/>
          <w:szCs w:val="17"/>
          <w:color w:val="auto"/>
        </w:rPr>
        <w:t>The Company’s revenue is derived from the sale of MRAM-based products in discrete unit form, licenses of and royalties on its MRAM and magnetic sensor technology, the sale of backend foundry services and design services to third parties. Sales of products in discrete unit form are recognized at a point in time, revenue related to licensing agreements is recognized when the Company has delivered control of the technology, revenue related to royalty agreements is recognized in the period in which sales generated from products sold using the Company’s technology occurs, sales of backend foundry services are recognized over time, and design services to third parties are recognized either at a point in time or over time, depending on the nature of the services.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left="60" w:right="99" w:firstLine="401"/>
        <w:spacing w:after="0" w:line="275" w:lineRule="auto"/>
        <w:rPr>
          <w:sz w:val="20"/>
          <w:szCs w:val="20"/>
          <w:color w:val="auto"/>
        </w:rPr>
      </w:pPr>
      <w:r>
        <w:rPr>
          <w:rFonts w:ascii="Arial" w:cs="Arial" w:eastAsia="Arial" w:hAnsi="Arial"/>
          <w:sz w:val="17"/>
          <w:szCs w:val="17"/>
          <w:color w:val="auto"/>
        </w:rPr>
        <w:t>For products sold in their discrete form, the Company either sells its products directly to original equipment manufacturers (OEMs), original design manufacturers (ODMs) and contract manufacturers (CMs), or through a network of distributors, who in turn sell to those customers. For sales directly to OEMs, ODMs and CMs, revenue is recognized when the OEM, ODM or CM obtains control of the product, which occurs at a point in time, generally upon shipment to the customer. Contracts for sales of products are generally less than one year.</w:t>
      </w:r>
    </w:p>
    <w:p>
      <w:pPr>
        <w:spacing w:after="0" w:line="176" w:lineRule="exact"/>
        <w:rPr>
          <w:sz w:val="20"/>
          <w:szCs w:val="20"/>
          <w:color w:val="auto"/>
        </w:rPr>
      </w:pPr>
    </w:p>
    <w:p>
      <w:pPr>
        <w:ind w:left="60" w:right="79" w:firstLine="401"/>
        <w:spacing w:after="0" w:line="287" w:lineRule="auto"/>
        <w:rPr>
          <w:sz w:val="20"/>
          <w:szCs w:val="20"/>
          <w:color w:val="auto"/>
        </w:rPr>
      </w:pPr>
      <w:r>
        <w:rPr>
          <w:rFonts w:ascii="Arial" w:cs="Arial" w:eastAsia="Arial" w:hAnsi="Arial"/>
          <w:sz w:val="16"/>
          <w:szCs w:val="16"/>
          <w:color w:val="auto"/>
        </w:rPr>
        <w:t>From time to time, the Company may provide distributors with price adjustments subsequent to the delivery of product to them and such amounts are dependent on the end customer and product sales price. Price adjustments can be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The Company estimates these credits and record such estimates in the same period the related revenue is recognized, resulting in a reduction of product revenue and the establishment of an allowance for price adjustments for amounts due to distributors. The Company estimates credits to distributors based on the historical rate of credits provided to distributors relative to sales and evaluation of current market conditions. Revenue on shipments to distributors is recorded when control of the products has been transferred to the distributor.</w:t>
      </w:r>
    </w:p>
    <w:p>
      <w:pPr>
        <w:spacing w:after="0" w:line="168" w:lineRule="exact"/>
        <w:rPr>
          <w:sz w:val="20"/>
          <w:szCs w:val="20"/>
          <w:color w:val="auto"/>
        </w:rPr>
      </w:pPr>
    </w:p>
    <w:p>
      <w:pPr>
        <w:ind w:left="60" w:right="339" w:firstLine="401"/>
        <w:spacing w:after="0" w:line="257" w:lineRule="auto"/>
        <w:rPr>
          <w:sz w:val="20"/>
          <w:szCs w:val="20"/>
          <w:color w:val="auto"/>
        </w:rPr>
      </w:pPr>
      <w:r>
        <w:rPr>
          <w:rFonts w:ascii="Arial" w:cs="Arial" w:eastAsia="Arial" w:hAnsi="Arial"/>
          <w:sz w:val="18"/>
          <w:szCs w:val="18"/>
          <w:color w:val="auto"/>
        </w:rPr>
        <w:t>The Company estimates the amount of our product sales that may be returned by its customers and records this estimate as a reduction of revenue in the period the related product revenue is recognized. The Company estimates its product return liability by analyzing its historical returns, current economic trends and changes in customer demand and acceptance of products. The Company has received insignificant returns to date and believes that returns of its products will continue to be minimal.</w:t>
      </w:r>
    </w:p>
    <w:p>
      <w:pPr>
        <w:spacing w:after="0" w:line="188" w:lineRule="exact"/>
        <w:rPr>
          <w:sz w:val="20"/>
          <w:szCs w:val="20"/>
          <w:color w:val="auto"/>
        </w:rPr>
      </w:pPr>
    </w:p>
    <w:p>
      <w:pPr>
        <w:ind w:left="60" w:right="159" w:firstLine="401"/>
        <w:spacing w:after="0" w:line="259" w:lineRule="auto"/>
        <w:rPr>
          <w:sz w:val="20"/>
          <w:szCs w:val="20"/>
          <w:color w:val="auto"/>
        </w:rPr>
      </w:pPr>
      <w:r>
        <w:rPr>
          <w:rFonts w:ascii="Arial" w:cs="Arial" w:eastAsia="Arial" w:hAnsi="Arial"/>
          <w:sz w:val="18"/>
          <w:szCs w:val="18"/>
          <w:color w:val="auto"/>
        </w:rPr>
        <w:t>Upon the transfer of control, generally at shipment, the Company records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statements of income and comprehensive income.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left="60" w:right="59" w:firstLine="401"/>
        <w:spacing w:after="0" w:line="293" w:lineRule="auto"/>
        <w:rPr>
          <w:sz w:val="20"/>
          <w:szCs w:val="20"/>
          <w:color w:val="auto"/>
        </w:rPr>
      </w:pPr>
      <w:r>
        <w:rPr>
          <w:rFonts w:ascii="Arial" w:cs="Arial" w:eastAsia="Arial" w:hAnsi="Arial"/>
          <w:sz w:val="16"/>
          <w:szCs w:val="16"/>
          <w:color w:val="auto"/>
        </w:rPr>
        <w:t>For licenses of technology, recognition of revenue is dependent upon whether the Company has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the Company of one or more of the following: non-refundable upfront fees; and royalties on net sales of licensed products. Historically, these license agreements have not included other future performance obligations for the Company once the license has been transferred to the customer.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401"/>
        <w:spacing w:after="0" w:line="277" w:lineRule="auto"/>
        <w:rPr>
          <w:sz w:val="20"/>
          <w:szCs w:val="20"/>
          <w:color w:val="auto"/>
        </w:rPr>
      </w:pPr>
      <w:r>
        <w:rPr>
          <w:rFonts w:ascii="Arial" w:cs="Arial" w:eastAsia="Arial" w:hAnsi="Arial"/>
          <w:sz w:val="18"/>
          <w:szCs w:val="18"/>
          <w:color w:val="auto"/>
        </w:rPr>
        <w:t>Revenue from non-refundable upfront payments is recognized when the license is transferred to the customer and the Company has no other performance obligations.</w:t>
      </w:r>
    </w:p>
    <w:p>
      <w:pPr>
        <w:spacing w:after="0" w:line="170" w:lineRule="exact"/>
        <w:rPr>
          <w:sz w:val="20"/>
          <w:szCs w:val="20"/>
          <w:color w:val="auto"/>
        </w:rPr>
      </w:pPr>
    </w:p>
    <w:p>
      <w:pPr>
        <w:ind w:left="60" w:right="179" w:firstLine="401"/>
        <w:spacing w:after="0" w:line="285" w:lineRule="auto"/>
        <w:rPr>
          <w:sz w:val="20"/>
          <w:szCs w:val="20"/>
          <w:color w:val="auto"/>
        </w:rPr>
      </w:pPr>
      <w:r>
        <w:rPr>
          <w:rFonts w:ascii="Arial" w:cs="Arial" w:eastAsia="Arial" w:hAnsi="Arial"/>
          <w:sz w:val="16"/>
          <w:szCs w:val="16"/>
          <w:color w:val="auto"/>
        </w:rPr>
        <w:t>The Company entered into a contractual agreement with a customer in 2021 for the development of a RAD-Hard product, consisting of a technology license, a design license agreement and development contract, and a separate contractual agreement with a customer in 2022 for the development of a strategic radiation hardened field programmable gate array product, consisting of a technology license to provide design and development services under the contractual agreement. The Company applies a five-step approach in determining the amount and timing of revenue to be recognized:</w:t>
      </w:r>
    </w:p>
    <w:p>
      <w:pPr>
        <w:spacing w:after="0" w:line="2" w:lineRule="exact"/>
        <w:rPr>
          <w:sz w:val="20"/>
          <w:szCs w:val="20"/>
          <w:color w:val="auto"/>
        </w:rPr>
      </w:pPr>
    </w:p>
    <w:p>
      <w:pPr>
        <w:ind w:left="60" w:right="79" w:hanging="10"/>
        <w:spacing w:after="0" w:line="255"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w:t>
      </w:r>
    </w:p>
    <w:p>
      <w:pPr>
        <w:spacing w:after="0" w:line="190" w:lineRule="exact"/>
        <w:rPr>
          <w:sz w:val="20"/>
          <w:szCs w:val="20"/>
          <w:color w:val="auto"/>
        </w:rPr>
      </w:pPr>
    </w:p>
    <w:p>
      <w:pPr>
        <w:ind w:left="60" w:right="99" w:firstLine="401"/>
        <w:spacing w:after="0" w:line="293" w:lineRule="auto"/>
        <w:rPr>
          <w:sz w:val="20"/>
          <w:szCs w:val="20"/>
          <w:color w:val="auto"/>
        </w:rPr>
      </w:pPr>
      <w:r>
        <w:rPr>
          <w:rFonts w:ascii="Arial" w:cs="Arial" w:eastAsia="Arial" w:hAnsi="Arial"/>
          <w:sz w:val="16"/>
          <w:szCs w:val="16"/>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w:t>
      </w:r>
    </w:p>
    <w:p>
      <w:pPr>
        <w:spacing w:after="0" w:line="164" w:lineRule="exact"/>
        <w:rPr>
          <w:sz w:val="20"/>
          <w:szCs w:val="20"/>
          <w:color w:val="auto"/>
        </w:rPr>
      </w:pPr>
    </w:p>
    <w:p>
      <w:pPr>
        <w:ind w:left="60" w:right="239" w:firstLine="405"/>
        <w:spacing w:after="0" w:line="263" w:lineRule="auto"/>
        <w:rPr>
          <w:sz w:val="20"/>
          <w:szCs w:val="20"/>
          <w:color w:val="auto"/>
        </w:rPr>
      </w:pPr>
      <w:r>
        <w:rPr>
          <w:rFonts w:ascii="Arial" w:cs="Arial" w:eastAsia="Arial" w:hAnsi="Arial"/>
          <w:sz w:val="18"/>
          <w:szCs w:val="18"/>
          <w:color w:val="auto"/>
        </w:rPr>
        <w:t>As a result, the Company is recognizing revenue related to the performance obligations over the duration of the contract using the input method based on costs incurred to date relative to the total expected costs of the contract over the contract period.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left="60" w:right="399" w:firstLine="401"/>
        <w:spacing w:after="0" w:line="308" w:lineRule="auto"/>
        <w:rPr>
          <w:sz w:val="20"/>
          <w:szCs w:val="20"/>
          <w:color w:val="auto"/>
        </w:rPr>
      </w:pPr>
      <w:r>
        <w:rPr>
          <w:rFonts w:ascii="Arial" w:cs="Arial" w:eastAsia="Arial" w:hAnsi="Arial"/>
          <w:sz w:val="17"/>
          <w:szCs w:val="17"/>
          <w:color w:val="auto"/>
        </w:rPr>
        <w:t>In an effort to monetize on its intellectual property, the Company may sell patents to customers. The performance obligations are satisfied at the point in time at which the customer obtains control of the patents.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from sales-based royalties from licenses of the Company’s technology are recognized at the later of when</w:t>
      </w:r>
    </w:p>
    <w:p>
      <w:pPr>
        <w:spacing w:after="0" w:line="46" w:lineRule="exact"/>
        <w:rPr>
          <w:sz w:val="20"/>
          <w:szCs w:val="20"/>
          <w:color w:val="auto"/>
        </w:rPr>
      </w:pPr>
    </w:p>
    <w:p>
      <w:pPr>
        <w:ind w:left="60" w:right="299" w:hanging="10"/>
        <w:spacing w:after="0" w:line="302" w:lineRule="auto"/>
        <w:tabs>
          <w:tab w:leader="none" w:pos="3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sale occurs or (2) the performance obligation to which some or all of the sales-based royalty has been allocated is satisfied (in whole or in part). The Company will record an unbilled receivable (within accounts receivable, net) for the portion of sales-based royalties that have been earned, but not invoiced at the end of each reporting period.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ind w:left="60" w:right="59" w:firstLine="401"/>
        <w:spacing w:after="0" w:line="257" w:lineRule="auto"/>
        <w:rPr>
          <w:sz w:val="20"/>
          <w:szCs w:val="20"/>
          <w:color w:val="auto"/>
        </w:rPr>
      </w:pPr>
      <w:r>
        <w:rPr>
          <w:rFonts w:ascii="Arial" w:cs="Arial" w:eastAsia="Arial" w:hAnsi="Arial"/>
          <w:sz w:val="18"/>
          <w:szCs w:val="18"/>
          <w:color w:val="auto"/>
        </w:rPr>
        <w:t>For certain revenue streams, the Company recognizes revenue based on the pattern of transfer of the services. The Company uses the input method of measuring costs incurred to date compared to total estimated costs to be incurred under the contract as this method most faithfully depicts its performance. The Company will record an unbilled receivable (within accounts receivable, net) for the portion of the work that has been completed but not invoiced at the end of each reporting period.</w:t>
      </w:r>
    </w:p>
    <w:p>
      <w:pPr>
        <w:spacing w:after="0" w:line="188" w:lineRule="exact"/>
        <w:rPr>
          <w:sz w:val="20"/>
          <w:szCs w:val="20"/>
          <w:color w:val="auto"/>
        </w:rPr>
      </w:pPr>
    </w:p>
    <w:p>
      <w:pPr>
        <w:ind w:left="60" w:right="59" w:firstLine="401"/>
        <w:spacing w:after="0" w:line="272" w:lineRule="auto"/>
        <w:rPr>
          <w:sz w:val="20"/>
          <w:szCs w:val="20"/>
          <w:color w:val="auto"/>
        </w:rPr>
      </w:pPr>
      <w:r>
        <w:rPr>
          <w:rFonts w:ascii="Arial" w:cs="Arial" w:eastAsia="Arial" w:hAnsi="Arial"/>
          <w:sz w:val="17"/>
          <w:szCs w:val="17"/>
          <w:color w:val="auto"/>
        </w:rPr>
        <w:t>At the inception of each agreement that includes milestone payments, the Company evaluates whether the milestones are considered probable of being reached and estimates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the Company re-evaluates the probability or achievement of each such milestone and any related constraint, and if necessary, adjusts its estimate of the overall transaction price. Any such adjustments are recorded on a cumulative catch-up basis, which would affect revenues and earnings in the period of adjustment.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generally sells products with a limited warranty of product quality and a limited indemnification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customers against intellectual property infringement claims related to the Company’s products. The Company accrues for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known warranty and indemnification issues if a loss is probable and can be reasonably estimated and accrues for estimated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losses incurred for unidentified issues based on historical experience. A warranty liability was not recorded at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2022 and 2021, as the estimated future warranty costs were not material based on the Company’s historical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experience.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60" w:right="119" w:firstLine="401"/>
        <w:spacing w:after="0" w:line="275" w:lineRule="auto"/>
        <w:rPr>
          <w:sz w:val="20"/>
          <w:szCs w:val="20"/>
          <w:color w:val="auto"/>
        </w:rPr>
      </w:pPr>
      <w:r>
        <w:rPr>
          <w:rFonts w:ascii="Arial" w:cs="Arial" w:eastAsia="Arial" w:hAnsi="Arial"/>
          <w:sz w:val="17"/>
          <w:szCs w:val="17"/>
          <w:color w:val="auto"/>
        </w:rPr>
        <w:t>Research and development expenses are incurred in support of internal development programs or as part of the Company’s joint development agreement with GLOBALFOUNDRIES (see Note 10). Research and development expenses include personnel-related costs (including stock-based compensation), circuit design costs, purchases of materials and laboratory supplies, fabrication and packaging of experimental integrated circuit products, depreciation of research and development related capital equipment and overhead and are expensed as incurred.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79" w:firstLine="401"/>
        <w:spacing w:after="0" w:line="311" w:lineRule="auto"/>
        <w:rPr>
          <w:sz w:val="20"/>
          <w:szCs w:val="20"/>
          <w:color w:val="auto"/>
        </w:rPr>
      </w:pPr>
      <w:r>
        <w:rPr>
          <w:rFonts w:ascii="Arial" w:cs="Arial" w:eastAsia="Arial" w:hAnsi="Arial"/>
          <w:sz w:val="16"/>
          <w:szCs w:val="16"/>
          <w:color w:val="auto"/>
        </w:rPr>
        <w:t>Stock-based compensation arrangements include stock option grants and restricted stock unit (RSU) awards under the Company’s equity incentive plans, as well as shares issued under the Company’s Employee Stock Purchase Plan (ESPP), through which employees may purchase the Company’s common stock at a discount to the market price.</w:t>
      </w:r>
    </w:p>
    <w:p>
      <w:pPr>
        <w:spacing w:after="0" w:line="149" w:lineRule="exact"/>
        <w:rPr>
          <w:sz w:val="20"/>
          <w:szCs w:val="20"/>
          <w:color w:val="auto"/>
        </w:rPr>
      </w:pPr>
    </w:p>
    <w:p>
      <w:pPr>
        <w:ind w:left="60" w:right="179" w:firstLine="401"/>
        <w:spacing w:after="0" w:line="286" w:lineRule="auto"/>
        <w:rPr>
          <w:sz w:val="20"/>
          <w:szCs w:val="20"/>
          <w:color w:val="auto"/>
        </w:rPr>
      </w:pPr>
      <w:r>
        <w:rPr>
          <w:rFonts w:ascii="Arial" w:cs="Arial" w:eastAsia="Arial" w:hAnsi="Arial"/>
          <w:sz w:val="17"/>
          <w:szCs w:val="17"/>
          <w:color w:val="auto"/>
        </w:rPr>
        <w:t>The Company measures its stock option grants based on the estimated fair value of the options as of the grant date using the Black-Scholes option-pricing model. Stock-based compensation expense is recognized over the requisite service period using the straight-line method. The Company accounts for forfeitures as they occur.</w:t>
      </w:r>
    </w:p>
    <w:p>
      <w:pPr>
        <w:spacing w:after="0" w:line="165"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Company determines the expected stock price volatility based on the historical volatility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its common stock and the historical volatilities of a peer group. Industry peers consist of several public companies in the technology industry similar in size, stage of life cycle and financial leverage. If circumstances change such that the identified companies are no longer similar, the Company will revise its peer group to substitute more suitable companies in this calculation.</w:t>
      </w:r>
    </w:p>
    <w:p>
      <w:pPr>
        <w:spacing w:after="0" w:line="188" w:lineRule="exact"/>
        <w:rPr>
          <w:sz w:val="20"/>
          <w:szCs w:val="20"/>
          <w:color w:val="auto"/>
        </w:rPr>
      </w:pPr>
    </w:p>
    <w:p>
      <w:pPr>
        <w:ind w:left="60" w:right="519" w:firstLine="401"/>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 in effect at the time of grant.</w:t>
      </w:r>
    </w:p>
    <w:p>
      <w:pPr>
        <w:spacing w:after="0" w:line="170" w:lineRule="exact"/>
        <w:rPr>
          <w:sz w:val="20"/>
          <w:szCs w:val="20"/>
          <w:color w:val="auto"/>
        </w:rPr>
      </w:pPr>
    </w:p>
    <w:p>
      <w:pPr>
        <w:ind w:left="60" w:right="139" w:firstLine="401"/>
        <w:spacing w:after="0" w:line="263"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used the simplified method to determine the expected term, which is calculated as the average of the time to vesting and the contractual life of the options.</w:t>
      </w:r>
    </w:p>
    <w:p>
      <w:pPr>
        <w:spacing w:after="0" w:line="184" w:lineRule="exact"/>
        <w:rPr>
          <w:sz w:val="20"/>
          <w:szCs w:val="20"/>
          <w:color w:val="auto"/>
        </w:rPr>
      </w:pPr>
    </w:p>
    <w:p>
      <w:pPr>
        <w:ind w:left="60" w:right="99" w:firstLine="401"/>
        <w:spacing w:after="0" w:line="27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Company has never paid dividends on its common stock and is prohibited from paying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 Therefore, the Company used an expected dividend yield of zero.</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159" w:firstLine="401"/>
        <w:spacing w:after="0" w:line="296" w:lineRule="auto"/>
        <w:rPr>
          <w:sz w:val="20"/>
          <w:szCs w:val="20"/>
          <w:color w:val="auto"/>
        </w:rPr>
      </w:pPr>
      <w:r>
        <w:rPr>
          <w:rFonts w:ascii="Arial" w:cs="Arial" w:eastAsia="Arial" w:hAnsi="Arial"/>
          <w:sz w:val="16"/>
          <w:szCs w:val="16"/>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w:t>
      </w:r>
    </w:p>
    <w:p>
      <w:pPr>
        <w:spacing w:after="0" w:line="161" w:lineRule="exact"/>
        <w:rPr>
          <w:sz w:val="20"/>
          <w:szCs w:val="20"/>
          <w:color w:val="auto"/>
        </w:rPr>
      </w:pPr>
    </w:p>
    <w:p>
      <w:pPr>
        <w:ind w:left="60" w:right="179" w:firstLine="401"/>
        <w:spacing w:after="0" w:line="279" w:lineRule="auto"/>
        <w:rPr>
          <w:sz w:val="20"/>
          <w:szCs w:val="20"/>
          <w:color w:val="auto"/>
        </w:rPr>
      </w:pPr>
      <w:r>
        <w:rPr>
          <w:rFonts w:ascii="Arial" w:cs="Arial" w:eastAsia="Arial" w:hAnsi="Arial"/>
          <w:sz w:val="17"/>
          <w:szCs w:val="17"/>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225" w:lineRule="exact"/>
        <w:rPr>
          <w:sz w:val="20"/>
          <w:szCs w:val="20"/>
          <w:color w:val="auto"/>
        </w:rPr>
      </w:pPr>
    </w:p>
    <w:p>
      <w:pPr>
        <w:ind w:left="60" w:right="239" w:firstLine="401"/>
        <w:spacing w:after="0" w:line="293" w:lineRule="auto"/>
        <w:rPr>
          <w:sz w:val="20"/>
          <w:szCs w:val="20"/>
          <w:color w:val="auto"/>
        </w:rPr>
      </w:pPr>
      <w:r>
        <w:rPr>
          <w:rFonts w:ascii="Arial" w:cs="Arial" w:eastAsia="Arial" w:hAnsi="Arial"/>
          <w:sz w:val="16"/>
          <w:szCs w:val="16"/>
          <w:color w:val="auto"/>
        </w:rPr>
        <w:t>Basic net income per common share is calculated by dividing the net income by the weighted-average number of shares of common stock outstanding for the period less shares subject to repurchase, without consideration of potentially dilutive securities. Diluted earnings per share is calculated using the treasury stock method by dividing net income by the total weighted average shares of common stock outstanding in addition to the potential impact of dilutive securities including restricted stock units, warrants, and options. In periods with a net loss, diluted net loss per common share is the same as basic net loss per common share since the effect of potentially dilutive securities is anti-dilutive.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left="60" w:right="79" w:firstLine="401"/>
        <w:spacing w:after="0" w:line="288" w:lineRule="auto"/>
        <w:rPr>
          <w:sz w:val="20"/>
          <w:szCs w:val="20"/>
          <w:color w:val="auto"/>
        </w:rPr>
      </w:pPr>
      <w:r>
        <w:rPr>
          <w:rFonts w:ascii="Arial" w:cs="Arial" w:eastAsia="Arial" w:hAnsi="Arial"/>
          <w:sz w:val="16"/>
          <w:szCs w:val="16"/>
          <w:color w:val="auto"/>
        </w:rPr>
        <w:t>In June 2016, the Financial Accounting Standards Board (FASB) issued ASU No. 2016-13, Financial Instruments-Credit Losses (Topic 326): Measurement of Credit Losses on Financial Instruments,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No. 2019-04, Codification Improvements Financial Instruments-Credit Losses (Topic 326). ASU No. 2019-04 provides narrow-scope amendments to help apply ASU No. 2016-13, and is effective with the adoption of ASU No. 2016-13. The Company is evaluating the impact of the adoption of ASU 2016-13 and ASU No. 2019-04 on its financial statements.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ind w:left="60" w:right="219" w:firstLine="401"/>
        <w:spacing w:after="0" w:line="263" w:lineRule="auto"/>
        <w:rPr>
          <w:sz w:val="20"/>
          <w:szCs w:val="20"/>
          <w:color w:val="auto"/>
        </w:rPr>
      </w:pPr>
      <w:r>
        <w:rPr>
          <w:rFonts w:ascii="Arial" w:cs="Arial" w:eastAsia="Arial" w:hAnsi="Arial"/>
          <w:sz w:val="18"/>
          <w:szCs w:val="18"/>
          <w:color w:val="auto"/>
        </w:rPr>
        <w:t>The Company evaluated events after December 31, 2022, and through the date the financial statements were issued, and determined any events or transactions occurring during this period that would require recognition or disclosure are appropriately addressed in these financial statements.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left="60" w:right="199" w:firstLine="401"/>
        <w:spacing w:after="0" w:line="263" w:lineRule="auto"/>
        <w:rPr>
          <w:sz w:val="20"/>
          <w:szCs w:val="20"/>
          <w:color w:val="auto"/>
        </w:rPr>
      </w:pPr>
      <w:r>
        <w:rPr>
          <w:rFonts w:ascii="Arial" w:cs="Arial" w:eastAsia="Arial" w:hAnsi="Arial"/>
          <w:sz w:val="18"/>
          <w:szCs w:val="18"/>
          <w:color w:val="auto"/>
        </w:rPr>
        <w:t>The Company sells products to its distributors and OEMs. The Company also recognizes revenue under licensing, patent, and royalty agreements with some customers. The following table presents the Company’s revenues disaggregated by sales channel (in thousands):</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36,479</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18,667</w:t>
            </w: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55,146</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Company’s revenues disaggregated by timing of recognition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2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0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2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0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20" w:type="dxa"/>
            <w:vAlign w:val="bottom"/>
            <w:vMerge w:val="restart"/>
          </w:tcPr>
          <w:p>
            <w:pPr>
              <w:jc w:val="right"/>
              <w:ind w:right="570"/>
              <w:spacing w:after="0"/>
              <w:rPr>
                <w:sz w:val="20"/>
                <w:szCs w:val="20"/>
                <w:color w:val="auto"/>
              </w:rPr>
            </w:pPr>
            <w:r>
              <w:rPr>
                <w:rFonts w:ascii="Arial" w:cs="Arial" w:eastAsia="Arial" w:hAnsi="Arial"/>
                <w:sz w:val="18"/>
                <w:szCs w:val="18"/>
                <w:color w:val="auto"/>
              </w:rPr>
              <w:t>55</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533"/>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43,931</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Licensing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3,326</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Patents</w:t>
            </w:r>
          </w:p>
        </w:tc>
        <w:tc>
          <w:tcPr>
            <w:tcW w:w="3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5,250</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09"/>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59,985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55,146</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In September 2021, the Company entered into an intellectual property monetization deal to sell five patents to a customer for a total contract value of $5.25 million. Two of the patents were assigned to the customer in September 2021, and the remaining three patents were assigned to the customer in October 2021. Control is transferred when the patents are assigned to the customer. As a result, all $5.25 million of patent revenue was recognized during the year ended December 31, 2021, related to the patent sales. There were no patent sales for the year ended December 31, 2022.</w:t>
      </w:r>
    </w:p>
    <w:p>
      <w:pPr>
        <w:spacing w:after="0" w:line="161" w:lineRule="exact"/>
        <w:rPr>
          <w:sz w:val="20"/>
          <w:szCs w:val="20"/>
          <w:color w:val="auto"/>
        </w:rPr>
      </w:pPr>
    </w:p>
    <w:p>
      <w:pPr>
        <w:ind w:left="60" w:right="239" w:firstLine="324"/>
        <w:spacing w:after="0" w:line="271" w:lineRule="auto"/>
        <w:rPr>
          <w:sz w:val="20"/>
          <w:szCs w:val="20"/>
          <w:color w:val="auto"/>
        </w:rPr>
      </w:pPr>
      <w:r>
        <w:rPr>
          <w:rFonts w:ascii="Arial" w:cs="Arial" w:eastAsia="Arial" w:hAnsi="Arial"/>
          <w:sz w:val="17"/>
          <w:szCs w:val="17"/>
          <w:color w:val="auto"/>
        </w:rPr>
        <w:t>The Company licenses its intellectual property and is entitled to consideration based on the customer’s sales. The Company makes estimates in instances when the customer reports sales on a lagged basis and actual information is not available timely. The estimates are based on historical trends in the customer’s activity and current market conditions. In the year ended December 31, 2022, the Company recognized $0.3 million of royalty revenue related to activity occurring in the year ended December 31, 2021. In the year ended December 31, 2021, the Company recognized $0.8 million of royalty revenue related to activity occurring in the year ended December 31, 2020. This is a change in estimate and is based on actual information received from the customer. The amounts are reported in licensing, royalty, patent and other revenue in the statements of income and comprehensive income.</w:t>
      </w:r>
    </w:p>
    <w:p>
      <w:pPr>
        <w:spacing w:after="0" w:line="178" w:lineRule="exact"/>
        <w:rPr>
          <w:sz w:val="20"/>
          <w:szCs w:val="20"/>
          <w:color w:val="auto"/>
        </w:rPr>
      </w:pPr>
    </w:p>
    <w:p>
      <w:pPr>
        <w:ind w:left="60" w:right="59" w:firstLine="401"/>
        <w:spacing w:after="0" w:line="259" w:lineRule="auto"/>
        <w:rPr>
          <w:sz w:val="20"/>
          <w:szCs w:val="20"/>
          <w:color w:val="auto"/>
        </w:rPr>
      </w:pPr>
      <w:r>
        <w:rPr>
          <w:rFonts w:ascii="Arial" w:cs="Arial" w:eastAsia="Arial" w:hAnsi="Arial"/>
          <w:sz w:val="18"/>
          <w:szCs w:val="18"/>
          <w:color w:val="auto"/>
        </w:rPr>
        <w:t>The Company recognizes revenue in three geographic regions: Asia-Pacific (APAC); North America; and Europe, Middle East and Africa (EMEA). We recognize revenue by geography based on the region in which our products are sold, and not to where the end products in which they are assembled are shipped. Our revenue by region for the periods indicated was as follows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20" w:type="dxa"/>
            <w:vAlign w:val="bottom"/>
            <w:gridSpan w:val="9"/>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w w:val="96"/>
              </w:rPr>
              <w:t>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35,631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North America</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14,533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15,813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9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94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59,985</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4. Balance Sheet Components</w:t>
            </w: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Inventory</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60" w:type="dxa"/>
            <w:vAlign w:val="bottom"/>
            <w:gridSpan w:val="2"/>
          </w:tcPr>
          <w:p>
            <w:pPr>
              <w:ind w:left="420"/>
              <w:spacing w:after="0"/>
              <w:rPr>
                <w:sz w:val="20"/>
                <w:szCs w:val="20"/>
                <w:color w:val="auto"/>
              </w:rPr>
            </w:pPr>
            <w:r>
              <w:rPr>
                <w:rFonts w:ascii="Arial" w:cs="Arial" w:eastAsia="Arial" w:hAnsi="Arial"/>
                <w:sz w:val="18"/>
                <w:szCs w:val="18"/>
                <w:color w:val="auto"/>
                <w:w w:val="94"/>
              </w:rPr>
              <w:t>Inventory consisted of the following (in thousands):</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Work-in-process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8"/>
              </w:rPr>
              <w:t>4,746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4,620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1,271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Total inventory</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6,683</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40" w:type="dxa"/>
            <w:vAlign w:val="bottom"/>
            <w:vMerge w:val="restart"/>
          </w:tcPr>
          <w:p>
            <w:pPr>
              <w:jc w:val="right"/>
              <w:ind w:right="57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392"/>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04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12,608</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Computer and network equipment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Software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929</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09"/>
        </w:trPr>
        <w:tc>
          <w:tcPr>
            <w:tcW w:w="4040" w:type="dxa"/>
            <w:vAlign w:val="bottom"/>
          </w:tcPr>
          <w:p>
            <w:pPr>
              <w:ind w:left="220"/>
              <w:spacing w:after="0"/>
              <w:rPr>
                <w:sz w:val="20"/>
                <w:szCs w:val="20"/>
                <w:color w:val="auto"/>
              </w:rPr>
            </w:pPr>
            <w:r>
              <w:rPr>
                <w:rFonts w:ascii="Arial" w:cs="Arial" w:eastAsia="Arial" w:hAnsi="Arial"/>
                <w:sz w:val="18"/>
                <w:szCs w:val="18"/>
                <w:color w:val="auto"/>
              </w:rPr>
              <w:t>Total property and equipment, gross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16,176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(15,203)</w:t>
            </w:r>
          </w:p>
        </w:tc>
      </w:tr>
      <w:tr>
        <w:trPr>
          <w:trHeight w:val="209"/>
        </w:trPr>
        <w:tc>
          <w:tcPr>
            <w:tcW w:w="404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1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r>
      <w:tr>
        <w:trPr>
          <w:trHeight w:val="20"/>
        </w:trPr>
        <w:tc>
          <w:tcPr>
            <w:tcW w:w="4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59" w:firstLine="401"/>
        <w:spacing w:after="0" w:line="277" w:lineRule="auto"/>
        <w:rPr>
          <w:sz w:val="20"/>
          <w:szCs w:val="20"/>
          <w:color w:val="auto"/>
        </w:rPr>
      </w:pPr>
      <w:r>
        <w:rPr>
          <w:rFonts w:ascii="Arial" w:cs="Arial" w:eastAsia="Arial" w:hAnsi="Arial"/>
          <w:sz w:val="18"/>
          <w:szCs w:val="18"/>
          <w:color w:val="auto"/>
        </w:rPr>
        <w:t>Depreciation and amortization expense during the years ended December 31, 2022 and 2021 was $1.0 million and $1.5 million,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20" w:type="dxa"/>
            <w:vAlign w:val="bottom"/>
          </w:tcPr>
          <w:p>
            <w:pPr>
              <w:spacing w:after="0"/>
              <w:rPr>
                <w:sz w:val="13"/>
                <w:szCs w:val="13"/>
                <w:color w:val="auto"/>
              </w:rPr>
            </w:pPr>
          </w:p>
        </w:tc>
        <w:tc>
          <w:tcPr>
            <w:tcW w:w="5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Payroll-related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10"/>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During the year ended December 31, 2021, the Company executed contractual arrangements with a customer for the development of a RAD-Hard product, consisting of a technology license, design license agreement and development subcontract (RAD-Hard 1). The Company does not share in the rights to future revenues or royalties. The total arrangements are for $6.5 million in consideration.</w:t>
      </w:r>
    </w:p>
    <w:p>
      <w:pPr>
        <w:spacing w:after="0" w:line="187"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 The total transaction price of $6.5 million was allocated to the single performance obligation.</w:t>
      </w:r>
    </w:p>
    <w:p>
      <w:pPr>
        <w:spacing w:after="0" w:line="139"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The Company recognizes revenue related to the performance obligations over time using the input method based on costs incurred to date relative to the total expected costs of the contract and began recognizing revenue in the second quarter of 2021 over the contract period. This method depicts performance under the contract and requires the Company to make estimates about the future costs expected to be incurred to perform under the contact, including labor and material costs.</w:t>
      </w:r>
    </w:p>
    <w:p>
      <w:pPr>
        <w:spacing w:after="0" w:line="188"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As of December 31, 2022, the Company has billed $5.8 million for the performance under the RAD-Hard 1 contractual agreements. Under the input method of recognition, the Company has recognized $1.7 million in revenue for the year ending December 31, 2022, and $5.0 million in revenue since inception of the contractual agreements. As a result, the Company has recorded $0.8 million in deferred revenue as of December 31, 2022. The Company expects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recognize the remaining $1.5 million of the transaction price as services are performed throughout the contractual period and performance is expected to be complete in the year ended December 31, 2024.</w:t>
      </w:r>
    </w:p>
    <w:p>
      <w:pPr>
        <w:spacing w:after="0" w:line="170"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During the year ended December 31, 2022, the Company executed a contractual arrangement with a customer for the development of a strategic radiation hardened field programmable gate array product, consisting of a technology license to provide design and development services under the contractual agreement (RAD-Hard 2). The Company does not share in the rights to future revenues or royalties. The total arrangement is for $6.5 million in consideration and services are expected to be performed through the year ended December 31, 2024, subject to certain termination and extension provisions defined in the arrangement. The accounting for this contract follows the same revenue recognition as the RAD-Hard 1 contractual agreements. For the year ended December 31, 2022, the Company has billed $0.3 million for the performance under the RAD-Hard 2 contractual agreement. Under the input method of recognition, the Company has recognized $0.3 million in revenue for the year ending December 31, 2022. As a result, the Company does not have a deferred revenue balance as of December 31, 2022 related to the RAD-Hard 2 contractual agreement.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299" w:firstLine="401"/>
        <w:spacing w:after="0" w:line="263" w:lineRule="auto"/>
        <w:rPr>
          <w:sz w:val="20"/>
          <w:szCs w:val="20"/>
          <w:color w:val="auto"/>
        </w:rPr>
      </w:pPr>
      <w:r>
        <w:rPr>
          <w:rFonts w:ascii="Arial" w:cs="Arial" w:eastAsia="Arial" w:hAnsi="Arial"/>
          <w:sz w:val="18"/>
          <w:szCs w:val="18"/>
          <w:color w:val="auto"/>
        </w:rPr>
        <w:t>Operating leases consist of fabrication, lab, and office space expiring at various dates through 2029. Finance leases relate to a server lease expiring in January 2025. The Company’s lease agreements do not contain any material residual value guarantees or material restrictive covenants.</w:t>
      </w:r>
    </w:p>
    <w:p>
      <w:pPr>
        <w:spacing w:after="0" w:line="184" w:lineRule="exact"/>
        <w:rPr>
          <w:sz w:val="20"/>
          <w:szCs w:val="20"/>
          <w:color w:val="auto"/>
        </w:rPr>
      </w:pPr>
    </w:p>
    <w:p>
      <w:pPr>
        <w:ind w:left="60" w:right="239" w:firstLine="401"/>
        <w:spacing w:after="0" w:line="277" w:lineRule="auto"/>
        <w:rPr>
          <w:sz w:val="20"/>
          <w:szCs w:val="20"/>
          <w:color w:val="auto"/>
        </w:rPr>
      </w:pPr>
      <w:r>
        <w:rPr>
          <w:rFonts w:ascii="Arial" w:cs="Arial" w:eastAsia="Arial" w:hAnsi="Arial"/>
          <w:sz w:val="18"/>
          <w:szCs w:val="18"/>
          <w:color w:val="auto"/>
        </w:rPr>
        <w:t>The undiscounted future non-cancellable lease payments under the Company’s operating and finance leases were as follows (in thousands):</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2022</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192"/>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2024</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1,411</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2026</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1,431</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lease payments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imputed interest</w:t>
            </w:r>
          </w:p>
        </w:tc>
        <w:tc>
          <w:tcPr>
            <w:tcW w:w="1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lease liabilities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current portion of lease liabilities</w:t>
            </w:r>
          </w:p>
        </w:tc>
        <w:tc>
          <w:tcPr>
            <w:tcW w:w="1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lease liabilities, net of current portion</w:t>
            </w:r>
          </w:p>
        </w:tc>
        <w:tc>
          <w:tcPr>
            <w:tcW w:w="1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information related to the Company's operating lease liabilities was as follows:</w:t>
      </w:r>
    </w:p>
    <w:p>
      <w:pPr>
        <w:spacing w:after="0" w:line="271"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6350</wp:posOffset>
            </wp:positionV>
            <wp:extent cx="12941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360"/>
        <w:spacing w:after="0"/>
        <w:tabs>
          <w:tab w:leader="none" w:pos="74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tbl>
      <w:tblPr>
        <w:tblLayout w:type="fixed"/>
        <w:tblInd w:w="9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9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5.35</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1.08</w:t>
            </w: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960" w:type="dxa"/>
            <w:vAlign w:val="bottom"/>
          </w:tcPr>
          <w:p>
            <w:pPr>
              <w:ind w:left="420"/>
              <w:spacing w:after="0"/>
              <w:rPr>
                <w:sz w:val="20"/>
                <w:szCs w:val="20"/>
                <w:color w:val="auto"/>
              </w:rPr>
            </w:pPr>
            <w:r>
              <w:rPr>
                <w:rFonts w:ascii="Arial" w:cs="Arial" w:eastAsia="Arial" w:hAnsi="Arial"/>
                <w:sz w:val="18"/>
                <w:szCs w:val="18"/>
                <w:color w:val="auto"/>
                <w:w w:val="92"/>
              </w:rPr>
              <w:t>4.50 %</w:t>
            </w:r>
          </w:p>
        </w:tc>
        <w:tc>
          <w:tcPr>
            <w:tcW w:w="14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Arial" w:cs="Arial" w:eastAsia="Arial" w:hAnsi="Arial"/>
                <w:sz w:val="18"/>
                <w:szCs w:val="18"/>
                <w:color w:val="auto"/>
                <w:w w:val="89"/>
              </w:rPr>
              <w:t>6.00 %</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information related to the Company’s finance lease liabilities was as follows:</w:t>
      </w:r>
    </w:p>
    <w:p>
      <w:pPr>
        <w:spacing w:after="0" w:line="257"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6350</wp:posOffset>
            </wp:positionV>
            <wp:extent cx="12941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360"/>
        <w:spacing w:after="0"/>
        <w:tabs>
          <w:tab w:leader="none" w:pos="74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9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2.09</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960" w:type="dxa"/>
            <w:vAlign w:val="bottom"/>
          </w:tcPr>
          <w:p>
            <w:pPr>
              <w:ind w:left="420"/>
              <w:spacing w:after="0"/>
              <w:rPr>
                <w:sz w:val="20"/>
                <w:szCs w:val="20"/>
                <w:color w:val="auto"/>
              </w:rPr>
            </w:pPr>
            <w:r>
              <w:rPr>
                <w:rFonts w:ascii="Arial" w:cs="Arial" w:eastAsia="Arial" w:hAnsi="Arial"/>
                <w:sz w:val="18"/>
                <w:szCs w:val="18"/>
                <w:color w:val="auto"/>
                <w:w w:val="92"/>
              </w:rPr>
              <w:t>4.50 %</w:t>
            </w:r>
          </w:p>
        </w:tc>
        <w:tc>
          <w:tcPr>
            <w:tcW w:w="14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8"/>
                <w:szCs w:val="18"/>
                <w:color w:val="auto"/>
                <w:w w:val="97"/>
              </w:rPr>
              <w:t>— %</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 costs for the Company’s operating leases were $1.4 million and $1.5 million for the years ended December 31,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2022 and 2021, respectively. Lease costs for the Company’s finance lease were immaterial for the years ended December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 2022 and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60" w:right="299" w:firstLine="401"/>
        <w:spacing w:after="0" w:line="263" w:lineRule="auto"/>
        <w:rPr>
          <w:sz w:val="20"/>
          <w:szCs w:val="20"/>
          <w:color w:val="auto"/>
        </w:rPr>
      </w:pPr>
      <w:r>
        <w:rPr>
          <w:rFonts w:ascii="Arial" w:cs="Arial" w:eastAsia="Arial" w:hAnsi="Arial"/>
          <w:sz w:val="18"/>
          <w:szCs w:val="18"/>
          <w:color w:val="auto"/>
        </w:rPr>
        <w:t>From time to time, the Company may become involved in legal proceedings arising from the ordinary course of its business. Management is currently not aware of any matters that it expects will have a material adverse effect on the financial position, results of operations or cash flows of the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left="60" w:right="139" w:firstLine="401"/>
        <w:spacing w:after="0" w:line="269"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In May 2017, we executed the 2017 Credit Facility with SVB for a $12.0 million term loan, which we subsequently amended in January 2019 and June 2019. In August 2019, the 2019 Credit Facility amended and restated the 2017 Credit Facility, providing for a Line of Credit and the 2019 Term Loan with SVB to refinance in full the outstanding principal balance of $8.0 million under the 2017 Credit Facility.</w:t>
      </w:r>
    </w:p>
    <w:p>
      <w:pPr>
        <w:spacing w:after="0" w:line="187" w:lineRule="exact"/>
        <w:rPr>
          <w:sz w:val="20"/>
          <w:szCs w:val="20"/>
          <w:color w:val="auto"/>
        </w:rPr>
      </w:pPr>
    </w:p>
    <w:p>
      <w:pPr>
        <w:jc w:val="both"/>
        <w:ind w:left="60" w:right="99" w:firstLine="401"/>
        <w:spacing w:after="0" w:line="259" w:lineRule="auto"/>
        <w:rPr>
          <w:sz w:val="20"/>
          <w:szCs w:val="20"/>
          <w:color w:val="auto"/>
        </w:rPr>
      </w:pPr>
      <w:r>
        <w:rPr>
          <w:rFonts w:ascii="Arial" w:cs="Arial" w:eastAsia="Arial" w:hAnsi="Arial"/>
          <w:sz w:val="18"/>
          <w:szCs w:val="18"/>
          <w:color w:val="auto"/>
        </w:rPr>
        <w:t>In July 2020, we executed the first amendment to the 2019 Credit Facility with SVB. The amendment, among other things, extended the initial 12-month interest-only period for the term loan to a 16-month interest-only period and lowered the floor interest rate. The floor interest rates for 2019 Term Loan and the Line of Credit Facility were reduced from 4.75% and 6.75% to 3.75% and 4.75%, respectively.</w:t>
      </w:r>
    </w:p>
    <w:p>
      <w:pPr>
        <w:spacing w:after="0" w:line="187" w:lineRule="exact"/>
        <w:rPr>
          <w:sz w:val="20"/>
          <w:szCs w:val="20"/>
          <w:color w:val="auto"/>
        </w:rPr>
      </w:pPr>
    </w:p>
    <w:p>
      <w:pPr>
        <w:ind w:left="60" w:right="239" w:firstLine="324"/>
        <w:spacing w:after="0" w:line="287" w:lineRule="auto"/>
        <w:rPr>
          <w:sz w:val="20"/>
          <w:szCs w:val="20"/>
          <w:color w:val="auto"/>
        </w:rPr>
      </w:pPr>
      <w:r>
        <w:rPr>
          <w:rFonts w:ascii="Arial" w:cs="Arial" w:eastAsia="Arial" w:hAnsi="Arial"/>
          <w:sz w:val="16"/>
          <w:szCs w:val="16"/>
          <w:color w:val="auto"/>
        </w:rPr>
        <w:t>The amended Line of Credit allows for a maximum draw of $5.0 million, subject to a formula borrowing base, has a two-year term and bears interest at a floating rate equal to the WSJ prime rate plus 1.5%, per annum, subject to a floor of 4.75%. As of December 31, 2022, the interest rate was 9.00%. The Line of Credit required a commitment fee of 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 scheduled maturity date, and an unused facility fee equal to 0.125% per annum of the average unused portion of the Line of Credit, which is expensed as incurred. Currently, $4.0 million remains available under the Line of Credit, subject to borrowing base availability. As of December 31, 2022, the effective interest rate under the Line of Credit was 9.36% and the outstanding balance was $1.0 million. The Line of Credit was set to mature on August 5, 2022. The third amendment entered into on July 22, 2022, extended the maturity date of the Line of Credit to August 5, 2023.</w:t>
      </w:r>
    </w:p>
    <w:p>
      <w:pPr>
        <w:spacing w:after="0" w:line="172" w:lineRule="exact"/>
        <w:rPr>
          <w:sz w:val="20"/>
          <w:szCs w:val="20"/>
          <w:color w:val="auto"/>
        </w:rPr>
      </w:pPr>
    </w:p>
    <w:p>
      <w:pPr>
        <w:ind w:left="60" w:right="119" w:firstLine="401"/>
        <w:spacing w:after="0" w:line="269" w:lineRule="auto"/>
        <w:rPr>
          <w:sz w:val="20"/>
          <w:szCs w:val="20"/>
          <w:color w:val="auto"/>
        </w:rPr>
      </w:pPr>
      <w:r>
        <w:rPr>
          <w:rFonts w:ascii="Arial" w:cs="Arial" w:eastAsia="Arial" w:hAnsi="Arial"/>
          <w:sz w:val="17"/>
          <w:szCs w:val="17"/>
          <w:color w:val="auto"/>
        </w:rPr>
        <w:t>The amended 2019 Term Loan provides for a $6.0 million term loan. The amended 2019 Term Loan has a term of 46 months, and a 16-month interest-only period followed by 30 months of equal principal payments of $200,000 per month, plus accrued interest. The 2019 Term Loan bears interest at a floating rate equal to the WSJ prime rate minus 0.75%, subject to a floor of 3.75%. As of December 31, 2022, the interest rate was 6.75%. A final payment of 7% 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 of the total commitment, which is due only if the 2019 Term Loan is prepaid prior to the scheduled maturity date for any reason. As of December 31, 2022, the effective interest rate under the 2019 Term Loan was 6.94% and the outstanding balance was $1.6 million. The 2019 Term Loan matures on June 1, 2023.</w:t>
      </w:r>
    </w:p>
    <w:p>
      <w:pPr>
        <w:spacing w:after="0" w:line="185"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color w:val="auto"/>
        </w:rPr>
        <w:t>Collateral for the 2019 Credit Facility includes all of our assets except for intellectual property. We are required to comply with certain covenants under the 2019 Credit Facility, including requirements to maintain a minimum cash balance and availability under the Line of Credit, and restrictions on certain actions without the consent of the lender,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such as limitations on our ability to engage in mergers or acquisitions, sell assets, incur indebtedness, or grant liens or negative pledges on our assets, make loans or make other investments. Under these covenants, we are prohibited from paying cash dividends with respect to our capital stock. We were in compliance with all covenants at December 31, 2022.</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carrying value of the Company’s 2019 Credit Facility at December 31, 2022, was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4"/>
                <w:szCs w:val="14"/>
                <w:b w:val="1"/>
                <w:bCs w:val="1"/>
                <w:color w:val="auto"/>
                <w:w w:val="98"/>
              </w:rPr>
              <w:t>Current</w:t>
            </w:r>
          </w:p>
        </w:tc>
        <w:tc>
          <w:tcPr>
            <w:tcW w:w="1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7"/>
              </w:rPr>
              <w:t>Portion</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Debt</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carrying value of the Company’s 2019 Credit Facility at December 31, 2021, was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4"/>
                <w:szCs w:val="14"/>
                <w:b w:val="1"/>
                <w:bCs w:val="1"/>
                <w:color w:val="auto"/>
              </w:rPr>
              <w:t>Current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Long-Term</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Portion</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Debt</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Unamortized debt discounts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19" w:firstLine="401"/>
        <w:spacing w:after="0" w:line="277" w:lineRule="auto"/>
        <w:rPr>
          <w:sz w:val="20"/>
          <w:szCs w:val="20"/>
          <w:color w:val="auto"/>
        </w:rPr>
      </w:pPr>
      <w:r>
        <w:rPr>
          <w:rFonts w:ascii="Arial" w:cs="Arial" w:eastAsia="Arial" w:hAnsi="Arial"/>
          <w:sz w:val="18"/>
          <w:szCs w:val="18"/>
          <w:color w:val="auto"/>
        </w:rPr>
        <w:t>The table below includes the principal repayments due under the 2019 Credit Facility as of December 31, 2022 (in thousands):</w:t>
      </w:r>
    </w:p>
    <w:p>
      <w:pPr>
        <w:spacing w:after="0" w:line="31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Principal Repayment as</w:t>
            </w:r>
          </w:p>
        </w:tc>
      </w:tr>
      <w:tr>
        <w:trPr>
          <w:trHeight w:val="171"/>
        </w:trPr>
        <w:tc>
          <w:tcPr>
            <w:tcW w:w="20" w:type="dxa"/>
            <w:vAlign w:val="bottom"/>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of December 31, 2022</w:t>
            </w: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Total principal repayments</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0" w:right="259" w:firstLine="401"/>
        <w:spacing w:after="0" w:line="277" w:lineRule="auto"/>
        <w:rPr>
          <w:sz w:val="20"/>
          <w:szCs w:val="20"/>
          <w:color w:val="auto"/>
        </w:rPr>
      </w:pPr>
      <w:r>
        <w:rPr>
          <w:rFonts w:ascii="Arial" w:cs="Arial" w:eastAsia="Arial" w:hAnsi="Arial"/>
          <w:sz w:val="18"/>
          <w:szCs w:val="18"/>
          <w:color w:val="auto"/>
        </w:rPr>
        <w:t>Common stockholders are entitled to dividends if and when declared by the board of directors. As of December 31, 2022, no dividends on common stock had been declared by the board of directors.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Reserved Shares of Common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reserved shares of common stock for future issuance as follows:</w:t>
      </w:r>
    </w:p>
    <w:p>
      <w:pPr>
        <w:spacing w:after="0" w:line="230"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1,994,726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1,783,298</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Shares available for future option grants</w:t>
            </w:r>
          </w:p>
        </w:tc>
        <w:tc>
          <w:tcPr>
            <w:tcW w:w="840" w:type="dxa"/>
            <w:vAlign w:val="bottom"/>
          </w:tcPr>
          <w:p>
            <w:pPr>
              <w:jc w:val="right"/>
              <w:spacing w:after="0"/>
              <w:rPr>
                <w:sz w:val="20"/>
                <w:szCs w:val="20"/>
                <w:color w:val="auto"/>
              </w:rPr>
            </w:pPr>
            <w:r>
              <w:rPr>
                <w:rFonts w:ascii="Arial" w:cs="Arial" w:eastAsia="Arial" w:hAnsi="Arial"/>
                <w:sz w:val="18"/>
                <w:szCs w:val="18"/>
                <w:color w:val="auto"/>
              </w:rPr>
              <w:t>689,472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1,038,956</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RSUs subject to future vesting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656,646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384,307</w:t>
            </w: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warrants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18,461</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27,836</w:t>
            </w: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3,359,305</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3,234,397</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0" w:right="99" w:firstLine="401"/>
        <w:spacing w:after="0" w:line="286" w:lineRule="auto"/>
        <w:rPr>
          <w:sz w:val="20"/>
          <w:szCs w:val="20"/>
          <w:color w:val="auto"/>
        </w:rPr>
      </w:pPr>
      <w:r>
        <w:rPr>
          <w:rFonts w:ascii="Arial" w:cs="Arial" w:eastAsia="Arial" w:hAnsi="Arial"/>
          <w:sz w:val="17"/>
          <w:szCs w:val="17"/>
          <w:color w:val="auto"/>
        </w:rPr>
        <w:t>In connection with the Company’s prior credit facility with Ares Venture Finance entered into in June 2015, the Company issued Ares Venture Finance a warrant to purchase 18,461 shares of the Company’s common stock at an exercise price of $26.00 per share. The warrant can be exercised at any time and expires on June 5, 2025.</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Employee Incentive Plan</w:t>
      </w:r>
    </w:p>
    <w:p>
      <w:pPr>
        <w:spacing w:after="0" w:line="225" w:lineRule="exact"/>
        <w:rPr>
          <w:sz w:val="20"/>
          <w:szCs w:val="20"/>
          <w:color w:val="auto"/>
        </w:rPr>
      </w:pPr>
    </w:p>
    <w:p>
      <w:pPr>
        <w:ind w:left="60" w:right="179" w:firstLine="401"/>
        <w:spacing w:after="0" w:line="259" w:lineRule="auto"/>
        <w:rPr>
          <w:sz w:val="20"/>
          <w:szCs w:val="20"/>
          <w:color w:val="auto"/>
        </w:rPr>
      </w:pPr>
      <w:r>
        <w:rPr>
          <w:rFonts w:ascii="Arial" w:cs="Arial" w:eastAsia="Arial" w:hAnsi="Arial"/>
          <w:sz w:val="18"/>
          <w:szCs w:val="18"/>
          <w:color w:val="auto"/>
        </w:rPr>
        <w:t>The Company’s board of directors adopted the 2016 Equity Incentive Plan (the 2016 Plan) on April 25, 2016, which was subsequently approved on September 20, 2016 by the Company’s stockholders. The 2016 Plan became effective on October 7, 2016, the date the Company’s S-8 registration statement relating to the 2016 Plan was declared effective by the SEC.</w:t>
      </w:r>
    </w:p>
    <w:p>
      <w:pPr>
        <w:spacing w:after="0" w:line="187" w:lineRule="exact"/>
        <w:rPr>
          <w:sz w:val="20"/>
          <w:szCs w:val="20"/>
          <w:color w:val="auto"/>
        </w:rPr>
      </w:pPr>
    </w:p>
    <w:p>
      <w:pPr>
        <w:ind w:left="60" w:right="139" w:firstLine="401"/>
        <w:spacing w:after="0" w:line="279" w:lineRule="auto"/>
        <w:rPr>
          <w:sz w:val="20"/>
          <w:szCs w:val="20"/>
          <w:color w:val="auto"/>
        </w:rPr>
      </w:pPr>
      <w:r>
        <w:rPr>
          <w:rFonts w:ascii="Arial" w:cs="Arial" w:eastAsia="Arial" w:hAnsi="Arial"/>
          <w:sz w:val="17"/>
          <w:szCs w:val="17"/>
          <w:color w:val="auto"/>
        </w:rPr>
        <w:t>The Company’s 2016 Plan provides for the grant of incentive stock options, non-statutory stock options, stock appreciation rights, restricted stock awards, restricted stock unit awards, performance-based stock awards, and other forms of equity compensation to employees, directors, and consultants. In addition, the Company’s 2016 Plan provides for the grant of performance cash awards to employees, directors, and consultants.</w:t>
      </w:r>
    </w:p>
    <w:p>
      <w:pPr>
        <w:spacing w:after="0" w:line="171" w:lineRule="exact"/>
        <w:rPr>
          <w:sz w:val="20"/>
          <w:szCs w:val="20"/>
          <w:color w:val="auto"/>
        </w:rPr>
      </w:pPr>
    </w:p>
    <w:p>
      <w:pPr>
        <w:ind w:left="60" w:right="159" w:firstLine="401"/>
        <w:spacing w:after="0" w:line="271" w:lineRule="auto"/>
        <w:rPr>
          <w:sz w:val="20"/>
          <w:szCs w:val="20"/>
          <w:color w:val="auto"/>
        </w:rPr>
      </w:pPr>
      <w:r>
        <w:rPr>
          <w:rFonts w:ascii="Arial" w:cs="Arial" w:eastAsia="Arial" w:hAnsi="Arial"/>
          <w:sz w:val="17"/>
          <w:szCs w:val="17"/>
          <w:color w:val="auto"/>
        </w:rPr>
        <w:t>The maximum number of shares of common stock that may be issued under the Company’s 2016 Plan was initially 500,000 subject to an automatic increase on January 1 of each year, beginning on January 1, 2017, and continuing through and including January 1, 2026, by 3% of the total number of shares of capital stock outstanding on December 31 of the preceding calendar year, or a lesser number of shares determined by the Company’s board of directors. On May 20, 2021, the Company’s stockholders approved an amendment to the 2016 Plan to increase the total number of authorized shares of common stock available for grant thereunder by an additional 550,000 shares. At December 31, 2022, of the 3,261,836 shares of common stock reserved and available for grant under the 2016 Plan, 689,472 shares of common stock remain available for grant under the 2016 Plan.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2008 Employee Incentive Plan</w:t>
      </w:r>
    </w:p>
    <w:p>
      <w:pPr>
        <w:spacing w:after="0" w:line="225" w:lineRule="exact"/>
        <w:rPr>
          <w:sz w:val="20"/>
          <w:szCs w:val="20"/>
          <w:color w:val="auto"/>
        </w:rPr>
      </w:pPr>
    </w:p>
    <w:p>
      <w:pPr>
        <w:ind w:left="60" w:right="859" w:firstLine="401"/>
        <w:spacing w:after="0" w:line="277" w:lineRule="auto"/>
        <w:rPr>
          <w:sz w:val="20"/>
          <w:szCs w:val="20"/>
          <w:color w:val="auto"/>
        </w:rPr>
      </w:pPr>
      <w:r>
        <w:rPr>
          <w:rFonts w:ascii="Arial" w:cs="Arial" w:eastAsia="Arial" w:hAnsi="Arial"/>
          <w:sz w:val="18"/>
          <w:szCs w:val="18"/>
          <w:color w:val="auto"/>
        </w:rPr>
        <w:t>The 2008 Equity Incentive Plan (the 2008 Plan) provided for the issuance of incentive stock options (ISO), nonqualified stock options, and other stock compensation awards.</w:t>
      </w:r>
    </w:p>
    <w:p>
      <w:pPr>
        <w:spacing w:after="0" w:line="170" w:lineRule="exact"/>
        <w:rPr>
          <w:sz w:val="20"/>
          <w:szCs w:val="20"/>
          <w:color w:val="auto"/>
        </w:rPr>
      </w:pPr>
    </w:p>
    <w:p>
      <w:pPr>
        <w:ind w:left="60" w:right="99" w:firstLine="401"/>
        <w:spacing w:after="0" w:line="275" w:lineRule="auto"/>
        <w:rPr>
          <w:sz w:val="20"/>
          <w:szCs w:val="20"/>
          <w:color w:val="auto"/>
        </w:rPr>
      </w:pPr>
      <w:r>
        <w:rPr>
          <w:rFonts w:ascii="Arial" w:cs="Arial" w:eastAsia="Arial" w:hAnsi="Arial"/>
          <w:sz w:val="17"/>
          <w:szCs w:val="17"/>
          <w:color w:val="auto"/>
        </w:rPr>
        <w:t>Due to the adoption of the 2016 Plan, no further grants will be made under the Company’s 2008 Plan. However, any outstanding stock awards granted under the 2008 Plan will remain outstanding, subject to the terms of the Company’s 2008 Plan and the applicable stock award agreements, until such outstanding stock awards that are stock options are exercised or until they terminate or expire by their terms, or until such stock awards are fully settled, terminated, or forfeited. At December 31, 2022, 51,695 options under the 2008 Plan remained outstanding.</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stock option and award activity for all grants under the 2008 Plan and 2016 Plan:</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Options and</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9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0"/>
                <w:szCs w:val="10"/>
                <w:color w:val="auto"/>
              </w:rPr>
            </w:pPr>
          </w:p>
        </w:tc>
        <w:tc>
          <w:tcPr>
            <w:tcW w:w="80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Exercise</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000" w:type="dxa"/>
            <w:vAlign w:val="bottom"/>
            <w:gridSpan w:val="2"/>
            <w:vMerge w:val="continue"/>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Price Per</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Grant</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Life (years)</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1,038,956</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1,783,298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10,891</w:t>
            </w: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Authorized</w:t>
            </w:r>
          </w:p>
        </w:tc>
        <w:tc>
          <w:tcPr>
            <w:tcW w:w="860" w:type="dxa"/>
            <w:vAlign w:val="bottom"/>
          </w:tcPr>
          <w:p>
            <w:pPr>
              <w:jc w:val="right"/>
              <w:spacing w:after="0"/>
              <w:rPr>
                <w:sz w:val="20"/>
                <w:szCs w:val="20"/>
                <w:color w:val="auto"/>
              </w:rPr>
            </w:pPr>
            <w:r>
              <w:rPr>
                <w:rFonts w:ascii="Arial" w:cs="Arial" w:eastAsia="Arial" w:hAnsi="Arial"/>
                <w:sz w:val="18"/>
                <w:szCs w:val="18"/>
                <w:color w:val="auto"/>
              </w:rPr>
              <w:t>595,753</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granted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(620,218)</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RSUs cancelled/forfeited</w:t>
            </w:r>
          </w:p>
        </w:tc>
        <w:tc>
          <w:tcPr>
            <w:tcW w:w="860" w:type="dxa"/>
            <w:vAlign w:val="bottom"/>
          </w:tcPr>
          <w:p>
            <w:pPr>
              <w:jc w:val="right"/>
              <w:spacing w:after="0"/>
              <w:rPr>
                <w:sz w:val="20"/>
                <w:szCs w:val="20"/>
                <w:color w:val="auto"/>
              </w:rPr>
            </w:pPr>
            <w:r>
              <w:rPr>
                <w:rFonts w:ascii="Arial" w:cs="Arial" w:eastAsia="Arial" w:hAnsi="Arial"/>
                <w:sz w:val="18"/>
                <w:szCs w:val="18"/>
                <w:color w:val="auto"/>
              </w:rPr>
              <w:t>25,312</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granted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(489,244)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Options exercised</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(116,040)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cancelled/forfeited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138,913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(161,776)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Balance—December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689,472</w:t>
            </w:r>
          </w:p>
        </w:tc>
        <w:tc>
          <w:tcPr>
            <w:tcW w:w="14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1,994,726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exercisable—December 31, 2022</w:t>
            </w: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919,508</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5.38</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79" w:firstLine="401"/>
        <w:spacing w:after="0" w:line="277" w:lineRule="auto"/>
        <w:rPr>
          <w:sz w:val="20"/>
          <w:szCs w:val="20"/>
          <w:color w:val="auto"/>
        </w:rPr>
      </w:pPr>
      <w:r>
        <w:rPr>
          <w:rFonts w:ascii="Arial" w:cs="Arial" w:eastAsia="Arial" w:hAnsi="Arial"/>
          <w:sz w:val="18"/>
          <w:szCs w:val="18"/>
          <w:color w:val="auto"/>
        </w:rPr>
        <w:t>During the years ended December 31, 2022 and 2021, the Company granted options with a weighted-average grant date fair value of $5.40 and $3.60 per share,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39" w:firstLine="401"/>
        <w:spacing w:after="0" w:line="277" w:lineRule="auto"/>
        <w:rPr>
          <w:sz w:val="20"/>
          <w:szCs w:val="20"/>
          <w:color w:val="auto"/>
        </w:rPr>
      </w:pPr>
      <w:r>
        <w:rPr>
          <w:rFonts w:ascii="Arial" w:cs="Arial" w:eastAsia="Arial" w:hAnsi="Arial"/>
          <w:sz w:val="18"/>
          <w:szCs w:val="18"/>
          <w:color w:val="auto"/>
        </w:rPr>
        <w:t>The total fair value of options vested during the year was $1.3 million and $0.9 million, for the years ended December 31, 2022, and 2021, respectively.</w:t>
      </w:r>
    </w:p>
    <w:p>
      <w:pPr>
        <w:spacing w:after="0" w:line="170" w:lineRule="exact"/>
        <w:rPr>
          <w:sz w:val="20"/>
          <w:szCs w:val="20"/>
          <w:color w:val="auto"/>
        </w:rPr>
      </w:pPr>
    </w:p>
    <w:p>
      <w:pPr>
        <w:jc w:val="both"/>
        <w:ind w:left="60" w:right="359" w:firstLine="401"/>
        <w:spacing w:after="0" w:line="263" w:lineRule="auto"/>
        <w:rPr>
          <w:sz w:val="20"/>
          <w:szCs w:val="20"/>
          <w:color w:val="auto"/>
        </w:rPr>
      </w:pPr>
      <w:r>
        <w:rPr>
          <w:rFonts w:ascii="Arial" w:cs="Arial" w:eastAsia="Arial" w:hAnsi="Arial"/>
          <w:sz w:val="18"/>
          <w:szCs w:val="18"/>
          <w:color w:val="auto"/>
        </w:rPr>
        <w:t>As of December 31, 2022, there was $3.8 million of total unrecognized compensation expense related to unvested options which is expected to be recognized over a weighted-average period of 2.4 years. Compensation cost capitalized within inventory at December 31, 2022 and 2021 was not material.</w:t>
      </w:r>
    </w:p>
    <w:p>
      <w:pPr>
        <w:spacing w:after="0" w:line="184" w:lineRule="exact"/>
        <w:rPr>
          <w:sz w:val="20"/>
          <w:szCs w:val="20"/>
          <w:color w:val="auto"/>
        </w:rPr>
      </w:pPr>
    </w:p>
    <w:p>
      <w:pPr>
        <w:ind w:left="60" w:right="179" w:firstLine="401"/>
        <w:spacing w:after="0" w:line="263" w:lineRule="auto"/>
        <w:rPr>
          <w:sz w:val="20"/>
          <w:szCs w:val="20"/>
          <w:color w:val="auto"/>
        </w:rPr>
      </w:pPr>
      <w:r>
        <w:rPr>
          <w:rFonts w:ascii="Arial" w:cs="Arial" w:eastAsia="Arial" w:hAnsi="Arial"/>
          <w:sz w:val="18"/>
          <w:szCs w:val="18"/>
          <w:color w:val="auto"/>
        </w:rPr>
        <w:t>The Company estimated the fair value of each option grant using the Black-Scholes option-pricing model. The fair value of employee stock options is being amortized on a straight-line basis over the requisite service period of the awards. The fair value of employee stock options was estimated using the assumptions below.</w:t>
      </w:r>
    </w:p>
    <w:p>
      <w:pPr>
        <w:spacing w:after="0" w:line="189"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Year Ended</w:t>
      </w:r>
    </w:p>
    <w:p>
      <w:pPr>
        <w:ind w:left="66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840" w:type="dxa"/>
        <w:tblCellMar>
          <w:top w:w="0" w:type="dxa"/>
          <w:left w:w="0" w:type="dxa"/>
          <w:bottom w:w="0" w:type="dxa"/>
          <w:right w:w="0" w:type="dxa"/>
        </w:tblCellMar>
      </w:tblPr>
      <w:tr>
        <w:trPr>
          <w:trHeight w:val="142"/>
        </w:trPr>
        <w:tc>
          <w:tcPr>
            <w:tcW w:w="5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73.7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- 74.1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72.6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jc w:val="right"/>
              <w:spacing w:after="0"/>
              <w:rPr>
                <w:sz w:val="20"/>
                <w:szCs w:val="20"/>
                <w:color w:val="auto"/>
              </w:rPr>
            </w:pPr>
            <w:r>
              <w:rPr>
                <w:rFonts w:ascii="Arial" w:cs="Arial" w:eastAsia="Arial" w:hAnsi="Arial"/>
                <w:sz w:val="18"/>
                <w:szCs w:val="18"/>
                <w:color w:val="auto"/>
                <w:w w:val="85"/>
              </w:rPr>
              <w:t>2.13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2"/>
              </w:rPr>
              <w:t>- 2.93 %</w:t>
            </w:r>
          </w:p>
        </w:tc>
        <w:tc>
          <w:tcPr>
            <w:tcW w:w="360" w:type="dxa"/>
            <w:vAlign w:val="bottom"/>
          </w:tcPr>
          <w:p>
            <w:pPr>
              <w:jc w:val="right"/>
              <w:spacing w:after="0"/>
              <w:rPr>
                <w:sz w:val="20"/>
                <w:szCs w:val="20"/>
                <w:color w:val="auto"/>
              </w:rPr>
            </w:pPr>
            <w:r>
              <w:rPr>
                <w:rFonts w:ascii="Arial" w:cs="Arial" w:eastAsia="Arial" w:hAnsi="Arial"/>
                <w:sz w:val="18"/>
                <w:szCs w:val="18"/>
                <w:color w:val="auto"/>
                <w:w w:val="85"/>
              </w:rPr>
              <w:t>0.62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2"/>
              </w:rPr>
              <w:t>- 1.30 %</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6.05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- 6.08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5.89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- 6.08</w:t>
            </w:r>
          </w:p>
        </w:tc>
        <w:tc>
          <w:tcPr>
            <w:tcW w:w="180" w:type="dxa"/>
            <w:vAlign w:val="bottom"/>
            <w:shd w:val="clear" w:color="auto" w:fill="CCEEFF"/>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Dividend yield</w:t>
            </w:r>
          </w:p>
        </w:tc>
        <w:tc>
          <w:tcPr>
            <w:tcW w:w="3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left="60" w:right="79" w:firstLine="401"/>
        <w:spacing w:after="0" w:line="257" w:lineRule="auto"/>
        <w:rPr>
          <w:sz w:val="20"/>
          <w:szCs w:val="20"/>
          <w:color w:val="auto"/>
        </w:rPr>
      </w:pPr>
      <w:r>
        <w:rPr>
          <w:rFonts w:ascii="Arial" w:cs="Arial" w:eastAsia="Arial" w:hAnsi="Arial"/>
          <w:sz w:val="18"/>
          <w:szCs w:val="18"/>
          <w:color w:val="auto"/>
        </w:rPr>
        <w:t>The Company’s board of directors adopted the 2016 Employee Stock Purchase Plan (the ESPP) on April 25, 2016, which was subsequently approved on September 20, 2016 by the Company’s stockholders. The Company had 774,137 shares available for issuance under the Company’s ESPP as of December 31, 2022. Employees purchased 77,221 shares for $342,000 during the year ended December 31, 2022 and 64,407 shares for $236,000 during the year ended December 31, 2021.</w:t>
      </w:r>
    </w:p>
    <w:p>
      <w:pPr>
        <w:spacing w:after="0" w:line="188" w:lineRule="exact"/>
        <w:rPr>
          <w:sz w:val="20"/>
          <w:szCs w:val="20"/>
          <w:color w:val="auto"/>
        </w:rPr>
      </w:pPr>
    </w:p>
    <w:p>
      <w:pPr>
        <w:ind w:left="60" w:right="319" w:firstLine="401"/>
        <w:spacing w:after="0" w:line="277" w:lineRule="auto"/>
        <w:rPr>
          <w:sz w:val="20"/>
          <w:szCs w:val="20"/>
          <w:color w:val="auto"/>
        </w:rPr>
      </w:pPr>
      <w:r>
        <w:rPr>
          <w:rFonts w:ascii="Arial" w:cs="Arial" w:eastAsia="Arial" w:hAnsi="Arial"/>
          <w:sz w:val="18"/>
          <w:szCs w:val="18"/>
          <w:color w:val="auto"/>
        </w:rPr>
        <w:t>The following table summarizes the assumptions used in the Black-Scholes option-pricing model to determine fair value of the Company’s common shares issued under the ESPP:</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180" w:type="dxa"/>
            <w:vAlign w:val="bottom"/>
            <w:gridSpan w:val="4"/>
          </w:tcPr>
          <w:p>
            <w:pPr>
              <w:jc w:val="right"/>
              <w:ind w:right="71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940" w:type="dxa"/>
            <w:vAlign w:val="bottom"/>
          </w:tcPr>
          <w:p>
            <w:pPr>
              <w:spacing w:after="0"/>
              <w:rPr>
                <w:sz w:val="14"/>
                <w:szCs w:val="14"/>
                <w:color w:val="auto"/>
              </w:rPr>
            </w:pPr>
          </w:p>
        </w:tc>
        <w:tc>
          <w:tcPr>
            <w:tcW w:w="2180" w:type="dxa"/>
            <w:vAlign w:val="bottom"/>
            <w:gridSpan w:val="4"/>
          </w:tcPr>
          <w:p>
            <w:pPr>
              <w:jc w:val="right"/>
              <w:ind w:right="67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9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40.7 - 95.6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40.7 - 100.7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w w:val="91"/>
              </w:rPr>
              <w:t>0.06 - 4.46 %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8"/>
              </w:rPr>
              <w:t>0.05 - 0.13 %</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0.5 - 1.0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0.5 - 1.0</w:t>
            </w:r>
          </w:p>
        </w:tc>
        <w:tc>
          <w:tcPr>
            <w:tcW w:w="160" w:type="dxa"/>
            <w:vAlign w:val="bottom"/>
            <w:shd w:val="clear" w:color="auto" w:fill="CCEEFF"/>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Dividend yield</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0" w:right="99" w:firstLine="401"/>
        <w:spacing w:after="0" w:line="301" w:lineRule="auto"/>
        <w:rPr>
          <w:sz w:val="20"/>
          <w:szCs w:val="20"/>
          <w:color w:val="auto"/>
        </w:rPr>
      </w:pPr>
      <w:r>
        <w:rPr>
          <w:rFonts w:ascii="Arial" w:cs="Arial" w:eastAsia="Arial" w:hAnsi="Arial"/>
          <w:sz w:val="16"/>
          <w:szCs w:val="16"/>
          <w:color w:val="auto"/>
        </w:rPr>
        <w:t>In September 2017, the Company’s board of directors authorized the issuance of restricted stock units (RSUs), under the 2016 Plan and adopted a form of Restricted Stock Unit Award Agreement, which is intended to serve as a standard form agreement for RSU grants issued to employees, executive officers, directors, and consultants. The fair value of the RSUs is recognized as expense ratably over the vesting period, as determined by the board of directors on the date of grant.</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RSU activity for the year ended December 31, 2022:</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1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6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620,218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(322,567)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Cancelled/forfeited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(25,312)</w:t>
            </w:r>
          </w:p>
        </w:tc>
        <w:tc>
          <w:tcPr>
            <w:tcW w:w="2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656,646</w:t>
            </w: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401"/>
        <w:spacing w:after="0" w:line="259"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December 31, 2022, there was $3.2 million of unrecognized stock-based compensation expense related to RSUs to be recognized over a weighted-average period of 2.4 years. Compensation cost capitalized within inventory at December 31, 2022 and 2021 was not material.</w:t>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401(k) Plan</w:t>
      </w:r>
    </w:p>
    <w:p>
      <w:pPr>
        <w:spacing w:after="0" w:line="229" w:lineRule="exact"/>
        <w:rPr>
          <w:sz w:val="20"/>
          <w:szCs w:val="20"/>
          <w:color w:val="auto"/>
        </w:rPr>
      </w:pPr>
    </w:p>
    <w:p>
      <w:pPr>
        <w:ind w:left="60" w:right="79" w:firstLine="401"/>
        <w:spacing w:after="0" w:line="311" w:lineRule="auto"/>
        <w:rPr>
          <w:sz w:val="20"/>
          <w:szCs w:val="20"/>
          <w:color w:val="auto"/>
        </w:rPr>
      </w:pPr>
      <w:r>
        <w:rPr>
          <w:rFonts w:ascii="Arial" w:cs="Arial" w:eastAsia="Arial" w:hAnsi="Arial"/>
          <w:sz w:val="16"/>
          <w:szCs w:val="16"/>
          <w:color w:val="auto"/>
        </w:rPr>
        <w:t>The Company has a defined contribution employee benefit plan pursuant to Section 401(k) of the Internal Revenue Code. The plan allows eligible employees to defer a portion of their annual compensation up to certain statutory limits. At the election of the Board of Directors, the Company may elect to match employee contributions but has not done so to date.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Significant Agreements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225" w:lineRule="exact"/>
        <w:rPr>
          <w:sz w:val="20"/>
          <w:szCs w:val="20"/>
          <w:color w:val="auto"/>
        </w:rPr>
      </w:pPr>
    </w:p>
    <w:p>
      <w:pPr>
        <w:ind w:left="60" w:right="159" w:firstLine="401"/>
        <w:spacing w:after="0" w:line="255" w:lineRule="auto"/>
        <w:rPr>
          <w:sz w:val="20"/>
          <w:szCs w:val="20"/>
          <w:color w:val="auto"/>
        </w:rPr>
      </w:pPr>
      <w:r>
        <w:rPr>
          <w:rFonts w:ascii="Arial" w:cs="Arial" w:eastAsia="Arial" w:hAnsi="Arial"/>
          <w:sz w:val="18"/>
          <w:szCs w:val="18"/>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spacing w:after="0" w:line="192" w:lineRule="exact"/>
        <w:rPr>
          <w:sz w:val="20"/>
          <w:szCs w:val="20"/>
          <w:color w:val="auto"/>
        </w:rPr>
      </w:pPr>
    </w:p>
    <w:p>
      <w:pPr>
        <w:ind w:left="60" w:right="279" w:firstLine="401"/>
        <w:spacing w:after="0" w:line="291" w:lineRule="auto"/>
        <w:rPr>
          <w:sz w:val="20"/>
          <w:szCs w:val="20"/>
          <w:color w:val="auto"/>
        </w:rPr>
      </w:pPr>
      <w:r>
        <w:rPr>
          <w:rFonts w:ascii="Arial" w:cs="Arial" w:eastAsia="Arial" w:hAnsi="Arial"/>
          <w:sz w:val="16"/>
          <w:szCs w:val="16"/>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66" w:lineRule="exact"/>
        <w:rPr>
          <w:sz w:val="20"/>
          <w:szCs w:val="20"/>
          <w:color w:val="auto"/>
        </w:rPr>
      </w:pPr>
    </w:p>
    <w:p>
      <w:pPr>
        <w:ind w:left="60" w:right="99" w:firstLine="401"/>
        <w:spacing w:after="0" w:line="25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Geographic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by country was as follows (in thousands):</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20" w:type="dxa"/>
            <w:vAlign w:val="bottom"/>
          </w:tcPr>
          <w:p>
            <w:pPr>
              <w:spacing w:after="0"/>
              <w:rPr>
                <w:sz w:val="17"/>
                <w:szCs w:val="17"/>
                <w:color w:val="auto"/>
              </w:rPr>
            </w:pPr>
          </w:p>
        </w:tc>
        <w:tc>
          <w:tcPr>
            <w:tcW w:w="3040" w:type="dxa"/>
            <w:vAlign w:val="bottom"/>
            <w:tcBorders>
              <w:bottom w:val="single" w:sz="8" w:color="CCEEFF"/>
            </w:tcBorders>
          </w:tcPr>
          <w:p>
            <w:pPr>
              <w:spacing w:after="0"/>
              <w:rPr>
                <w:sz w:val="17"/>
                <w:szCs w:val="17"/>
                <w:color w:val="auto"/>
              </w:rPr>
            </w:pPr>
          </w:p>
        </w:tc>
        <w:tc>
          <w:tcPr>
            <w:tcW w:w="20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Singapore</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9"/>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firstLine="401"/>
        <w:spacing w:after="0" w:line="277" w:lineRule="auto"/>
        <w:rPr>
          <w:sz w:val="20"/>
          <w:szCs w:val="20"/>
          <w:color w:val="auto"/>
        </w:rPr>
      </w:pPr>
      <w:r>
        <w:rPr>
          <w:rFonts w:ascii="Arial" w:cs="Arial" w:eastAsia="Arial" w:hAnsi="Arial"/>
          <w:sz w:val="18"/>
          <w:szCs w:val="18"/>
          <w:color w:val="auto"/>
        </w:rPr>
        <w:t>Revenue from customers is designated based on the geographic region or country to which the product is delivered or the licensee is located. Revenue by country was as follows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32"/>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17,403</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Hong Kong</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15,662</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3,797</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China</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2,731</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r>
      <w:tr>
        <w:trPr>
          <w:trHeight w:val="210"/>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59,985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55,146</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60" w:right="839" w:firstLine="401"/>
        <w:spacing w:after="0" w:line="277" w:lineRule="auto"/>
        <w:rPr>
          <w:sz w:val="20"/>
          <w:szCs w:val="20"/>
          <w:color w:val="auto"/>
        </w:rPr>
      </w:pPr>
      <w:r>
        <w:rPr>
          <w:rFonts w:ascii="Arial" w:cs="Arial" w:eastAsia="Arial" w:hAnsi="Arial"/>
          <w:sz w:val="18"/>
          <w:szCs w:val="18"/>
          <w:color w:val="auto"/>
        </w:rPr>
        <w:t>For the years ended December 31, 2022 and 2021, the Company’s provision for income tax consisted of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56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68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Federal</w:t>
            </w:r>
          </w:p>
        </w:tc>
        <w:tc>
          <w:tcPr>
            <w:tcW w:w="292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w:t>
            </w: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Federal</w:t>
            </w:r>
          </w:p>
        </w:tc>
        <w:tc>
          <w:tcPr>
            <w:tcW w:w="292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w:t>
            </w: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60" w:type="dxa"/>
            <w:vAlign w:val="bottom"/>
            <w:vMerge w:val="restart"/>
          </w:tcPr>
          <w:p>
            <w:pPr>
              <w:jc w:val="right"/>
              <w:ind w:right="1730"/>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is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Tax at statutory federal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IRC section 162(m) limitation</w:t>
            </w: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59" w:firstLine="401"/>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deferred tax assets are as follows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371"/>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Net operating loss carryforwards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27,110</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30,658</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Accruals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Research and experimental expenditures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Right of use liability</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deferred tax assets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32,360</w:t>
            </w: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(30,328)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(32,047)</w:t>
            </w: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 of use asset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1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10"/>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Net deferred tax assets</w:t>
            </w:r>
          </w:p>
        </w:tc>
        <w:tc>
          <w:tcPr>
            <w:tcW w:w="1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firstLine="401"/>
        <w:spacing w:after="0" w:line="288" w:lineRule="auto"/>
        <w:rPr>
          <w:sz w:val="20"/>
          <w:szCs w:val="20"/>
          <w:color w:val="auto"/>
        </w:rPr>
      </w:pPr>
      <w:r>
        <w:rPr>
          <w:rFonts w:ascii="Arial" w:cs="Arial" w:eastAsia="Arial" w:hAnsi="Arial"/>
          <w:sz w:val="16"/>
          <w:szCs w:val="16"/>
          <w:color w:val="auto"/>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historical cumulative losses, the Company determined that, based on all available evidence, there was substantial uncertainty as to whether it will recover recorded net deferred taxes in future periods. Accordingly, the Company recorded a valuation allowance against all of its net deferred tax assets as of December 31, 2022 and 2021. The net valuation allowance decreased by $1.7 million in 2022.</w:t>
      </w:r>
    </w:p>
    <w:p>
      <w:pPr>
        <w:spacing w:after="0" w:line="168" w:lineRule="exact"/>
        <w:rPr>
          <w:sz w:val="20"/>
          <w:szCs w:val="20"/>
          <w:color w:val="auto"/>
        </w:rPr>
      </w:pPr>
    </w:p>
    <w:p>
      <w:pPr>
        <w:ind w:left="60" w:right="179" w:firstLine="401"/>
        <w:spacing w:after="0" w:line="279" w:lineRule="auto"/>
        <w:rPr>
          <w:sz w:val="20"/>
          <w:szCs w:val="20"/>
          <w:color w:val="auto"/>
        </w:rPr>
      </w:pPr>
      <w:r>
        <w:rPr>
          <w:rFonts w:ascii="Arial" w:cs="Arial" w:eastAsia="Arial" w:hAnsi="Arial"/>
          <w:sz w:val="17"/>
          <w:szCs w:val="17"/>
          <w:color w:val="auto"/>
        </w:rPr>
        <w:t>As of December 31, 2022, the Company has federal net operating loss carryforwards of approximately $119.9 million, of which $79.1 million will expire in 2028 through 2037 if not utilized, and $40.8 million that will carryover indefinitely. In addition, the Company has state net operating loss carryforwards of approximately $50.3 million, of which $47.5 million will expire in 2028 through 2041 if not utilized, and $2.8 million that will carryover indefinitely.</w:t>
      </w:r>
    </w:p>
    <w:p>
      <w:pPr>
        <w:spacing w:after="0" w:line="171" w:lineRule="exact"/>
        <w:rPr>
          <w:sz w:val="20"/>
          <w:szCs w:val="20"/>
          <w:color w:val="auto"/>
        </w:rPr>
      </w:pPr>
    </w:p>
    <w:p>
      <w:pPr>
        <w:ind w:left="60" w:right="79" w:firstLine="401"/>
        <w:spacing w:after="0" w:line="273" w:lineRule="auto"/>
        <w:rPr>
          <w:sz w:val="20"/>
          <w:szCs w:val="20"/>
          <w:color w:val="auto"/>
        </w:rPr>
      </w:pPr>
      <w:r>
        <w:rPr>
          <w:rFonts w:ascii="Arial" w:cs="Arial" w:eastAsia="Arial" w:hAnsi="Arial"/>
          <w:sz w:val="17"/>
          <w:szCs w:val="17"/>
          <w:color w:val="auto"/>
        </w:rPr>
        <w:t>The Tax Reform Act of 1986 (the Act) provides for a limitation on the annual use of net operating loss carryforwards following certain ownership changes (as defined by the Act and codified under Section 382 of the U.S. Internal Revenue Code of 1986, as amended (the Code)) that could limit the Company’s ability to utilize these carryforwards. Further, a portion of the carryforwards may expire before utilized to reduce future income tax liabilities as a result of the annual limitation. The Company experienced an ownership change in October 2016 and as a result, $43.8 million ($9.2 million tax effected) of the federal NOLs are expected to expire unutilized due to limitation under</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color w:val="auto"/>
        </w:rPr>
        <w:t>Section 382 of the Code. The NOLs expected to expire unutilized are included in the NOL carryforward amounts disclosed, subject to a valuation allowance.</w:t>
      </w:r>
    </w:p>
    <w:p>
      <w:pPr>
        <w:spacing w:after="0" w:line="170" w:lineRule="exact"/>
        <w:rPr>
          <w:sz w:val="20"/>
          <w:szCs w:val="20"/>
          <w:color w:val="auto"/>
        </w:rPr>
      </w:pPr>
    </w:p>
    <w:p>
      <w:pPr>
        <w:ind w:left="60" w:right="119" w:firstLine="405"/>
        <w:spacing w:after="0" w:line="263" w:lineRule="auto"/>
        <w:rPr>
          <w:sz w:val="20"/>
          <w:szCs w:val="20"/>
          <w:color w:val="auto"/>
        </w:rPr>
      </w:pPr>
      <w:r>
        <w:rPr>
          <w:rFonts w:ascii="Arial" w:cs="Arial" w:eastAsia="Arial" w:hAnsi="Arial"/>
          <w:sz w:val="18"/>
          <w:szCs w:val="18"/>
          <w:color w:val="auto"/>
        </w:rPr>
        <w:t>The Company files income tax returns in the U.S. federal and various state jurisdictions. The Company is generally subject to U.S. federal and state income tax examination for all tax years beginning in 2008, due to the net operating losses that are carried forward.</w:t>
      </w:r>
    </w:p>
    <w:p>
      <w:pPr>
        <w:spacing w:after="0" w:line="184" w:lineRule="exact"/>
        <w:rPr>
          <w:sz w:val="20"/>
          <w:szCs w:val="20"/>
          <w:color w:val="auto"/>
        </w:rPr>
      </w:pPr>
    </w:p>
    <w:p>
      <w:pPr>
        <w:ind w:left="60" w:right="79" w:firstLine="401"/>
        <w:spacing w:after="0" w:line="277" w:lineRule="auto"/>
        <w:rPr>
          <w:sz w:val="20"/>
          <w:szCs w:val="20"/>
          <w:color w:val="auto"/>
        </w:rPr>
      </w:pPr>
      <w:r>
        <w:rPr>
          <w:rFonts w:ascii="Arial" w:cs="Arial" w:eastAsia="Arial" w:hAnsi="Arial"/>
          <w:sz w:val="18"/>
          <w:szCs w:val="18"/>
          <w:color w:val="auto"/>
        </w:rPr>
        <w:t>A summary of changes in the Company’s gross unrecognized tax benefits for the years ended December 31, 2022 and 2021 was as follows (in thousands):</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4"/>
              </w:rPr>
              <w:t>Year Ended December 31,</w:t>
            </w:r>
          </w:p>
        </w:tc>
      </w:tr>
      <w:tr>
        <w:trPr>
          <w:trHeight w:val="196"/>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expense, beginning of the year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current year tax positions</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9"/>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Unrecognized tax expense, end of year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bl>
    <w:p>
      <w:pPr>
        <w:spacing w:after="0" w:line="202" w:lineRule="exact"/>
        <w:rPr>
          <w:sz w:val="20"/>
          <w:szCs w:val="20"/>
          <w:color w:val="auto"/>
        </w:rPr>
      </w:pPr>
    </w:p>
    <w:p>
      <w:pPr>
        <w:ind w:left="60" w:right="639" w:firstLine="401"/>
        <w:spacing w:after="0" w:line="277" w:lineRule="auto"/>
        <w:rPr>
          <w:sz w:val="20"/>
          <w:szCs w:val="20"/>
          <w:color w:val="auto"/>
        </w:rPr>
      </w:pPr>
      <w:r>
        <w:rPr>
          <w:rFonts w:ascii="Arial" w:cs="Arial" w:eastAsia="Arial" w:hAnsi="Arial"/>
          <w:sz w:val="18"/>
          <w:szCs w:val="18"/>
          <w:color w:val="auto"/>
        </w:rPr>
        <w:t>The total balance of unrecognized tax benefits as of December 31, 2022 would impact the effective tax rate, if recognized.</w:t>
      </w:r>
    </w:p>
    <w:p>
      <w:pPr>
        <w:spacing w:after="0" w:line="170" w:lineRule="exact"/>
        <w:rPr>
          <w:sz w:val="20"/>
          <w:szCs w:val="20"/>
          <w:color w:val="auto"/>
        </w:rPr>
      </w:pPr>
    </w:p>
    <w:p>
      <w:pPr>
        <w:ind w:left="60" w:right="159" w:firstLine="405"/>
        <w:spacing w:after="0" w:line="263" w:lineRule="auto"/>
        <w:rPr>
          <w:sz w:val="20"/>
          <w:szCs w:val="20"/>
          <w:color w:val="auto"/>
        </w:rPr>
      </w:pPr>
      <w:r>
        <w:rPr>
          <w:rFonts w:ascii="Arial" w:cs="Arial" w:eastAsia="Arial" w:hAnsi="Arial"/>
          <w:sz w:val="18"/>
          <w:szCs w:val="18"/>
          <w:color w:val="auto"/>
        </w:rPr>
        <w:t>The Company's policy is to recognize interest and penalties accrued on any unrecognized tax benefit as a component of income tax expense. The Company has accrued penalties and interest of $155,000, as of both December 31, 2022 and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Net Income Per Common Share</w:t>
      </w:r>
    </w:p>
    <w:p>
      <w:pPr>
        <w:spacing w:after="0" w:line="229" w:lineRule="exact"/>
        <w:rPr>
          <w:sz w:val="20"/>
          <w:szCs w:val="20"/>
          <w:color w:val="auto"/>
        </w:rPr>
      </w:pPr>
    </w:p>
    <w:p>
      <w:pPr>
        <w:ind w:left="60" w:right="239" w:firstLine="401"/>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(in thousands, except share and per share amounts):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Basic EPS</w:t>
      </w:r>
    </w:p>
    <w:p>
      <w:pPr>
        <w:spacing w:after="0" w:line="23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70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7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7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w w:val="92"/>
              </w:rPr>
              <w:t>Weighted-average shares of common stock outstanding, basic</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20,130,336</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19,400,124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70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per common share, basic</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color w:val="auto"/>
              </w:rPr>
              <w:t>Diluted EPS</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70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Less: warrant liability fair value gain recognized</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7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income attributable to common stockholders, diluted</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700" w:type="dxa"/>
            <w:vAlign w:val="bottom"/>
            <w:gridSpan w:val="2"/>
          </w:tcPr>
          <w:p>
            <w:pPr>
              <w:ind w:left="100"/>
              <w:spacing w:after="0"/>
              <w:rPr>
                <w:sz w:val="20"/>
                <w:szCs w:val="20"/>
                <w:color w:val="auto"/>
              </w:rPr>
            </w:pPr>
            <w:r>
              <w:rPr>
                <w:rFonts w:ascii="Arial" w:cs="Arial" w:eastAsia="Arial" w:hAnsi="Arial"/>
                <w:sz w:val="18"/>
                <w:szCs w:val="18"/>
                <w:color w:val="auto"/>
                <w:w w:val="92"/>
              </w:rPr>
              <w:t>Weighted-average shares of common stock outstanding, basic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20,130,336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19,400,124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Dilutive effect of stock options and RSUs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645,589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572,021</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470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Weighted-average shares of common stock outstanding,</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20,775,925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19,972,145</w:t>
            </w: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47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70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per common share, diluted</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401"/>
        <w:spacing w:after="0" w:line="342" w:lineRule="auto"/>
        <w:rPr>
          <w:sz w:val="20"/>
          <w:szCs w:val="20"/>
          <w:color w:val="auto"/>
        </w:rPr>
      </w:pPr>
      <w:r>
        <w:rPr>
          <w:rFonts w:ascii="Arial" w:cs="Arial" w:eastAsia="Arial" w:hAnsi="Arial"/>
          <w:sz w:val="16"/>
          <w:szCs w:val="16"/>
          <w:color w:val="auto"/>
        </w:rPr>
        <w:t>The following outstanding shares of potentially dilutive securities outstanding have been excluded from the computation of diluted net income per common share for the periods presented as their inclusion would be anti-dilutive:</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w w:val="99"/>
              </w:rPr>
              <w:t>Year Ended December 31,</w:t>
            </w:r>
          </w:p>
        </w:tc>
      </w:tr>
      <w:tr>
        <w:trPr>
          <w:trHeight w:val="196"/>
        </w:trPr>
        <w:tc>
          <w:tcPr>
            <w:tcW w:w="20" w:type="dxa"/>
            <w:vAlign w:val="bottom"/>
          </w:tcPr>
          <w:p>
            <w:pPr>
              <w:spacing w:after="0"/>
              <w:rPr>
                <w:sz w:val="17"/>
                <w:szCs w:val="17"/>
                <w:color w:val="auto"/>
              </w:rPr>
            </w:pPr>
          </w:p>
        </w:tc>
        <w:tc>
          <w:tcPr>
            <w:tcW w:w="51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841,845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1,221,720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RSUs</w:t>
            </w:r>
          </w:p>
        </w:tc>
        <w:tc>
          <w:tcPr>
            <w:tcW w:w="900" w:type="dxa"/>
            <w:vAlign w:val="bottom"/>
          </w:tcPr>
          <w:p>
            <w:pPr>
              <w:jc w:val="right"/>
              <w:spacing w:after="0"/>
              <w:rPr>
                <w:sz w:val="20"/>
                <w:szCs w:val="20"/>
                <w:color w:val="auto"/>
              </w:rPr>
            </w:pPr>
            <w:r>
              <w:rPr>
                <w:rFonts w:ascii="Arial" w:cs="Arial" w:eastAsia="Arial" w:hAnsi="Arial"/>
                <w:sz w:val="18"/>
                <w:szCs w:val="18"/>
                <w:color w:val="auto"/>
              </w:rPr>
              <w:t>4,147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9,815</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18,461</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r>
      <w:tr>
        <w:trPr>
          <w:trHeight w:val="209"/>
        </w:trPr>
        <w:tc>
          <w:tcPr>
            <w:tcW w:w="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864,453</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1,259,371</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60" w:right="199" w:firstLine="401"/>
        <w:spacing w:after="0" w:line="286" w:lineRule="auto"/>
        <w:rPr>
          <w:sz w:val="20"/>
          <w:szCs w:val="20"/>
          <w:color w:val="auto"/>
        </w:rPr>
      </w:pPr>
      <w:r>
        <w:rPr>
          <w:rFonts w:ascii="Arial" w:cs="Arial" w:eastAsia="Arial" w:hAnsi="Arial"/>
          <w:sz w:val="17"/>
          <w:szCs w:val="17"/>
          <w:color w:val="auto"/>
        </w:rPr>
        <w:t>Our management, with the participation of our management team, including our Chief Executive Officer (CEO) and Chief Financial Officer (CFO) evaluated the effectiveness of the design and operation of our disclosure controls and procedures (as defined in Rules 13a-15(e) and 15d-15(e) under the Exchange Act) as of December 31, 2022.</w:t>
      </w:r>
    </w:p>
    <w:p>
      <w:pPr>
        <w:spacing w:after="0" w:line="165" w:lineRule="exact"/>
        <w:rPr>
          <w:sz w:val="20"/>
          <w:szCs w:val="20"/>
          <w:color w:val="auto"/>
        </w:rPr>
      </w:pPr>
    </w:p>
    <w:p>
      <w:pPr>
        <w:ind w:left="60" w:right="159" w:firstLine="401"/>
        <w:spacing w:after="0" w:line="277" w:lineRule="auto"/>
        <w:rPr>
          <w:sz w:val="20"/>
          <w:szCs w:val="20"/>
          <w:color w:val="auto"/>
        </w:rPr>
      </w:pPr>
      <w:r>
        <w:rPr>
          <w:rFonts w:ascii="Arial" w:cs="Arial" w:eastAsia="Arial" w:hAnsi="Arial"/>
          <w:sz w:val="18"/>
          <w:szCs w:val="18"/>
          <w:color w:val="auto"/>
        </w:rPr>
        <w:t>Based on this evaluation, our CEO and CFO concluded that, our disclosure controls and procedures were effective at the reasonable assurance level as of December 31, 2022.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color w:val="auto"/>
        </w:rPr>
        <w:t>This Annual Report on Form 10-K includes a report of management’s assessment regarding internal control over financial reporting (as defined in Rules 13a-15(f) and 15d-15(f) under the Exchange Act). This Annual Report on Form 10-K does not include an attestation report of our independent registered public accounting firm because, as a “smaller reporting company”, and non-accelerated filer, our independent registered public accounting firm is not required to issue such an attestation report.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report is provided by management in respect of our internal control over financial reporting:</w:t>
      </w:r>
    </w:p>
    <w:p>
      <w:pPr>
        <w:spacing w:after="0" w:line="225" w:lineRule="exact"/>
        <w:rPr>
          <w:sz w:val="20"/>
          <w:szCs w:val="20"/>
          <w:color w:val="auto"/>
        </w:rPr>
      </w:pPr>
    </w:p>
    <w:p>
      <w:pPr>
        <w:ind w:left="60" w:right="119" w:firstLine="401"/>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management used the Committee of Sponsoring Organizations of the Treadway Commission’s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 Management has assessed the effectiveness of our internal control over financial reporting as of December 31, 2022, and has concluded that such internal control over financial reporting was effective.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left="60" w:right="199" w:firstLine="401"/>
        <w:spacing w:after="0" w:line="263" w:lineRule="auto"/>
        <w:rPr>
          <w:sz w:val="20"/>
          <w:szCs w:val="20"/>
          <w:color w:val="auto"/>
        </w:rPr>
      </w:pPr>
      <w:r>
        <w:rPr>
          <w:rFonts w:ascii="Arial" w:cs="Arial" w:eastAsia="Arial" w:hAnsi="Arial"/>
          <w:sz w:val="18"/>
          <w:szCs w:val="18"/>
          <w:color w:val="auto"/>
        </w:rPr>
        <w:t>In prior years, we identified a material weakness in our internal control over financial reporting as of December 31, 2021, relating to our controls around inventory, including unit level cost allocation and communication protocols between operations and accounting.</w:t>
      </w:r>
    </w:p>
    <w:p>
      <w:pPr>
        <w:spacing w:after="0" w:line="184" w:lineRule="exact"/>
        <w:rPr>
          <w:sz w:val="20"/>
          <w:szCs w:val="20"/>
          <w:color w:val="auto"/>
        </w:rPr>
      </w:pPr>
    </w:p>
    <w:p>
      <w:pPr>
        <w:ind w:left="60" w:right="199" w:firstLine="401"/>
        <w:spacing w:after="0" w:line="301" w:lineRule="auto"/>
        <w:rPr>
          <w:sz w:val="20"/>
          <w:szCs w:val="20"/>
          <w:color w:val="auto"/>
        </w:rPr>
      </w:pPr>
      <w:r>
        <w:rPr>
          <w:rFonts w:ascii="Arial" w:cs="Arial" w:eastAsia="Arial" w:hAnsi="Arial"/>
          <w:sz w:val="16"/>
          <w:szCs w:val="16"/>
          <w:color w:val="auto"/>
        </w:rPr>
        <w:t>We remediated this material weaknesses by formalizing systematic improvements over our internal controls in order to reconcile and identify unit pricing variances between each stage of the wafer manufacturing process, to ensure cost allocation amounts are appropriately reflected at both the unit and product family level, establishing multi-discipline controls and processes to enhance communications between operations and accounting, and hiring additional qualified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personnel within our accounting and information technology functions to provide oversight of our financial reporting and inventory costing process. After implementing new internal controls and procedures, we concluded that we have remediated the previously identified material weakness as of December 31, 2021.</w:t>
      </w:r>
    </w:p>
    <w:p>
      <w:pPr>
        <w:spacing w:after="0" w:line="184" w:lineRule="exact"/>
        <w:rPr>
          <w:sz w:val="20"/>
          <w:szCs w:val="20"/>
          <w:color w:val="auto"/>
        </w:rPr>
      </w:pPr>
    </w:p>
    <w:p>
      <w:pPr>
        <w:ind w:left="60" w:right="239" w:firstLine="401"/>
        <w:spacing w:after="0" w:line="263" w:lineRule="auto"/>
        <w:rPr>
          <w:sz w:val="20"/>
          <w:szCs w:val="20"/>
          <w:color w:val="auto"/>
        </w:rPr>
      </w:pPr>
      <w:r>
        <w:rPr>
          <w:rFonts w:ascii="Arial" w:cs="Arial" w:eastAsia="Arial" w:hAnsi="Arial"/>
          <w:sz w:val="18"/>
          <w:szCs w:val="18"/>
          <w:color w:val="auto"/>
        </w:rPr>
        <w:t>Except with respect to the remediation actions described above, there have been no other changes in our internal control over financial reporting that occurred during the quarter ended December 31, 2022 that materially affected, or are reasonably likely to materially affect, our internal control over financial reporting.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left="60" w:right="139" w:firstLine="401"/>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0" w:right="299" w:firstLine="401"/>
        <w:spacing w:after="0" w:line="25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in connection with our 2023 Annual Meeting of Stockholders, or the Proxy Statement, which will be filed not later than 120 days after the end of our fiscal year ended December 31, 2022, under the headings “Management,” “Proposal 1 - Election of Directors,” “Board Committees and Meetings,” and, to the extent applicable, “Delinquent Section 16(a) Reports,” and is incorporated herein by reference.</w:t>
      </w:r>
    </w:p>
    <w:p>
      <w:pPr>
        <w:spacing w:after="0" w:line="188" w:lineRule="exact"/>
        <w:rPr>
          <w:sz w:val="20"/>
          <w:szCs w:val="20"/>
          <w:color w:val="auto"/>
        </w:rPr>
      </w:pPr>
    </w:p>
    <w:p>
      <w:pPr>
        <w:ind w:left="60" w:right="79" w:firstLine="401"/>
        <w:spacing w:after="0" w:line="271"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which is available on our website at www.everspin.com. The Code of Business Conduct and Ethics is intended to qualify as a “code of ethics” within the meaning of Section 406 of the Sarbanes-Oxley Act of 2002 and Item 406 of Regulation S-K. In addition, we intend to promptly disclose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0" w:right="679" w:firstLine="401"/>
        <w:spacing w:after="0" w:line="263" w:lineRule="auto"/>
        <w:rPr>
          <w:sz w:val="20"/>
          <w:szCs w:val="20"/>
          <w:color w:val="auto"/>
        </w:rPr>
      </w:pPr>
      <w:r>
        <w:rPr>
          <w:rFonts w:ascii="Arial" w:cs="Arial" w:eastAsia="Arial" w:hAnsi="Arial"/>
          <w:sz w:val="18"/>
          <w:szCs w:val="18"/>
          <w:color w:val="auto"/>
        </w:rPr>
        <w:t>The information required by this item regarding executive compensation is incorporated by reference to the information set forth in the sections titled “Executive Compensation” and “Compensation of Non-Employee Board Members” in our Proxy Statement.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ind w:left="60" w:right="219" w:firstLine="401"/>
        <w:spacing w:after="0" w:line="259"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is incorporated by reference to the information set forth in the sections titled “Security Ownership of Certain Beneficial Owners and Management” and “Securities Authorized for Issuance Under Equity Compensation Plans” in our Proxy Statement.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459" w:firstLine="401"/>
        <w:spacing w:after="0" w:line="311" w:lineRule="auto"/>
        <w:rPr>
          <w:sz w:val="20"/>
          <w:szCs w:val="20"/>
          <w:color w:val="auto"/>
        </w:rPr>
      </w:pPr>
      <w:r>
        <w:rPr>
          <w:rFonts w:ascii="Arial" w:cs="Arial" w:eastAsia="Arial" w:hAnsi="Arial"/>
          <w:sz w:val="16"/>
          <w:szCs w:val="16"/>
          <w:color w:val="auto"/>
        </w:rPr>
        <w:t>The information required by this item regarding certain relationships and related transactions and director independence is incorporated by reference to the information set forth in the sections titled “Certain Relationships and Related Party Transactions” and “Corporate Governance”, respectively, in our Proxy Statement.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0" w:right="99" w:firstLine="401"/>
        <w:spacing w:after="0" w:line="342" w:lineRule="auto"/>
        <w:rPr>
          <w:sz w:val="20"/>
          <w:szCs w:val="20"/>
          <w:color w:val="auto"/>
        </w:rPr>
      </w:pPr>
      <w:r>
        <w:rPr>
          <w:rFonts w:ascii="Arial" w:cs="Arial" w:eastAsia="Arial" w:hAnsi="Arial"/>
          <w:sz w:val="16"/>
          <w:szCs w:val="16"/>
          <w:color w:val="auto"/>
        </w:rPr>
        <w:t>The information required by this item regarding principal accountant fees and services is incorporated by reference to the information set forth in the section titled “Principal Accountant Fees and Services”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00" w:hanging="250"/>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420" w:hanging="188"/>
        <w:spacing w:after="0"/>
        <w:tabs>
          <w:tab w:leader="none" w:pos="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Information in response to this Item is included in Part II, Item 8 of this Annual Report on Form 10-K.</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300" w:right="139" w:firstLine="648"/>
        <w:spacing w:after="0" w:line="27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Incorporation By Reference</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80" w:type="dxa"/>
            <w:vAlign w:val="bottom"/>
            <w:gridSpan w:val="20"/>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160" w:type="dxa"/>
            <w:vAlign w:val="bottom"/>
            <w:vMerge w:val="restart"/>
          </w:tcPr>
          <w:p>
            <w:pPr>
              <w:spacing w:after="0"/>
              <w:rPr>
                <w:sz w:val="9"/>
                <w:szCs w:val="9"/>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80" w:type="dxa"/>
            <w:vAlign w:val="bottom"/>
            <w:vMerge w:val="restart"/>
          </w:tcPr>
          <w:p>
            <w:pPr>
              <w:spacing w:after="0"/>
              <w:rPr>
                <w:sz w:val="9"/>
                <w:szCs w:val="9"/>
                <w:color w:val="auto"/>
              </w:rPr>
            </w:pPr>
          </w:p>
        </w:tc>
        <w:tc>
          <w:tcPr>
            <w:tcW w:w="17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SEC File No.</w:t>
            </w:r>
          </w:p>
        </w:tc>
        <w:tc>
          <w:tcPr>
            <w:tcW w:w="180" w:type="dxa"/>
            <w:vAlign w:val="bottom"/>
            <w:vMerge w:val="restart"/>
          </w:tcPr>
          <w:p>
            <w:pPr>
              <w:spacing w:after="0"/>
              <w:rPr>
                <w:sz w:val="9"/>
                <w:szCs w:val="9"/>
                <w:color w:val="auto"/>
              </w:rPr>
            </w:pPr>
          </w:p>
        </w:tc>
        <w:tc>
          <w:tcPr>
            <w:tcW w:w="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160" w:type="dxa"/>
            <w:vAlign w:val="bottom"/>
            <w:vMerge w:val="restart"/>
          </w:tcPr>
          <w:p>
            <w:pPr>
              <w:spacing w:after="0"/>
              <w:rPr>
                <w:sz w:val="9"/>
                <w:szCs w:val="9"/>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0"/>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00" w:type="dxa"/>
            <w:vAlign w:val="bottom"/>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3080" w:type="dxa"/>
            <w:vAlign w:val="bottom"/>
            <w:gridSpan w:val="25"/>
          </w:tcPr>
          <w:p>
            <w:pPr>
              <w:spacing w:after="0"/>
              <w:rPr>
                <w:rFonts w:ascii="Arial" w:cs="Arial" w:eastAsia="Arial" w:hAnsi="Arial"/>
                <w:sz w:val="18"/>
                <w:szCs w:val="18"/>
                <w:color w:val="0000EE"/>
              </w:rPr>
            </w:pPr>
            <w:hyperlink r:id="rId81">
              <w:r>
                <w:rPr>
                  <w:rFonts w:ascii="Arial" w:cs="Arial" w:eastAsia="Arial" w:hAnsi="Arial"/>
                  <w:sz w:val="18"/>
                  <w:szCs w:val="18"/>
                  <w:color w:val="0000EE"/>
                </w:rPr>
                <w:t>Amended and Restated Certificate of</w:t>
              </w:r>
            </w:hyperlink>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Incorporation.</w:t>
              </w:r>
            </w:hyperlink>
          </w:p>
        </w:tc>
        <w:tc>
          <w:tcPr>
            <w:tcW w:w="42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2800" w:type="dxa"/>
            <w:vAlign w:val="bottom"/>
            <w:tcBorders>
              <w:bottom w:val="single" w:sz="8" w:color="0000EE"/>
            </w:tcBorders>
            <w:gridSpan w:val="22"/>
          </w:tcPr>
          <w:p>
            <w:pPr>
              <w:spacing w:after="0"/>
              <w:rPr>
                <w:rFonts w:ascii="Arial" w:cs="Arial" w:eastAsia="Arial" w:hAnsi="Arial"/>
                <w:sz w:val="18"/>
                <w:szCs w:val="18"/>
                <w:color w:val="0000EE"/>
                <w:w w:val="89"/>
              </w:rPr>
            </w:pPr>
            <w:hyperlink r:id="rId82">
              <w:r>
                <w:rPr>
                  <w:rFonts w:ascii="Arial" w:cs="Arial" w:eastAsia="Arial" w:hAnsi="Arial"/>
                  <w:sz w:val="18"/>
                  <w:szCs w:val="18"/>
                  <w:color w:val="0000EE"/>
                  <w:w w:val="89"/>
                </w:rPr>
                <w:t>Amendment to Amended and Restated</w:t>
              </w:r>
            </w:hyperlink>
          </w:p>
        </w:tc>
        <w:tc>
          <w:tcPr>
            <w:tcW w:w="280" w:type="dxa"/>
            <w:vAlign w:val="bottom"/>
            <w:gridSpan w:val="3"/>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Certificate of Incorporation.</w:t>
              </w:r>
            </w:hyperlink>
          </w:p>
        </w:tc>
        <w:tc>
          <w:tcPr>
            <w:tcW w:w="1040" w:type="dxa"/>
            <w:vAlign w:val="bottom"/>
            <w:gridSpan w:val="18"/>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2800" w:type="dxa"/>
            <w:vAlign w:val="bottom"/>
            <w:tcBorders>
              <w:bottom w:val="single" w:sz="8" w:color="0000EE"/>
            </w:tcBorders>
            <w:gridSpan w:val="22"/>
          </w:tcPr>
          <w:p>
            <w:pPr>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Amendment to Amended and Restated</w:t>
              </w:r>
            </w:hyperlink>
          </w:p>
        </w:tc>
        <w:tc>
          <w:tcPr>
            <w:tcW w:w="280" w:type="dxa"/>
            <w:vAlign w:val="bottom"/>
            <w:gridSpan w:val="3"/>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5/27/2020</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83">
              <w:r>
                <w:rPr>
                  <w:rFonts w:ascii="Arial" w:cs="Arial" w:eastAsia="Arial" w:hAnsi="Arial"/>
                  <w:sz w:val="18"/>
                  <w:szCs w:val="18"/>
                  <w:color w:val="0000EE"/>
                  <w:w w:val="93"/>
                </w:rPr>
                <w:t>Certificate of Incorporation.</w:t>
              </w:r>
            </w:hyperlink>
          </w:p>
        </w:tc>
        <w:tc>
          <w:tcPr>
            <w:tcW w:w="1040" w:type="dxa"/>
            <w:vAlign w:val="bottom"/>
            <w:gridSpan w:val="18"/>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3080" w:type="dxa"/>
            <w:vAlign w:val="bottom"/>
            <w:gridSpan w:val="25"/>
          </w:tcPr>
          <w:p>
            <w:pPr>
              <w:spacing w:after="0"/>
              <w:rPr>
                <w:rFonts w:ascii="Arial" w:cs="Arial" w:eastAsia="Arial" w:hAnsi="Arial"/>
                <w:sz w:val="18"/>
                <w:szCs w:val="18"/>
                <w:color w:val="0000EE"/>
              </w:rPr>
            </w:pPr>
            <w:hyperlink r:id="rId84">
              <w:r>
                <w:rPr>
                  <w:rFonts w:ascii="Arial" w:cs="Arial" w:eastAsia="Arial" w:hAnsi="Arial"/>
                  <w:sz w:val="18"/>
                  <w:szCs w:val="18"/>
                  <w:color w:val="0000EE"/>
                </w:rPr>
                <w:t>Amended and Restated Bylaws.</w:t>
              </w:r>
            </w:hyperlink>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2780" w:type="dxa"/>
            <w:vAlign w:val="bottom"/>
            <w:tcBorders>
              <w:bottom w:val="single" w:sz="8" w:color="0000EE"/>
            </w:tcBorders>
            <w:gridSpan w:val="21"/>
          </w:tcPr>
          <w:p>
            <w:pPr>
              <w:spacing w:after="0"/>
              <w:rPr>
                <w:rFonts w:ascii="Arial" w:cs="Arial" w:eastAsia="Arial" w:hAnsi="Arial"/>
                <w:sz w:val="18"/>
                <w:szCs w:val="18"/>
                <w:color w:val="0000EE"/>
                <w:w w:val="93"/>
              </w:rPr>
            </w:pPr>
            <w:hyperlink r:id="rId85">
              <w:r>
                <w:rPr>
                  <w:rFonts w:ascii="Arial" w:cs="Arial" w:eastAsia="Arial" w:hAnsi="Arial"/>
                  <w:sz w:val="18"/>
                  <w:szCs w:val="18"/>
                  <w:color w:val="0000EE"/>
                  <w:w w:val="93"/>
                </w:rPr>
                <w:t>Form of Common Stock Certificate of</w:t>
              </w:r>
            </w:hyperlink>
          </w:p>
        </w:tc>
        <w:tc>
          <w:tcPr>
            <w:tcW w:w="300" w:type="dxa"/>
            <w:vAlign w:val="bottom"/>
            <w:gridSpan w:val="4"/>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S-1</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85">
              <w:r>
                <w:rPr>
                  <w:rFonts w:ascii="Arial" w:cs="Arial" w:eastAsia="Arial" w:hAnsi="Arial"/>
                  <w:sz w:val="18"/>
                  <w:szCs w:val="18"/>
                  <w:color w:val="0000EE"/>
                  <w:w w:val="89"/>
                </w:rPr>
                <w:t>the registrant.</w:t>
              </w:r>
            </w:hyperlink>
          </w:p>
        </w:tc>
        <w:tc>
          <w:tcPr>
            <w:tcW w:w="2060" w:type="dxa"/>
            <w:vAlign w:val="bottom"/>
            <w:gridSpan w:val="22"/>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2480" w:type="dxa"/>
            <w:vAlign w:val="bottom"/>
            <w:tcBorders>
              <w:bottom w:val="single" w:sz="8" w:color="0000EE"/>
            </w:tcBorders>
            <w:gridSpan w:val="12"/>
          </w:tcPr>
          <w:p>
            <w:pPr>
              <w:spacing w:after="0"/>
              <w:rPr>
                <w:rFonts w:ascii="Arial" w:cs="Arial" w:eastAsia="Arial" w:hAnsi="Arial"/>
                <w:sz w:val="18"/>
                <w:szCs w:val="18"/>
                <w:color w:val="0000EE"/>
                <w:w w:val="88"/>
              </w:rPr>
            </w:pPr>
            <w:hyperlink r:id="rId86">
              <w:r>
                <w:rPr>
                  <w:rFonts w:ascii="Arial" w:cs="Arial" w:eastAsia="Arial" w:hAnsi="Arial"/>
                  <w:sz w:val="18"/>
                  <w:szCs w:val="18"/>
                  <w:color w:val="0000EE"/>
                  <w:w w:val="88"/>
                </w:rPr>
                <w:t>Amended and Restated Warrant to</w:t>
              </w:r>
            </w:hyperlink>
          </w:p>
        </w:tc>
        <w:tc>
          <w:tcPr>
            <w:tcW w:w="600" w:type="dxa"/>
            <w:vAlign w:val="bottom"/>
            <w:gridSpan w:val="13"/>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11/08/2019</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86">
              <w:r>
                <w:rPr>
                  <w:rFonts w:ascii="Arial" w:cs="Arial" w:eastAsia="Arial" w:hAnsi="Arial"/>
                  <w:sz w:val="18"/>
                  <w:szCs w:val="18"/>
                  <w:color w:val="0000EE"/>
                  <w:w w:val="88"/>
                </w:rPr>
                <w:t>Purchase Common Stock, dated as of</w:t>
              </w:r>
            </w:hyperlink>
          </w:p>
        </w:tc>
        <w:tc>
          <w:tcPr>
            <w:tcW w:w="38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86">
              <w:r>
                <w:rPr>
                  <w:rFonts w:ascii="Arial" w:cs="Arial" w:eastAsia="Arial" w:hAnsi="Arial"/>
                  <w:sz w:val="18"/>
                  <w:szCs w:val="18"/>
                  <w:color w:val="0000EE"/>
                  <w:w w:val="89"/>
                </w:rPr>
                <w:t>August 5, 2019, between the registrant</w:t>
              </w:r>
            </w:hyperlink>
          </w:p>
        </w:tc>
        <w:tc>
          <w:tcPr>
            <w:tcW w:w="28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and Silicon Valley Bank.</w:t>
              </w:r>
            </w:hyperlink>
          </w:p>
        </w:tc>
        <w:tc>
          <w:tcPr>
            <w:tcW w:w="1280" w:type="dxa"/>
            <w:vAlign w:val="bottom"/>
            <w:gridSpan w:val="20"/>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2700" w:type="dxa"/>
            <w:vAlign w:val="bottom"/>
            <w:tcBorders>
              <w:bottom w:val="single" w:sz="8" w:color="0000EE"/>
            </w:tcBorders>
            <w:gridSpan w:val="19"/>
          </w:tcPr>
          <w:p>
            <w:pP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Warrant to Purchase Common Stock,</w:t>
              </w:r>
            </w:hyperlink>
          </w:p>
        </w:tc>
        <w:tc>
          <w:tcPr>
            <w:tcW w:w="380" w:type="dxa"/>
            <w:vAlign w:val="bottom"/>
            <w:gridSpan w:val="6"/>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8/06/2020</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dated as of July 15, 2020, between the</w:t>
              </w:r>
            </w:hyperlink>
          </w:p>
        </w:tc>
        <w:tc>
          <w:tcPr>
            <w:tcW w:w="30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registrant and Silicon Valley Bank.</w:t>
              </w:r>
            </w:hyperlink>
          </w:p>
        </w:tc>
        <w:tc>
          <w:tcPr>
            <w:tcW w:w="560" w:type="dxa"/>
            <w:vAlign w:val="bottom"/>
            <w:gridSpan w:val="12"/>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2300" w:type="dxa"/>
            <w:vAlign w:val="bottom"/>
            <w:tcBorders>
              <w:bottom w:val="single" w:sz="8" w:color="0000EE"/>
            </w:tcBorders>
            <w:gridSpan w:val="9"/>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Description of Common Stock.</w:t>
              </w:r>
            </w:hyperlink>
          </w:p>
        </w:tc>
        <w:tc>
          <w:tcPr>
            <w:tcW w:w="780" w:type="dxa"/>
            <w:vAlign w:val="bottom"/>
            <w:gridSpan w:val="16"/>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10-K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3/04/2021</w:t>
            </w: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3080" w:type="dxa"/>
            <w:vAlign w:val="bottom"/>
            <w:gridSpan w:val="25"/>
          </w:tcPr>
          <w:p>
            <w:pPr>
              <w:spacing w:after="0"/>
              <w:rPr>
                <w:rFonts w:ascii="Arial" w:cs="Arial" w:eastAsia="Arial" w:hAnsi="Arial"/>
                <w:sz w:val="18"/>
                <w:szCs w:val="18"/>
                <w:color w:val="0000EE"/>
                <w:w w:val="98"/>
              </w:rPr>
            </w:pPr>
            <w:hyperlink r:id="rId89">
              <w:r>
                <w:rPr>
                  <w:rFonts w:ascii="Arial" w:cs="Arial" w:eastAsia="Arial" w:hAnsi="Arial"/>
                  <w:sz w:val="18"/>
                  <w:szCs w:val="18"/>
                  <w:color w:val="0000EE"/>
                  <w:w w:val="98"/>
                </w:rPr>
                <w:t>Form of Indemnity Agreement between</w:t>
              </w:r>
            </w:hyperlink>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S-1</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the registrant and its directors and</w:t>
              </w:r>
            </w:hyperlink>
          </w:p>
        </w:tc>
        <w:tc>
          <w:tcPr>
            <w:tcW w:w="2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officers.</w:t>
              </w:r>
            </w:hyperlink>
          </w:p>
        </w:tc>
        <w:tc>
          <w:tcPr>
            <w:tcW w:w="1840" w:type="dxa"/>
            <w:vAlign w:val="bottom"/>
            <w:tcBorders>
              <w:top w:val="single" w:sz="8" w:color="0000EE"/>
            </w:tcBorders>
            <w:gridSpan w:val="8"/>
          </w:tcPr>
          <w:p>
            <w:pPr>
              <w:spacing w:after="0"/>
              <w:rPr>
                <w:sz w:val="17"/>
                <w:szCs w:val="17"/>
                <w:color w:val="auto"/>
              </w:rPr>
            </w:pPr>
          </w:p>
        </w:tc>
        <w:tc>
          <w:tcPr>
            <w:tcW w:w="64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3080" w:type="dxa"/>
            <w:vAlign w:val="bottom"/>
            <w:gridSpan w:val="25"/>
          </w:tcPr>
          <w:p>
            <w:pPr>
              <w:spacing w:after="0"/>
              <w:rPr>
                <w:rFonts w:ascii="Arial" w:cs="Arial" w:eastAsia="Arial" w:hAnsi="Arial"/>
                <w:sz w:val="18"/>
                <w:szCs w:val="18"/>
                <w:color w:val="0000EE"/>
              </w:rPr>
            </w:pPr>
            <w:hyperlink r:id="rId90">
              <w:r>
                <w:rPr>
                  <w:rFonts w:ascii="Arial" w:cs="Arial" w:eastAsia="Arial" w:hAnsi="Arial"/>
                  <w:sz w:val="18"/>
                  <w:szCs w:val="18"/>
                  <w:color w:val="0000EE"/>
                </w:rPr>
                <w:t>2008 Equity Incentive Plan, as</w:t>
              </w:r>
            </w:hyperlink>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amended, and Form of Stock Option</w:t>
              </w:r>
            </w:hyperlink>
          </w:p>
        </w:tc>
        <w:tc>
          <w:tcPr>
            <w:tcW w:w="44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Grant Notice, Option Agreement and</w:t>
              </w:r>
            </w:hyperlink>
          </w:p>
        </w:tc>
        <w:tc>
          <w:tcPr>
            <w:tcW w:w="40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Form of Notice of Exercise.</w:t>
              </w:r>
            </w:hyperlink>
          </w:p>
        </w:tc>
        <w:tc>
          <w:tcPr>
            <w:tcW w:w="1060" w:type="dxa"/>
            <w:vAlign w:val="bottom"/>
            <w:gridSpan w:val="19"/>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3080" w:type="dxa"/>
            <w:vAlign w:val="bottom"/>
            <w:gridSpan w:val="25"/>
          </w:tcPr>
          <w:p>
            <w:pPr>
              <w:spacing w:after="0"/>
              <w:rPr>
                <w:rFonts w:ascii="Arial" w:cs="Arial" w:eastAsia="Arial" w:hAnsi="Arial"/>
                <w:sz w:val="18"/>
                <w:szCs w:val="18"/>
                <w:color w:val="0000EE"/>
              </w:rPr>
            </w:pPr>
            <w:hyperlink r:id="rId91">
              <w:r>
                <w:rPr>
                  <w:rFonts w:ascii="Arial" w:cs="Arial" w:eastAsia="Arial" w:hAnsi="Arial"/>
                  <w:sz w:val="18"/>
                  <w:szCs w:val="18"/>
                  <w:color w:val="0000EE"/>
                </w:rPr>
                <w:t>Amended and Restated 2016 Equity</w:t>
              </w:r>
            </w:hyperlink>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5/22/2018</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Incentive Plan.</w:t>
              </w:r>
            </w:hyperlink>
          </w:p>
        </w:tc>
        <w:tc>
          <w:tcPr>
            <w:tcW w:w="48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420" w:type="dxa"/>
            <w:vAlign w:val="bottom"/>
            <w:tcBorders>
              <w:left w:val="single" w:sz="8" w:color="0000EE"/>
            </w:tcBorders>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24"/>
                <w:szCs w:val="24"/>
                <w:color w:val="auto"/>
              </w:rPr>
            </w:pPr>
          </w:p>
        </w:tc>
        <w:tc>
          <w:tcPr>
            <w:tcW w:w="2780" w:type="dxa"/>
            <w:vAlign w:val="bottom"/>
            <w:tcBorders>
              <w:bottom w:val="single" w:sz="8" w:color="0000EE"/>
            </w:tcBorders>
            <w:gridSpan w:val="21"/>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First Amendment to the Amended and</w:t>
              </w:r>
            </w:hyperlink>
          </w:p>
        </w:tc>
        <w:tc>
          <w:tcPr>
            <w:tcW w:w="300" w:type="dxa"/>
            <w:vAlign w:val="bottom"/>
            <w:gridSpan w:val="4"/>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5/25/2021</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Restated 2016 Equity Incentive Plan.</w:t>
              </w:r>
            </w:hyperlink>
          </w:p>
        </w:tc>
        <w:tc>
          <w:tcPr>
            <w:tcW w:w="40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2620" w:type="dxa"/>
            <w:vAlign w:val="bottom"/>
            <w:tcBorders>
              <w:bottom w:val="single" w:sz="8" w:color="0000EE"/>
            </w:tcBorders>
            <w:gridSpan w:val="15"/>
          </w:tcPr>
          <w:p>
            <w:pPr>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Form of Stock Option Grant Notice,</w:t>
              </w:r>
            </w:hyperlink>
          </w:p>
        </w:tc>
        <w:tc>
          <w:tcPr>
            <w:tcW w:w="460" w:type="dxa"/>
            <w:vAlign w:val="bottom"/>
            <w:gridSpan w:val="10"/>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5"/>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Option Agreement and Form of Notice</w:t>
              </w:r>
            </w:hyperlink>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of Exercise used with the 2016 Equity</w:t>
              </w:r>
            </w:hyperlink>
          </w:p>
        </w:tc>
        <w:tc>
          <w:tcPr>
            <w:tcW w:w="40" w:type="dxa"/>
            <w:vAlign w:val="bottom"/>
            <w:tcBorders>
              <w:top w:val="single" w:sz="8" w:color="0000EE"/>
            </w:tcBorders>
            <w:gridSpan w:val="2"/>
          </w:tcPr>
          <w:p>
            <w:pPr>
              <w:spacing w:after="0"/>
              <w:rPr>
                <w:sz w:val="17"/>
                <w:szCs w:val="17"/>
                <w:color w:val="auto"/>
              </w:rPr>
            </w:pPr>
          </w:p>
        </w:tc>
        <w:tc>
          <w:tcPr>
            <w:tcW w:w="28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5"/>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Incentive Plan.</w:t>
              </w:r>
            </w:hyperlink>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420" w:type="dxa"/>
            <w:vAlign w:val="bottom"/>
            <w:tcBorders>
              <w:left w:val="single" w:sz="8" w:color="0000EE"/>
            </w:tcBorders>
            <w:gridSpan w:val="7"/>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2700" w:type="dxa"/>
            <w:vAlign w:val="bottom"/>
            <w:tcBorders>
              <w:bottom w:val="single" w:sz="8" w:color="0000EE"/>
            </w:tcBorders>
            <w:gridSpan w:val="19"/>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Form of Restricted Stock Unit Award</w:t>
              </w:r>
            </w:hyperlink>
          </w:p>
        </w:tc>
        <w:tc>
          <w:tcPr>
            <w:tcW w:w="380" w:type="dxa"/>
            <w:vAlign w:val="bottom"/>
            <w:gridSpan w:val="6"/>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11/13/2017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Agreement under the 2016 Equity</w:t>
              </w:r>
            </w:hyperlink>
          </w:p>
        </w:tc>
        <w:tc>
          <w:tcPr>
            <w:tcW w:w="62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5"/>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Incentive Plan</w:t>
              </w:r>
              <w:r>
                <w:rPr>
                  <w:rFonts w:ascii="Arial" w:cs="Arial" w:eastAsia="Arial" w:hAnsi="Arial"/>
                  <w:sz w:val="18"/>
                  <w:szCs w:val="18"/>
                  <w:color w:val="000000"/>
                </w:rPr>
                <w:t>.</w:t>
              </w:r>
            </w:hyperlink>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660" w:type="dxa"/>
            <w:vAlign w:val="bottom"/>
            <w:gridSpan w:val="1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2700" w:type="dxa"/>
            <w:vAlign w:val="bottom"/>
            <w:tcBorders>
              <w:bottom w:val="single" w:sz="8" w:color="0000EE"/>
            </w:tcBorders>
            <w:gridSpan w:val="19"/>
          </w:tcPr>
          <w:p>
            <w:pPr>
              <w:spacing w:after="0"/>
              <w:rPr>
                <w:rFonts w:ascii="Arial" w:cs="Arial" w:eastAsia="Arial" w:hAnsi="Arial"/>
                <w:sz w:val="18"/>
                <w:szCs w:val="18"/>
                <w:color w:val="0000EE"/>
                <w:w w:val="88"/>
              </w:rPr>
            </w:pPr>
            <w:hyperlink r:id="rId95">
              <w:r>
                <w:rPr>
                  <w:rFonts w:ascii="Arial" w:cs="Arial" w:eastAsia="Arial" w:hAnsi="Arial"/>
                  <w:sz w:val="18"/>
                  <w:szCs w:val="18"/>
                  <w:color w:val="0000EE"/>
                  <w:w w:val="88"/>
                </w:rPr>
                <w:t>2016 Employee Stock Purchase Plan.</w:t>
              </w:r>
            </w:hyperlink>
          </w:p>
        </w:tc>
        <w:tc>
          <w:tcPr>
            <w:tcW w:w="380" w:type="dxa"/>
            <w:vAlign w:val="bottom"/>
            <w:gridSpan w:val="6"/>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-4234180</wp:posOffset>
            </wp:positionV>
            <wp:extent cx="2603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2840" w:type="dxa"/>
            <w:vAlign w:val="bottom"/>
            <w:tcBorders>
              <w:bottom w:val="single" w:sz="8" w:color="0000EE"/>
            </w:tcBorders>
            <w:gridSpan w:val="16"/>
          </w:tcPr>
          <w:p>
            <w:pPr>
              <w:spacing w:after="0"/>
              <w:rPr>
                <w:rFonts w:ascii="Arial" w:cs="Arial" w:eastAsia="Arial" w:hAnsi="Arial"/>
                <w:sz w:val="18"/>
                <w:szCs w:val="18"/>
                <w:color w:val="0000EE"/>
                <w:w w:val="87"/>
              </w:rPr>
            </w:pPr>
            <w:hyperlink r:id="rId98">
              <w:r>
                <w:rPr>
                  <w:rFonts w:ascii="Arial" w:cs="Arial" w:eastAsia="Arial" w:hAnsi="Arial"/>
                  <w:sz w:val="18"/>
                  <w:szCs w:val="18"/>
                  <w:color w:val="0000EE"/>
                  <w:w w:val="87"/>
                </w:rPr>
                <w:t>Lease, dated as of June 6, 2008, by and</w:t>
              </w:r>
            </w:hyperlink>
          </w:p>
        </w:tc>
        <w:tc>
          <w:tcPr>
            <w:tcW w:w="160" w:type="dxa"/>
            <w:vAlign w:val="bottom"/>
            <w:gridSpan w:val="3"/>
          </w:tcPr>
          <w:p>
            <w:pPr>
              <w:spacing w:after="0"/>
              <w:rPr>
                <w:sz w:val="17"/>
                <w:szCs w:val="17"/>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3000" w:type="dxa"/>
            <w:vAlign w:val="bottom"/>
            <w:gridSpan w:val="19"/>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between the registrant and Freescale</w:t>
              </w:r>
            </w:hyperlink>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Semiconductor, Inc.</w:t>
              </w:r>
            </w:hyperlink>
          </w:p>
        </w:tc>
        <w:tc>
          <w:tcPr>
            <w:tcW w:w="1160" w:type="dxa"/>
            <w:vAlign w:val="bottom"/>
            <w:tcBorders>
              <w:top w:val="single" w:sz="8" w:color="0000EE"/>
            </w:tcBorders>
            <w:gridSpan w:val="7"/>
          </w:tcPr>
          <w:p>
            <w:pPr>
              <w:spacing w:after="0"/>
              <w:rPr>
                <w:sz w:val="17"/>
                <w:szCs w:val="17"/>
                <w:color w:val="auto"/>
              </w:rPr>
            </w:pPr>
          </w:p>
        </w:tc>
        <w:tc>
          <w:tcPr>
            <w:tcW w:w="38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10.7.1</w:t>
            </w:r>
          </w:p>
        </w:tc>
        <w:tc>
          <w:tcPr>
            <w:tcW w:w="3000" w:type="dxa"/>
            <w:vAlign w:val="bottom"/>
            <w:gridSpan w:val="19"/>
          </w:tcPr>
          <w:p>
            <w:pPr>
              <w:spacing w:after="0"/>
              <w:rPr>
                <w:rFonts w:ascii="Arial" w:cs="Arial" w:eastAsia="Arial" w:hAnsi="Arial"/>
                <w:sz w:val="18"/>
                <w:szCs w:val="18"/>
                <w:color w:val="0000EE"/>
                <w:w w:val="93"/>
              </w:rPr>
            </w:pPr>
            <w:hyperlink r:id="rId99">
              <w:r>
                <w:rPr>
                  <w:rFonts w:ascii="Arial" w:cs="Arial" w:eastAsia="Arial" w:hAnsi="Arial"/>
                  <w:sz w:val="18"/>
                  <w:szCs w:val="18"/>
                  <w:color w:val="0000EE"/>
                  <w:w w:val="93"/>
                </w:rPr>
                <w:t>Amendment No. 1 to Lease, dated as of</w:t>
              </w:r>
            </w:hyperlink>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February 2, 2009, by and between the</w:t>
              </w:r>
            </w:hyperlink>
          </w:p>
        </w:tc>
        <w:tc>
          <w:tcPr>
            <w:tcW w:w="120" w:type="dxa"/>
            <w:vAlign w:val="bottom"/>
            <w:tcBorders>
              <w:top w:val="single" w:sz="8" w:color="0000EE"/>
            </w:tcBorders>
            <w:gridSpan w:val="4"/>
          </w:tcPr>
          <w:p>
            <w:pPr>
              <w:spacing w:after="0"/>
              <w:rPr>
                <w:sz w:val="17"/>
                <w:szCs w:val="17"/>
                <w:color w:val="auto"/>
              </w:rPr>
            </w:pPr>
          </w:p>
        </w:tc>
        <w:tc>
          <w:tcPr>
            <w:tcW w:w="1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19"/>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registrant and Freescale Semiconductor,</w:t>
              </w:r>
            </w:hyperlink>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Inc.</w:t>
              </w:r>
            </w:hyperlink>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10.7.2</w:t>
            </w:r>
          </w:p>
        </w:tc>
        <w:tc>
          <w:tcPr>
            <w:tcW w:w="3000" w:type="dxa"/>
            <w:vAlign w:val="bottom"/>
            <w:gridSpan w:val="19"/>
          </w:tcPr>
          <w:p>
            <w:pPr>
              <w:spacing w:after="0"/>
              <w:rPr>
                <w:rFonts w:ascii="Arial" w:cs="Arial" w:eastAsia="Arial" w:hAnsi="Arial"/>
                <w:sz w:val="18"/>
                <w:szCs w:val="18"/>
                <w:color w:val="0000EE"/>
                <w:w w:val="93"/>
              </w:rPr>
            </w:pPr>
            <w:hyperlink r:id="rId100">
              <w:r>
                <w:rPr>
                  <w:rFonts w:ascii="Arial" w:cs="Arial" w:eastAsia="Arial" w:hAnsi="Arial"/>
                  <w:sz w:val="18"/>
                  <w:szCs w:val="18"/>
                  <w:color w:val="0000EE"/>
                  <w:w w:val="93"/>
                </w:rPr>
                <w:t>Amendment No. 2 to Lease, dated as of</w:t>
              </w:r>
            </w:hyperlink>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r:id="rId100">
              <w:r>
                <w:rPr>
                  <w:rFonts w:ascii="Arial" w:cs="Arial" w:eastAsia="Arial" w:hAnsi="Arial"/>
                  <w:sz w:val="18"/>
                  <w:szCs w:val="18"/>
                  <w:color w:val="0000EE"/>
                  <w:w w:val="89"/>
                </w:rPr>
                <w:t>February 18, 2010, by and between the</w:t>
              </w:r>
            </w:hyperlink>
          </w:p>
        </w:tc>
        <w:tc>
          <w:tcPr>
            <w:tcW w:w="40" w:type="dxa"/>
            <w:vAlign w:val="bottom"/>
            <w:tcBorders>
              <w:top w:val="single" w:sz="8" w:color="0000EE"/>
            </w:tcBorders>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19"/>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registrant and Freescale Semiconductor,</w:t>
              </w:r>
            </w:hyperlink>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Inc.</w:t>
              </w:r>
            </w:hyperlink>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10.7.3</w:t>
            </w:r>
          </w:p>
        </w:tc>
        <w:tc>
          <w:tcPr>
            <w:tcW w:w="3000" w:type="dxa"/>
            <w:vAlign w:val="bottom"/>
            <w:gridSpan w:val="19"/>
          </w:tcPr>
          <w:p>
            <w:pPr>
              <w:spacing w:after="0"/>
              <w:rPr>
                <w:rFonts w:ascii="Arial" w:cs="Arial" w:eastAsia="Arial" w:hAnsi="Arial"/>
                <w:sz w:val="18"/>
                <w:szCs w:val="18"/>
                <w:color w:val="0000EE"/>
                <w:w w:val="93"/>
              </w:rPr>
            </w:pPr>
            <w:hyperlink r:id="rId101">
              <w:r>
                <w:rPr>
                  <w:rFonts w:ascii="Arial" w:cs="Arial" w:eastAsia="Arial" w:hAnsi="Arial"/>
                  <w:sz w:val="18"/>
                  <w:szCs w:val="18"/>
                  <w:color w:val="0000EE"/>
                  <w:w w:val="93"/>
                </w:rPr>
                <w:t>Amendment No. 3 to Lease, dated as of</w:t>
              </w:r>
            </w:hyperlink>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2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July 20, 2011, by and between the</w:t>
              </w:r>
            </w:hyperlink>
          </w:p>
        </w:tc>
        <w:tc>
          <w:tcPr>
            <w:tcW w:w="1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00" w:type="dxa"/>
            <w:vAlign w:val="bottom"/>
            <w:gridSpan w:val="19"/>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registrant and Freescale Semiconductor,</w:t>
              </w:r>
            </w:hyperlink>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Inc.</w:t>
              </w:r>
            </w:hyperlink>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10.7.4</w:t>
            </w:r>
          </w:p>
        </w:tc>
        <w:tc>
          <w:tcPr>
            <w:tcW w:w="3000" w:type="dxa"/>
            <w:vAlign w:val="bottom"/>
            <w:gridSpan w:val="19"/>
          </w:tcPr>
          <w:p>
            <w:pPr>
              <w:spacing w:after="0"/>
              <w:rPr>
                <w:rFonts w:ascii="Arial" w:cs="Arial" w:eastAsia="Arial" w:hAnsi="Arial"/>
                <w:sz w:val="18"/>
                <w:szCs w:val="18"/>
                <w:color w:val="0000EE"/>
                <w:w w:val="93"/>
              </w:rPr>
            </w:pPr>
            <w:hyperlink r:id="rId102">
              <w:r>
                <w:rPr>
                  <w:rFonts w:ascii="Arial" w:cs="Arial" w:eastAsia="Arial" w:hAnsi="Arial"/>
                  <w:sz w:val="18"/>
                  <w:szCs w:val="18"/>
                  <w:color w:val="0000EE"/>
                  <w:w w:val="93"/>
                </w:rPr>
                <w:t>Amendment No. 4 to Lease, dated as of</w:t>
              </w:r>
            </w:hyperlink>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2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June, 2014 by and between the</w:t>
              </w:r>
            </w:hyperlink>
          </w:p>
        </w:tc>
        <w:tc>
          <w:tcPr>
            <w:tcW w:w="1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00" w:type="dxa"/>
            <w:vAlign w:val="bottom"/>
            <w:gridSpan w:val="19"/>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registrant and Freescale Semiconductor,</w:t>
              </w:r>
            </w:hyperlink>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Inc.</w:t>
              </w:r>
            </w:hyperlink>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10.7.5</w:t>
            </w:r>
          </w:p>
        </w:tc>
        <w:tc>
          <w:tcPr>
            <w:tcW w:w="3000" w:type="dxa"/>
            <w:vAlign w:val="bottom"/>
            <w:gridSpan w:val="19"/>
          </w:tcPr>
          <w:p>
            <w:pPr>
              <w:spacing w:after="0"/>
              <w:rPr>
                <w:rFonts w:ascii="Arial" w:cs="Arial" w:eastAsia="Arial" w:hAnsi="Arial"/>
                <w:sz w:val="18"/>
                <w:szCs w:val="18"/>
                <w:color w:val="0000EE"/>
                <w:w w:val="93"/>
              </w:rPr>
            </w:pPr>
            <w:hyperlink r:id="rId103">
              <w:r>
                <w:rPr>
                  <w:rFonts w:ascii="Arial" w:cs="Arial" w:eastAsia="Arial" w:hAnsi="Arial"/>
                  <w:sz w:val="18"/>
                  <w:szCs w:val="18"/>
                  <w:color w:val="0000EE"/>
                  <w:w w:val="93"/>
                </w:rPr>
                <w:t>Amendment No. 5 to Lease, dated as of</w:t>
              </w:r>
            </w:hyperlink>
          </w:p>
        </w:tc>
        <w:tc>
          <w:tcPr>
            <w:tcW w:w="8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3/28/2017</w:t>
            </w:r>
          </w:p>
        </w:tc>
      </w:tr>
      <w:tr>
        <w:trPr>
          <w:trHeight w:val="196"/>
        </w:trPr>
        <w:tc>
          <w:tcPr>
            <w:tcW w:w="10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March 22, 2017 by and between the</w:t>
              </w:r>
            </w:hyperlink>
          </w:p>
        </w:tc>
        <w:tc>
          <w:tcPr>
            <w:tcW w:w="260" w:type="dxa"/>
            <w:vAlign w:val="bottom"/>
            <w:tcBorders>
              <w:top w:val="single" w:sz="8" w:color="0000EE"/>
            </w:tcBorders>
            <w:gridSpan w:val="8"/>
          </w:tcPr>
          <w:p>
            <w:pPr>
              <w:spacing w:after="0"/>
              <w:rPr>
                <w:sz w:val="17"/>
                <w:szCs w:val="17"/>
                <w:color w:val="auto"/>
              </w:rPr>
            </w:pPr>
          </w:p>
        </w:tc>
        <w:tc>
          <w:tcPr>
            <w:tcW w:w="1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19"/>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registrant and Freescale Semiconductor,</w:t>
              </w:r>
            </w:hyperlink>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Inc.</w:t>
              </w:r>
            </w:hyperlink>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10.7.6</w:t>
            </w:r>
          </w:p>
        </w:tc>
        <w:tc>
          <w:tcPr>
            <w:tcW w:w="3000" w:type="dxa"/>
            <w:vAlign w:val="bottom"/>
            <w:gridSpan w:val="19"/>
          </w:tcPr>
          <w:p>
            <w:pPr>
              <w:spacing w:after="0"/>
              <w:rPr>
                <w:rFonts w:ascii="Arial" w:cs="Arial" w:eastAsia="Arial" w:hAnsi="Arial"/>
                <w:sz w:val="18"/>
                <w:szCs w:val="18"/>
                <w:color w:val="0000EE"/>
                <w:w w:val="93"/>
              </w:rPr>
            </w:pPr>
            <w:hyperlink r:id="rId104">
              <w:r>
                <w:rPr>
                  <w:rFonts w:ascii="Arial" w:cs="Arial" w:eastAsia="Arial" w:hAnsi="Arial"/>
                  <w:sz w:val="18"/>
                  <w:szCs w:val="18"/>
                  <w:color w:val="0000EE"/>
                  <w:w w:val="93"/>
                </w:rPr>
                <w:t>Amendment No. 6 to Lease, dated as of</w:t>
              </w:r>
            </w:hyperlink>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10.40</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3/15/2018</w:t>
            </w:r>
          </w:p>
        </w:tc>
      </w:tr>
      <w:tr>
        <w:trPr>
          <w:trHeight w:val="196"/>
        </w:trPr>
        <w:tc>
          <w:tcPr>
            <w:tcW w:w="1040" w:type="dxa"/>
            <w:vAlign w:val="bottom"/>
          </w:tcPr>
          <w:p>
            <w:pPr>
              <w:spacing w:after="0"/>
              <w:rPr>
                <w:sz w:val="17"/>
                <w:szCs w:val="17"/>
                <w:color w:val="auto"/>
              </w:rPr>
            </w:pPr>
          </w:p>
        </w:tc>
        <w:tc>
          <w:tcPr>
            <w:tcW w:w="2860" w:type="dxa"/>
            <w:vAlign w:val="bottom"/>
            <w:tcBorders>
              <w:top w:val="single" w:sz="8" w:color="0000EE"/>
            </w:tcBorders>
            <w:gridSpan w:val="17"/>
          </w:tcPr>
          <w:p>
            <w:pPr>
              <w:spacing w:after="0" w:line="196" w:lineRule="exact"/>
              <w:rPr>
                <w:rFonts w:ascii="Arial" w:cs="Arial" w:eastAsia="Arial" w:hAnsi="Arial"/>
                <w:sz w:val="18"/>
                <w:szCs w:val="18"/>
                <w:color w:val="0000EE"/>
                <w:w w:val="94"/>
              </w:rPr>
            </w:pPr>
            <w:hyperlink r:id="rId104">
              <w:r>
                <w:rPr>
                  <w:rFonts w:ascii="Arial" w:cs="Arial" w:eastAsia="Arial" w:hAnsi="Arial"/>
                  <w:sz w:val="18"/>
                  <w:szCs w:val="18"/>
                  <w:color w:val="0000EE"/>
                  <w:w w:val="94"/>
                </w:rPr>
                <w:t>October 31, 2017 by and between the</w:t>
              </w:r>
            </w:hyperlink>
          </w:p>
        </w:tc>
        <w:tc>
          <w:tcPr>
            <w:tcW w:w="1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registrant and NXP USA, Inc.</w:t>
              </w:r>
            </w:hyperlink>
          </w:p>
        </w:tc>
        <w:tc>
          <w:tcPr>
            <w:tcW w:w="30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(formerly Freescale Semiconductor,</w:t>
              </w:r>
            </w:hyperlink>
          </w:p>
        </w:tc>
        <w:tc>
          <w:tcPr>
            <w:tcW w:w="40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19"/>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Inc.</w:t>
              </w:r>
              <w:r>
                <w:rPr>
                  <w:rFonts w:ascii="Arial" w:cs="Arial" w:eastAsia="Arial" w:hAnsi="Arial"/>
                  <w:sz w:val="18"/>
                  <w:szCs w:val="18"/>
                  <w:color w:val="000000"/>
                </w:rPr>
                <w:t>).</w:t>
              </w:r>
            </w:hyperlink>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10.7.7</w:t>
            </w:r>
          </w:p>
        </w:tc>
        <w:tc>
          <w:tcPr>
            <w:tcW w:w="2720" w:type="dxa"/>
            <w:vAlign w:val="bottom"/>
            <w:tcBorders>
              <w:bottom w:val="single" w:sz="8" w:color="0000EE"/>
            </w:tcBorders>
            <w:gridSpan w:val="12"/>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Amendment No. 7 to Lease, effective</w:t>
              </w:r>
            </w:hyperlink>
          </w:p>
        </w:tc>
        <w:tc>
          <w:tcPr>
            <w:tcW w:w="280" w:type="dxa"/>
            <w:vAlign w:val="bottom"/>
            <w:gridSpan w:val="7"/>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11/14/2018</w:t>
            </w:r>
          </w:p>
        </w:tc>
      </w:tr>
      <w:tr>
        <w:trPr>
          <w:trHeight w:val="196"/>
        </w:trPr>
        <w:tc>
          <w:tcPr>
            <w:tcW w:w="1040" w:type="dxa"/>
            <w:vAlign w:val="bottom"/>
          </w:tcPr>
          <w:p>
            <w:pPr>
              <w:spacing w:after="0"/>
              <w:rPr>
                <w:sz w:val="17"/>
                <w:szCs w:val="17"/>
                <w:color w:val="auto"/>
              </w:rPr>
            </w:pPr>
          </w:p>
        </w:tc>
        <w:tc>
          <w:tcPr>
            <w:tcW w:w="3000" w:type="dxa"/>
            <w:vAlign w:val="bottom"/>
            <w:gridSpan w:val="19"/>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as of June 30, 2018 by and between the</w:t>
              </w:r>
            </w:hyperlink>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registrant and NXP USA, Inc.</w:t>
              </w:r>
            </w:hyperlink>
          </w:p>
        </w:tc>
        <w:tc>
          <w:tcPr>
            <w:tcW w:w="16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(formerly Freescale Semiconductor,</w:t>
              </w:r>
            </w:hyperlink>
          </w:p>
        </w:tc>
        <w:tc>
          <w:tcPr>
            <w:tcW w:w="40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19"/>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Inc.)</w:t>
              </w:r>
              <w:r>
                <w:rPr>
                  <w:rFonts w:ascii="Arial" w:cs="Arial" w:eastAsia="Arial" w:hAnsi="Arial"/>
                  <w:sz w:val="18"/>
                  <w:szCs w:val="18"/>
                  <w:color w:val="000000"/>
                </w:rPr>
                <w:t>.</w:t>
              </w:r>
            </w:hyperlink>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10.7.8</w:t>
            </w:r>
          </w:p>
        </w:tc>
        <w:tc>
          <w:tcPr>
            <w:tcW w:w="3000" w:type="dxa"/>
            <w:vAlign w:val="bottom"/>
            <w:gridSpan w:val="19"/>
          </w:tcPr>
          <w:p>
            <w:pPr>
              <w:spacing w:after="0"/>
              <w:rPr>
                <w:rFonts w:ascii="Arial" w:cs="Arial" w:eastAsia="Arial" w:hAnsi="Arial"/>
                <w:sz w:val="18"/>
                <w:szCs w:val="18"/>
                <w:color w:val="0000EE"/>
              </w:rPr>
            </w:pPr>
            <w:hyperlink r:id="rId106">
              <w:r>
                <w:rPr>
                  <w:rFonts w:ascii="Arial" w:cs="Arial" w:eastAsia="Arial" w:hAnsi="Arial"/>
                  <w:sz w:val="18"/>
                  <w:szCs w:val="18"/>
                  <w:color w:val="0000EE"/>
                </w:rPr>
                <w:t>Amendment No. 8 to Lease, effective</w:t>
              </w:r>
            </w:hyperlink>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3/13/2020</w:t>
            </w:r>
          </w:p>
        </w:tc>
      </w:tr>
      <w:tr>
        <w:trPr>
          <w:trHeight w:val="196"/>
        </w:trPr>
        <w:tc>
          <w:tcPr>
            <w:tcW w:w="1040" w:type="dxa"/>
            <w:vAlign w:val="bottom"/>
          </w:tcPr>
          <w:p>
            <w:pPr>
              <w:spacing w:after="0"/>
              <w:rPr>
                <w:sz w:val="17"/>
                <w:szCs w:val="17"/>
                <w:color w:val="auto"/>
              </w:rPr>
            </w:pPr>
          </w:p>
        </w:tc>
        <w:tc>
          <w:tcPr>
            <w:tcW w:w="27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as of November 30, 2019 by and</w:t>
              </w:r>
            </w:hyperlink>
          </w:p>
        </w:tc>
        <w:tc>
          <w:tcPr>
            <w:tcW w:w="30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between the registrant and NXP USA,</w:t>
              </w:r>
            </w:hyperlink>
          </w:p>
        </w:tc>
        <w:tc>
          <w:tcPr>
            <w:tcW w:w="24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19"/>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Inc. (formerly Freescale</w:t>
              </w:r>
            </w:hyperlink>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7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Semiconductor, Inc.).</w:t>
              </w:r>
            </w:hyperlink>
          </w:p>
        </w:tc>
        <w:tc>
          <w:tcPr>
            <w:tcW w:w="1260" w:type="dxa"/>
            <w:vAlign w:val="bottom"/>
            <w:gridSpan w:val="14"/>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10.7.9</w:t>
            </w:r>
          </w:p>
        </w:tc>
        <w:tc>
          <w:tcPr>
            <w:tcW w:w="2720" w:type="dxa"/>
            <w:vAlign w:val="bottom"/>
            <w:tcBorders>
              <w:bottom w:val="single" w:sz="8" w:color="0000EE"/>
            </w:tcBorders>
            <w:gridSpan w:val="12"/>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Amendment No. 9 to Lease, effective</w:t>
              </w:r>
            </w:hyperlink>
          </w:p>
        </w:tc>
        <w:tc>
          <w:tcPr>
            <w:tcW w:w="280" w:type="dxa"/>
            <w:vAlign w:val="bottom"/>
            <w:gridSpan w:val="7"/>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8/06/2020</w:t>
            </w:r>
          </w:p>
        </w:tc>
      </w:tr>
      <w:tr>
        <w:trPr>
          <w:trHeight w:val="196"/>
        </w:trPr>
        <w:tc>
          <w:tcPr>
            <w:tcW w:w="1040" w:type="dxa"/>
            <w:vAlign w:val="bottom"/>
          </w:tcPr>
          <w:p>
            <w:pPr>
              <w:spacing w:after="0"/>
              <w:rPr>
                <w:sz w:val="17"/>
                <w:szCs w:val="17"/>
                <w:color w:val="auto"/>
              </w:rPr>
            </w:pPr>
          </w:p>
        </w:tc>
        <w:tc>
          <w:tcPr>
            <w:tcW w:w="27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as of March 31, 2020 by and between</w:t>
              </w:r>
            </w:hyperlink>
          </w:p>
        </w:tc>
        <w:tc>
          <w:tcPr>
            <w:tcW w:w="28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the registrant and NXP USA, Inc.</w:t>
              </w:r>
            </w:hyperlink>
          </w:p>
        </w:tc>
        <w:tc>
          <w:tcPr>
            <w:tcW w:w="54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(formerly Freescale Semiconductor,</w:t>
              </w:r>
            </w:hyperlink>
          </w:p>
        </w:tc>
        <w:tc>
          <w:tcPr>
            <w:tcW w:w="40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19"/>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Inc.).</w:t>
              </w:r>
            </w:hyperlink>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10.7.10</w:t>
            </w:r>
          </w:p>
        </w:tc>
        <w:tc>
          <w:tcPr>
            <w:tcW w:w="280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0"/>
              </w:rPr>
              <w:t>Amendment No. 10 to Lease, effective</w:t>
            </w:r>
          </w:p>
        </w:tc>
        <w:tc>
          <w:tcPr>
            <w:tcW w:w="22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92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89"/>
              </w:rPr>
              <w:t>as of February 12, 2022 by and between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2"/>
              </w:rPr>
              <w:t>the registrant and NXP USA, Inc.</w:t>
            </w:r>
          </w:p>
        </w:tc>
        <w:tc>
          <w:tcPr>
            <w:tcW w:w="540" w:type="dxa"/>
            <w:vAlign w:val="bottom"/>
            <w:gridSpan w:val="17"/>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0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(formerly Freescale Semiconductor,</w:t>
            </w:r>
          </w:p>
        </w:tc>
        <w:tc>
          <w:tcPr>
            <w:tcW w:w="42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20" w:type="dxa"/>
            <w:vAlign w:val="bottom"/>
            <w:gridSpan w:val="29"/>
          </w:tcPr>
          <w:p>
            <w:pPr>
              <w:spacing w:after="0" w:line="196" w:lineRule="exact"/>
              <w:rPr>
                <w:sz w:val="20"/>
                <w:szCs w:val="20"/>
                <w:color w:val="auto"/>
              </w:rPr>
            </w:pPr>
            <w:r>
              <w:rPr>
                <w:rFonts w:ascii="Arial" w:cs="Arial" w:eastAsia="Arial" w:hAnsi="Arial"/>
                <w:sz w:val="18"/>
                <w:szCs w:val="18"/>
                <w:color w:val="0000EE"/>
              </w:rPr>
              <w:t>Inc.)</w:t>
            </w: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2400" w:type="dxa"/>
            <w:vAlign w:val="bottom"/>
            <w:tcBorders>
              <w:bottom w:val="single" w:sz="8" w:color="0000EE"/>
            </w:tcBorders>
            <w:gridSpan w:val="10"/>
          </w:tcPr>
          <w:p>
            <w:pPr>
              <w:spacing w:after="0"/>
              <w:rPr>
                <w:rFonts w:ascii="Arial" w:cs="Arial" w:eastAsia="Arial" w:hAnsi="Arial"/>
                <w:sz w:val="18"/>
                <w:szCs w:val="18"/>
                <w:color w:val="0000EE"/>
                <w:w w:val="88"/>
              </w:rPr>
            </w:pPr>
            <w:hyperlink r:id="rId109">
              <w:r>
                <w:rPr>
                  <w:rFonts w:ascii="Arial" w:cs="Arial" w:eastAsia="Arial" w:hAnsi="Arial"/>
                  <w:sz w:val="18"/>
                  <w:szCs w:val="18"/>
                  <w:color w:val="0000EE"/>
                  <w:w w:val="88"/>
                </w:rPr>
                <w:t>Amended and Restated Loan and</w:t>
              </w:r>
            </w:hyperlink>
          </w:p>
        </w:tc>
        <w:tc>
          <w:tcPr>
            <w:tcW w:w="620" w:type="dxa"/>
            <w:vAlign w:val="bottom"/>
            <w:gridSpan w:val="19"/>
          </w:tcPr>
          <w:p>
            <w:pPr>
              <w:spacing w:after="0"/>
              <w:rPr>
                <w:sz w:val="24"/>
                <w:szCs w:val="24"/>
                <w:color w:val="auto"/>
              </w:rPr>
            </w:pPr>
          </w:p>
        </w:tc>
        <w:tc>
          <w:tcPr>
            <w:tcW w:w="80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11/08/2019</w:t>
            </w:r>
          </w:p>
        </w:tc>
      </w:tr>
      <w:tr>
        <w:trPr>
          <w:trHeight w:val="196"/>
        </w:trPr>
        <w:tc>
          <w:tcPr>
            <w:tcW w:w="1040" w:type="dxa"/>
            <w:vAlign w:val="bottom"/>
          </w:tcPr>
          <w:p>
            <w:pPr>
              <w:spacing w:after="0"/>
              <w:rPr>
                <w:sz w:val="17"/>
                <w:szCs w:val="17"/>
                <w:color w:val="auto"/>
              </w:rPr>
            </w:pPr>
          </w:p>
        </w:tc>
        <w:tc>
          <w:tcPr>
            <w:tcW w:w="29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Security Agreement, dated as of August</w:t>
              </w:r>
            </w:hyperlink>
          </w:p>
        </w:tc>
        <w:tc>
          <w:tcPr>
            <w:tcW w:w="12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5, 2019, between the registrant and</w:t>
              </w:r>
            </w:hyperlink>
          </w:p>
        </w:tc>
        <w:tc>
          <w:tcPr>
            <w:tcW w:w="46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Silicon Valley Bank.</w:t>
              </w:r>
            </w:hyperlink>
          </w:p>
        </w:tc>
        <w:tc>
          <w:tcPr>
            <w:tcW w:w="1520" w:type="dxa"/>
            <w:vAlign w:val="bottom"/>
            <w:gridSpan w:val="24"/>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10.8.1</w:t>
            </w:r>
          </w:p>
        </w:tc>
        <w:tc>
          <w:tcPr>
            <w:tcW w:w="3020" w:type="dxa"/>
            <w:vAlign w:val="bottom"/>
            <w:gridSpan w:val="29"/>
          </w:tcPr>
          <w:p>
            <w:pPr>
              <w:spacing w:after="0"/>
              <w:rPr>
                <w:rFonts w:ascii="Arial" w:cs="Arial" w:eastAsia="Arial" w:hAnsi="Arial"/>
                <w:sz w:val="18"/>
                <w:szCs w:val="18"/>
                <w:color w:val="0000EE"/>
              </w:rPr>
            </w:pPr>
            <w:hyperlink r:id="rId110">
              <w:r>
                <w:rPr>
                  <w:rFonts w:ascii="Arial" w:cs="Arial" w:eastAsia="Arial" w:hAnsi="Arial"/>
                  <w:sz w:val="18"/>
                  <w:szCs w:val="18"/>
                  <w:color w:val="0000EE"/>
                </w:rPr>
                <w:t>First Amendment to Amended and</w:t>
              </w:r>
            </w:hyperlink>
          </w:p>
        </w:tc>
        <w:tc>
          <w:tcPr>
            <w:tcW w:w="80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8/06/2020</w:t>
            </w:r>
          </w:p>
        </w:tc>
      </w:tr>
      <w:tr>
        <w:trPr>
          <w:trHeight w:val="20"/>
        </w:trPr>
        <w:tc>
          <w:tcPr>
            <w:tcW w:w="10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20" w:type="dxa"/>
            <w:vAlign w:val="bottom"/>
            <w:gridSpan w:val="29"/>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Restated Loan and Security Agreement,</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dated as of July 15, 2020, by and</w:t>
              </w:r>
            </w:hyperlink>
          </w:p>
        </w:tc>
        <w:tc>
          <w:tcPr>
            <w:tcW w:w="14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between the registrant and Silicon</w:t>
              </w:r>
            </w:hyperlink>
          </w:p>
        </w:tc>
        <w:tc>
          <w:tcPr>
            <w:tcW w:w="540" w:type="dxa"/>
            <w:vAlign w:val="bottom"/>
            <w:gridSpan w:val="17"/>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Valley Bank.</w:t>
              </w:r>
            </w:hyperlink>
          </w:p>
        </w:tc>
        <w:tc>
          <w:tcPr>
            <w:tcW w:w="2080" w:type="dxa"/>
            <w:vAlign w:val="bottom"/>
            <w:gridSpan w:val="25"/>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10.8.2</w:t>
            </w:r>
          </w:p>
        </w:tc>
        <w:tc>
          <w:tcPr>
            <w:tcW w:w="2720" w:type="dxa"/>
            <w:vAlign w:val="bottom"/>
            <w:tcBorders>
              <w:bottom w:val="single" w:sz="8" w:color="0000EE"/>
            </w:tcBorders>
            <w:gridSpan w:val="20"/>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Second Amendment to Amended and</w:t>
              </w:r>
            </w:hyperlink>
          </w:p>
        </w:tc>
        <w:tc>
          <w:tcPr>
            <w:tcW w:w="300" w:type="dxa"/>
            <w:vAlign w:val="bottom"/>
            <w:gridSpan w:val="9"/>
          </w:tcPr>
          <w:p>
            <w:pPr>
              <w:spacing w:after="0"/>
              <w:rPr>
                <w:sz w:val="24"/>
                <w:szCs w:val="24"/>
                <w:color w:val="auto"/>
              </w:rPr>
            </w:pPr>
          </w:p>
        </w:tc>
        <w:tc>
          <w:tcPr>
            <w:tcW w:w="80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8/12/2021</w:t>
            </w:r>
          </w:p>
        </w:tc>
      </w:tr>
      <w:tr>
        <w:trPr>
          <w:trHeight w:val="196"/>
        </w:trPr>
        <w:tc>
          <w:tcPr>
            <w:tcW w:w="1040" w:type="dxa"/>
            <w:vAlign w:val="bottom"/>
          </w:tcPr>
          <w:p>
            <w:pPr>
              <w:spacing w:after="0"/>
              <w:rPr>
                <w:sz w:val="17"/>
                <w:szCs w:val="17"/>
                <w:color w:val="auto"/>
              </w:rPr>
            </w:pPr>
          </w:p>
        </w:tc>
        <w:tc>
          <w:tcPr>
            <w:tcW w:w="3020" w:type="dxa"/>
            <w:vAlign w:val="bottom"/>
            <w:gridSpan w:val="29"/>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Restated Loan and Security Agreement,</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dated as of July 28, 2021, by and</w:t>
              </w:r>
            </w:hyperlink>
          </w:p>
        </w:tc>
        <w:tc>
          <w:tcPr>
            <w:tcW w:w="14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between the registrant and Silicon</w:t>
              </w:r>
            </w:hyperlink>
          </w:p>
        </w:tc>
        <w:tc>
          <w:tcPr>
            <w:tcW w:w="540" w:type="dxa"/>
            <w:vAlign w:val="bottom"/>
            <w:gridSpan w:val="17"/>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Valley Bank.</w:t>
              </w:r>
            </w:hyperlink>
          </w:p>
        </w:tc>
        <w:tc>
          <w:tcPr>
            <w:tcW w:w="2080" w:type="dxa"/>
            <w:vAlign w:val="bottom"/>
            <w:gridSpan w:val="25"/>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10.8.3</w:t>
            </w:r>
          </w:p>
        </w:tc>
        <w:tc>
          <w:tcPr>
            <w:tcW w:w="2580" w:type="dxa"/>
            <w:vAlign w:val="bottom"/>
            <w:tcBorders>
              <w:bottom w:val="single" w:sz="8" w:color="0000EE"/>
            </w:tcBorders>
            <w:gridSpan w:val="16"/>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Third Amendment to Amended and</w:t>
              </w:r>
            </w:hyperlink>
          </w:p>
        </w:tc>
        <w:tc>
          <w:tcPr>
            <w:tcW w:w="440" w:type="dxa"/>
            <w:vAlign w:val="bottom"/>
            <w:gridSpan w:val="13"/>
          </w:tcPr>
          <w:p>
            <w:pPr>
              <w:spacing w:after="0"/>
              <w:rPr>
                <w:sz w:val="24"/>
                <w:szCs w:val="24"/>
                <w:color w:val="auto"/>
              </w:rPr>
            </w:pPr>
          </w:p>
        </w:tc>
        <w:tc>
          <w:tcPr>
            <w:tcW w:w="80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8/12/2022</w:t>
            </w:r>
          </w:p>
        </w:tc>
      </w:tr>
      <w:tr>
        <w:trPr>
          <w:trHeight w:val="196"/>
        </w:trPr>
        <w:tc>
          <w:tcPr>
            <w:tcW w:w="1040" w:type="dxa"/>
            <w:vAlign w:val="bottom"/>
          </w:tcPr>
          <w:p>
            <w:pPr>
              <w:spacing w:after="0"/>
              <w:rPr>
                <w:sz w:val="17"/>
                <w:szCs w:val="17"/>
                <w:color w:val="auto"/>
              </w:rPr>
            </w:pPr>
          </w:p>
        </w:tc>
        <w:tc>
          <w:tcPr>
            <w:tcW w:w="3020" w:type="dxa"/>
            <w:vAlign w:val="bottom"/>
            <w:gridSpan w:val="29"/>
          </w:tcPr>
          <w:p>
            <w:pPr>
              <w:spacing w:after="0" w:line="19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Restated Loan and Security Agreement,</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dated as of July 22, 2022, by and</w:t>
              </w:r>
            </w:hyperlink>
          </w:p>
        </w:tc>
        <w:tc>
          <w:tcPr>
            <w:tcW w:w="14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between the registrant and Silicon</w:t>
              </w:r>
            </w:hyperlink>
          </w:p>
        </w:tc>
        <w:tc>
          <w:tcPr>
            <w:tcW w:w="540" w:type="dxa"/>
            <w:vAlign w:val="bottom"/>
            <w:gridSpan w:val="17"/>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Valley Bank</w:t>
              </w:r>
            </w:hyperlink>
          </w:p>
        </w:tc>
        <w:tc>
          <w:tcPr>
            <w:tcW w:w="2120" w:type="dxa"/>
            <w:vAlign w:val="bottom"/>
            <w:gridSpan w:val="26"/>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2100" w:type="dxa"/>
            <w:vAlign w:val="bottom"/>
            <w:tcBorders>
              <w:bottom w:val="single" w:sz="8" w:color="0000EE"/>
            </w:tcBorders>
            <w:gridSpan w:val="7"/>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Commercial Industrial Lease</w:t>
              </w:r>
            </w:hyperlink>
          </w:p>
        </w:tc>
        <w:tc>
          <w:tcPr>
            <w:tcW w:w="920" w:type="dxa"/>
            <w:vAlign w:val="bottom"/>
            <w:gridSpan w:val="22"/>
          </w:tcPr>
          <w:p>
            <w:pPr>
              <w:spacing w:after="0"/>
              <w:rPr>
                <w:sz w:val="24"/>
                <w:szCs w:val="24"/>
                <w:color w:val="auto"/>
              </w:rPr>
            </w:pPr>
          </w:p>
        </w:tc>
        <w:tc>
          <w:tcPr>
            <w:tcW w:w="80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3020" w:type="dxa"/>
            <w:vAlign w:val="bottom"/>
            <w:gridSpan w:val="29"/>
          </w:tcPr>
          <w:p>
            <w:pPr>
              <w:spacing w:after="0" w:line="196"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Agreement, dated as of May 18, 2012</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r:id="rId113">
              <w:r>
                <w:rPr>
                  <w:rFonts w:ascii="Arial" w:cs="Arial" w:eastAsia="Arial" w:hAnsi="Arial"/>
                  <w:sz w:val="18"/>
                  <w:szCs w:val="18"/>
                  <w:color w:val="0000EE"/>
                  <w:w w:val="88"/>
                </w:rPr>
                <w:t>by and between the registrant and</w:t>
              </w:r>
            </w:hyperlink>
          </w:p>
        </w:tc>
        <w:tc>
          <w:tcPr>
            <w:tcW w:w="280" w:type="dxa"/>
            <w:vAlign w:val="bottom"/>
            <w:tcBorders>
              <w:top w:val="single" w:sz="8" w:color="0000EE"/>
            </w:tcBorders>
            <w:gridSpan w:val="9"/>
          </w:tcPr>
          <w:p>
            <w:pPr>
              <w:spacing w:after="0"/>
              <w:rPr>
                <w:sz w:val="17"/>
                <w:szCs w:val="17"/>
                <w:color w:val="auto"/>
              </w:rPr>
            </w:pPr>
          </w:p>
        </w:tc>
        <w:tc>
          <w:tcPr>
            <w:tcW w:w="30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Principal Life Insurance Company.</w:t>
              </w:r>
            </w:hyperlink>
          </w:p>
        </w:tc>
        <w:tc>
          <w:tcPr>
            <w:tcW w:w="480" w:type="dxa"/>
            <w:vAlign w:val="bottom"/>
            <w:gridSpan w:val="15"/>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10.9.1</w:t>
            </w:r>
          </w:p>
        </w:tc>
        <w:tc>
          <w:tcPr>
            <w:tcW w:w="2480" w:type="dxa"/>
            <w:vAlign w:val="bottom"/>
            <w:tcBorders>
              <w:bottom w:val="single" w:sz="8" w:color="0000EE"/>
            </w:tcBorders>
            <w:gridSpan w:val="12"/>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Amendment No. 1 to Commercial</w:t>
              </w:r>
            </w:hyperlink>
          </w:p>
        </w:tc>
        <w:tc>
          <w:tcPr>
            <w:tcW w:w="540" w:type="dxa"/>
            <w:vAlign w:val="bottom"/>
            <w:gridSpan w:val="17"/>
          </w:tcPr>
          <w:p>
            <w:pPr>
              <w:spacing w:after="0"/>
              <w:rPr>
                <w:sz w:val="24"/>
                <w:szCs w:val="24"/>
                <w:color w:val="auto"/>
              </w:rPr>
            </w:pPr>
          </w:p>
        </w:tc>
        <w:tc>
          <w:tcPr>
            <w:tcW w:w="80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10.22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9/09/2016</w:t>
            </w:r>
          </w:p>
        </w:tc>
      </w:tr>
      <w:tr>
        <w:trPr>
          <w:trHeight w:val="196"/>
        </w:trPr>
        <w:tc>
          <w:tcPr>
            <w:tcW w:w="1040" w:type="dxa"/>
            <w:vAlign w:val="bottom"/>
          </w:tcPr>
          <w:p>
            <w:pPr>
              <w:spacing w:after="0"/>
              <w:rPr>
                <w:sz w:val="17"/>
                <w:szCs w:val="17"/>
                <w:color w:val="auto"/>
              </w:rPr>
            </w:pPr>
          </w:p>
        </w:tc>
        <w:tc>
          <w:tcPr>
            <w:tcW w:w="3020" w:type="dxa"/>
            <w:vAlign w:val="bottom"/>
            <w:gridSpan w:val="29"/>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Industrial Lease Agreement, dated</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20" w:type="dxa"/>
            <w:vAlign w:val="bottom"/>
            <w:gridSpan w:val="29"/>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August 12, 2016 by and between the</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7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registrant and Legacy Stonelake JV-T,</w:t>
              </w:r>
            </w:hyperlink>
          </w:p>
        </w:tc>
        <w:tc>
          <w:tcPr>
            <w:tcW w:w="2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LLC, successor in interest to Principal</w:t>
              </w:r>
            </w:hyperlink>
          </w:p>
        </w:tc>
        <w:tc>
          <w:tcPr>
            <w:tcW w:w="24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8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Life Insurance Company.</w:t>
              </w:r>
            </w:hyperlink>
          </w:p>
        </w:tc>
        <w:tc>
          <w:tcPr>
            <w:tcW w:w="1180" w:type="dxa"/>
            <w:vAlign w:val="bottom"/>
            <w:gridSpan w:val="23"/>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2860" w:type="dxa"/>
            <w:vAlign w:val="bottom"/>
            <w:tcBorders>
              <w:bottom w:val="single" w:sz="8" w:color="0000EE"/>
            </w:tcBorders>
            <w:gridSpan w:val="25"/>
          </w:tcPr>
          <w:p>
            <w:pPr>
              <w:spacing w:after="0"/>
              <w:rPr>
                <w:rFonts w:ascii="Arial" w:cs="Arial" w:eastAsia="Arial" w:hAnsi="Arial"/>
                <w:sz w:val="18"/>
                <w:szCs w:val="18"/>
                <w:color w:val="0000EE"/>
                <w:w w:val="88"/>
              </w:rPr>
            </w:pPr>
            <w:hyperlink r:id="rId115">
              <w:r>
                <w:rPr>
                  <w:rFonts w:ascii="Arial" w:cs="Arial" w:eastAsia="Arial" w:hAnsi="Arial"/>
                  <w:sz w:val="18"/>
                  <w:szCs w:val="18"/>
                  <w:color w:val="0000EE"/>
                  <w:w w:val="88"/>
                </w:rPr>
                <w:t>Sublease Agreement, dated January 31,</w:t>
              </w:r>
            </w:hyperlink>
          </w:p>
        </w:tc>
        <w:tc>
          <w:tcPr>
            <w:tcW w:w="160" w:type="dxa"/>
            <w:vAlign w:val="bottom"/>
            <w:gridSpan w:val="4"/>
          </w:tcPr>
          <w:p>
            <w:pPr>
              <w:spacing w:after="0"/>
              <w:rPr>
                <w:sz w:val="24"/>
                <w:szCs w:val="24"/>
                <w:color w:val="auto"/>
              </w:rPr>
            </w:pPr>
          </w:p>
        </w:tc>
        <w:tc>
          <w:tcPr>
            <w:tcW w:w="8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3/28/2017</w:t>
            </w:r>
          </w:p>
        </w:tc>
      </w:tr>
      <w:tr>
        <w:trPr>
          <w:trHeight w:val="196"/>
        </w:trPr>
        <w:tc>
          <w:tcPr>
            <w:tcW w:w="1040" w:type="dxa"/>
            <w:vAlign w:val="bottom"/>
          </w:tcPr>
          <w:p>
            <w:pPr>
              <w:spacing w:after="0"/>
              <w:rPr>
                <w:sz w:val="17"/>
                <w:szCs w:val="17"/>
                <w:color w:val="auto"/>
              </w:rPr>
            </w:pPr>
          </w:p>
        </w:tc>
        <w:tc>
          <w:tcPr>
            <w:tcW w:w="284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r:id="rId115">
              <w:r>
                <w:rPr>
                  <w:rFonts w:ascii="Arial" w:cs="Arial" w:eastAsia="Arial" w:hAnsi="Arial"/>
                  <w:sz w:val="18"/>
                  <w:szCs w:val="18"/>
                  <w:color w:val="0000EE"/>
                  <w:w w:val="88"/>
                </w:rPr>
                <w:t>2017 by and between the registrant and</w:t>
              </w:r>
            </w:hyperlink>
          </w:p>
        </w:tc>
        <w:tc>
          <w:tcPr>
            <w:tcW w:w="18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NXP USA, Inc. and Consent to of</w:t>
              </w:r>
            </w:hyperlink>
          </w:p>
        </w:tc>
        <w:tc>
          <w:tcPr>
            <w:tcW w:w="540" w:type="dxa"/>
            <w:vAlign w:val="bottom"/>
            <w:gridSpan w:val="17"/>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20" w:type="dxa"/>
            <w:vAlign w:val="bottom"/>
            <w:gridSpan w:val="29"/>
          </w:tcPr>
          <w:p>
            <w:pPr>
              <w:spacing w:after="0" w:line="196" w:lineRule="exact"/>
              <w:rPr>
                <w:rFonts w:ascii="Arial" w:cs="Arial" w:eastAsia="Arial" w:hAnsi="Arial"/>
                <w:sz w:val="18"/>
                <w:szCs w:val="18"/>
                <w:color w:val="0000EE"/>
                <w:w w:val="96"/>
              </w:rPr>
            </w:pPr>
            <w:hyperlink r:id="rId115">
              <w:r>
                <w:rPr>
                  <w:rFonts w:ascii="Arial" w:cs="Arial" w:eastAsia="Arial" w:hAnsi="Arial"/>
                  <w:sz w:val="18"/>
                  <w:szCs w:val="18"/>
                  <w:color w:val="0000EE"/>
                  <w:w w:val="96"/>
                </w:rPr>
                <w:t>Landlord to Sublease, dated March 10,</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2017, by and among the registrant,</w:t>
              </w:r>
            </w:hyperlink>
          </w:p>
        </w:tc>
        <w:tc>
          <w:tcPr>
            <w:tcW w:w="280" w:type="dxa"/>
            <w:vAlign w:val="bottom"/>
            <w:tcBorders>
              <w:top w:val="single" w:sz="8" w:color="0000EE"/>
            </w:tcBorders>
            <w:gridSpan w:val="10"/>
          </w:tcPr>
          <w:p>
            <w:pPr>
              <w:spacing w:after="0"/>
              <w:rPr>
                <w:sz w:val="17"/>
                <w:szCs w:val="17"/>
                <w:color w:val="auto"/>
              </w:rPr>
            </w:pPr>
          </w:p>
        </w:tc>
        <w:tc>
          <w:tcPr>
            <w:tcW w:w="22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20" w:type="dxa"/>
            <w:vAlign w:val="bottom"/>
            <w:gridSpan w:val="29"/>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NXP USA, Inc. and VWP-BV CM</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5670, LLC.</w:t>
              </w:r>
            </w:hyperlink>
          </w:p>
        </w:tc>
        <w:tc>
          <w:tcPr>
            <w:tcW w:w="500" w:type="dxa"/>
            <w:vAlign w:val="bottom"/>
            <w:gridSpan w:val="16"/>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10.10.1</w:t>
            </w:r>
          </w:p>
        </w:tc>
        <w:tc>
          <w:tcPr>
            <w:tcW w:w="3020" w:type="dxa"/>
            <w:vAlign w:val="bottom"/>
            <w:gridSpan w:val="29"/>
          </w:tcPr>
          <w:p>
            <w:pPr>
              <w:spacing w:after="0"/>
              <w:rPr>
                <w:rFonts w:ascii="Arial" w:cs="Arial" w:eastAsia="Arial" w:hAnsi="Arial"/>
                <w:sz w:val="18"/>
                <w:szCs w:val="18"/>
                <w:color w:val="0000EE"/>
              </w:rPr>
            </w:pPr>
            <w:hyperlink r:id="rId116">
              <w:r>
                <w:rPr>
                  <w:rFonts w:ascii="Arial" w:cs="Arial" w:eastAsia="Arial" w:hAnsi="Arial"/>
                  <w:sz w:val="18"/>
                  <w:szCs w:val="18"/>
                  <w:color w:val="0000EE"/>
                </w:rPr>
                <w:t>First Amendment to Sublease</w:t>
              </w:r>
            </w:hyperlink>
          </w:p>
        </w:tc>
        <w:tc>
          <w:tcPr>
            <w:tcW w:w="8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3/28/2017</w:t>
            </w:r>
          </w:p>
        </w:tc>
      </w:tr>
      <w:tr>
        <w:trPr>
          <w:trHeight w:val="20"/>
        </w:trPr>
        <w:tc>
          <w:tcPr>
            <w:tcW w:w="1040" w:type="dxa"/>
            <w:vAlign w:val="bottom"/>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20" w:type="dxa"/>
            <w:vAlign w:val="bottom"/>
            <w:gridSpan w:val="29"/>
          </w:tcPr>
          <w:p>
            <w:pPr>
              <w:spacing w:after="0" w:line="196" w:lineRule="exact"/>
              <w:rPr>
                <w:rFonts w:ascii="Arial" w:cs="Arial" w:eastAsia="Arial" w:hAnsi="Arial"/>
                <w:sz w:val="18"/>
                <w:szCs w:val="18"/>
                <w:color w:val="0000EE"/>
                <w:w w:val="99"/>
              </w:rPr>
            </w:pPr>
            <w:hyperlink r:id="rId116">
              <w:r>
                <w:rPr>
                  <w:rFonts w:ascii="Arial" w:cs="Arial" w:eastAsia="Arial" w:hAnsi="Arial"/>
                  <w:sz w:val="18"/>
                  <w:szCs w:val="18"/>
                  <w:color w:val="0000EE"/>
                  <w:w w:val="99"/>
                </w:rPr>
                <w:t>Agreement, dated February 13, 2017,</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700" w:type="dxa"/>
            <w:vAlign w:val="bottom"/>
            <w:gridSpan w:val="19"/>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84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by and between the registrant and NXP</w:t>
              </w:r>
            </w:hyperlink>
          </w:p>
        </w:tc>
        <w:tc>
          <w:tcPr>
            <w:tcW w:w="18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USA, Inc. and Consent of Landlord to</w:t>
              </w:r>
            </w:hyperlink>
          </w:p>
        </w:tc>
        <w:tc>
          <w:tcPr>
            <w:tcW w:w="2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20" w:type="dxa"/>
            <w:vAlign w:val="bottom"/>
            <w:gridSpan w:val="29"/>
          </w:tcPr>
          <w:p>
            <w:pPr>
              <w:spacing w:after="0" w:line="196" w:lineRule="exact"/>
              <w:rPr>
                <w:rFonts w:ascii="Arial" w:cs="Arial" w:eastAsia="Arial" w:hAnsi="Arial"/>
                <w:sz w:val="18"/>
                <w:szCs w:val="18"/>
                <w:color w:val="0000EE"/>
                <w:w w:val="97"/>
              </w:rPr>
            </w:pPr>
            <w:hyperlink r:id="rId116">
              <w:r>
                <w:rPr>
                  <w:rFonts w:ascii="Arial" w:cs="Arial" w:eastAsia="Arial" w:hAnsi="Arial"/>
                  <w:sz w:val="18"/>
                  <w:szCs w:val="18"/>
                  <w:color w:val="0000EE"/>
                  <w:w w:val="97"/>
                </w:rPr>
                <w:t>Amendment to Sublease, dated March</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760" w:type="dxa"/>
            <w:vAlign w:val="bottom"/>
            <w:gridSpan w:val="2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20" w:type="dxa"/>
            <w:vAlign w:val="bottom"/>
            <w:gridSpan w:val="29"/>
          </w:tcPr>
          <w:p>
            <w:pPr>
              <w:spacing w:after="0" w:line="196" w:lineRule="exact"/>
              <w:rPr>
                <w:rFonts w:ascii="Arial" w:cs="Arial" w:eastAsia="Arial" w:hAnsi="Arial"/>
                <w:sz w:val="18"/>
                <w:szCs w:val="18"/>
                <w:color w:val="0000EE"/>
                <w:w w:val="97"/>
              </w:rPr>
            </w:pPr>
            <w:hyperlink r:id="rId116">
              <w:r>
                <w:rPr>
                  <w:rFonts w:ascii="Arial" w:cs="Arial" w:eastAsia="Arial" w:hAnsi="Arial"/>
                  <w:sz w:val="18"/>
                  <w:szCs w:val="18"/>
                  <w:color w:val="0000EE"/>
                  <w:w w:val="97"/>
                </w:rPr>
                <w:t>10, 2017, by and among the registrant,</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NXP USA, Inc. and VWP-BV CM</w:t>
              </w:r>
            </w:hyperlink>
          </w:p>
        </w:tc>
        <w:tc>
          <w:tcPr>
            <w:tcW w:w="24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5670, LLC.</w:t>
              </w:r>
            </w:hyperlink>
          </w:p>
        </w:tc>
        <w:tc>
          <w:tcPr>
            <w:tcW w:w="500" w:type="dxa"/>
            <w:vAlign w:val="bottom"/>
            <w:gridSpan w:val="16"/>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10.10.2</w:t>
            </w:r>
          </w:p>
        </w:tc>
        <w:tc>
          <w:tcPr>
            <w:tcW w:w="3000" w:type="dxa"/>
            <w:vAlign w:val="bottom"/>
            <w:gridSpan w:val="24"/>
          </w:tcPr>
          <w:p>
            <w:pPr>
              <w:spacing w:after="0"/>
              <w:rPr>
                <w:rFonts w:ascii="Arial" w:cs="Arial" w:eastAsia="Arial" w:hAnsi="Arial"/>
                <w:sz w:val="18"/>
                <w:szCs w:val="18"/>
                <w:color w:val="0000EE"/>
              </w:rPr>
            </w:pPr>
            <w:hyperlink r:id="rId118">
              <w:r>
                <w:rPr>
                  <w:rFonts w:ascii="Arial" w:cs="Arial" w:eastAsia="Arial" w:hAnsi="Arial"/>
                  <w:sz w:val="18"/>
                  <w:szCs w:val="18"/>
                  <w:color w:val="0000EE"/>
                </w:rPr>
                <w:t>Second Amendment to Sublease</w:t>
              </w:r>
            </w:hyperlink>
          </w:p>
        </w:tc>
        <w:tc>
          <w:tcPr>
            <w:tcW w:w="8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20" w:type="dxa"/>
            <w:vAlign w:val="bottom"/>
          </w:tcPr>
          <w:p>
            <w:pPr>
              <w:jc w:val="right"/>
              <w:spacing w:after="0"/>
              <w:rPr>
                <w:sz w:val="20"/>
                <w:szCs w:val="20"/>
                <w:color w:val="auto"/>
              </w:rPr>
            </w:pPr>
            <w:r>
              <w:rPr>
                <w:rFonts w:ascii="Arial" w:cs="Arial" w:eastAsia="Arial" w:hAnsi="Arial"/>
                <w:sz w:val="18"/>
                <w:szCs w:val="18"/>
                <w:color w:val="auto"/>
              </w:rPr>
              <w:t>3/28/2017</w:t>
            </w: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Agreement dated March 2, 2017 by and</w:t>
              </w:r>
            </w:hyperlink>
          </w:p>
        </w:tc>
        <w:tc>
          <w:tcPr>
            <w:tcW w:w="12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between the registrant and NXP USA,</w:t>
              </w:r>
            </w:hyperlink>
          </w:p>
        </w:tc>
        <w:tc>
          <w:tcPr>
            <w:tcW w:w="24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4"/>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Inc. and Consent of Landlord to</w:t>
              </w:r>
            </w:hyperlink>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9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Sublease, dated March 10, 2017, by and</w:t>
              </w:r>
            </w:hyperlink>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among the registrant, NXP USA, Inc.</w:t>
              </w:r>
            </w:hyperlink>
          </w:p>
        </w:tc>
        <w:tc>
          <w:tcPr>
            <w:tcW w:w="28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4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r:id="rId118">
              <w:r>
                <w:rPr>
                  <w:rFonts w:ascii="Arial" w:cs="Arial" w:eastAsia="Arial" w:hAnsi="Arial"/>
                  <w:sz w:val="18"/>
                  <w:szCs w:val="18"/>
                  <w:color w:val="0000EE"/>
                  <w:w w:val="95"/>
                </w:rPr>
                <w:t>and VWP-BV CM 5670, LLC.</w:t>
              </w:r>
            </w:hyperlink>
          </w:p>
        </w:tc>
        <w:tc>
          <w:tcPr>
            <w:tcW w:w="76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10.10.3</w:t>
            </w:r>
          </w:p>
        </w:tc>
        <w:tc>
          <w:tcPr>
            <w:tcW w:w="2220" w:type="dxa"/>
            <w:vAlign w:val="bottom"/>
            <w:tcBorders>
              <w:bottom w:val="single" w:sz="8" w:color="0000EE"/>
            </w:tcBorders>
            <w:gridSpan w:val="7"/>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Third Amendment to Sublease</w:t>
              </w:r>
            </w:hyperlink>
          </w:p>
        </w:tc>
        <w:tc>
          <w:tcPr>
            <w:tcW w:w="780" w:type="dxa"/>
            <w:vAlign w:val="bottom"/>
            <w:gridSpan w:val="17"/>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10.39</w:t>
            </w:r>
          </w:p>
        </w:tc>
        <w:tc>
          <w:tcPr>
            <w:tcW w:w="1020" w:type="dxa"/>
            <w:vAlign w:val="bottom"/>
          </w:tcPr>
          <w:p>
            <w:pPr>
              <w:jc w:val="right"/>
              <w:spacing w:after="0"/>
              <w:rPr>
                <w:sz w:val="20"/>
                <w:szCs w:val="20"/>
                <w:color w:val="auto"/>
              </w:rPr>
            </w:pPr>
            <w:r>
              <w:rPr>
                <w:rFonts w:ascii="Arial" w:cs="Arial" w:eastAsia="Arial" w:hAnsi="Arial"/>
                <w:sz w:val="18"/>
                <w:szCs w:val="18"/>
                <w:color w:val="auto"/>
              </w:rPr>
              <w:t>3/15/2018</w:t>
            </w:r>
          </w:p>
        </w:tc>
      </w:tr>
      <w:tr>
        <w:trPr>
          <w:trHeight w:val="196"/>
        </w:trPr>
        <w:tc>
          <w:tcPr>
            <w:tcW w:w="1040" w:type="dxa"/>
            <w:vAlign w:val="bottom"/>
          </w:tcPr>
          <w:p>
            <w:pPr>
              <w:spacing w:after="0"/>
              <w:rPr>
                <w:sz w:val="17"/>
                <w:szCs w:val="17"/>
                <w:color w:val="auto"/>
              </w:rPr>
            </w:pPr>
          </w:p>
        </w:tc>
        <w:tc>
          <w:tcPr>
            <w:tcW w:w="28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Agreement, dated October 17, 2017 by</w:t>
              </w:r>
            </w:hyperlink>
          </w:p>
        </w:tc>
        <w:tc>
          <w:tcPr>
            <w:tcW w:w="16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and between the registrant and NXP</w:t>
              </w:r>
            </w:hyperlink>
          </w:p>
        </w:tc>
        <w:tc>
          <w:tcPr>
            <w:tcW w:w="36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USA, Inc. and Consent of Landlord to</w:t>
              </w:r>
            </w:hyperlink>
          </w:p>
        </w:tc>
        <w:tc>
          <w:tcPr>
            <w:tcW w:w="24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9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Sublease, dated March 10, 2017, by and</w:t>
              </w:r>
            </w:hyperlink>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among the registrant, NXP USA, Inc.</w:t>
              </w:r>
            </w:hyperlink>
          </w:p>
        </w:tc>
        <w:tc>
          <w:tcPr>
            <w:tcW w:w="28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4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r:id="rId119">
              <w:r>
                <w:rPr>
                  <w:rFonts w:ascii="Arial" w:cs="Arial" w:eastAsia="Arial" w:hAnsi="Arial"/>
                  <w:sz w:val="18"/>
                  <w:szCs w:val="18"/>
                  <w:color w:val="0000EE"/>
                  <w:w w:val="95"/>
                </w:rPr>
                <w:t>and VWP-BV CM 5670, LLC.</w:t>
              </w:r>
            </w:hyperlink>
          </w:p>
        </w:tc>
        <w:tc>
          <w:tcPr>
            <w:tcW w:w="76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2360" w:type="dxa"/>
            <w:vAlign w:val="bottom"/>
            <w:tcBorders>
              <w:bottom w:val="single" w:sz="8" w:color="0000EE"/>
            </w:tcBorders>
            <w:gridSpan w:val="11"/>
          </w:tcPr>
          <w:p>
            <w:pPr>
              <w:spacing w:after="0"/>
              <w:rPr>
                <w:rFonts w:ascii="Arial" w:cs="Arial" w:eastAsia="Arial" w:hAnsi="Arial"/>
                <w:sz w:val="18"/>
                <w:szCs w:val="18"/>
                <w:color w:val="0000EE"/>
                <w:w w:val="93"/>
              </w:rPr>
            </w:pPr>
            <w:hyperlink r:id="rId120">
              <w:r>
                <w:rPr>
                  <w:rFonts w:ascii="Arial" w:cs="Arial" w:eastAsia="Arial" w:hAnsi="Arial"/>
                  <w:sz w:val="18"/>
                  <w:szCs w:val="18"/>
                  <w:color w:val="0000EE"/>
                  <w:w w:val="93"/>
                </w:rPr>
                <w:t>STT-MRAM Joint Development</w:t>
              </w:r>
            </w:hyperlink>
          </w:p>
        </w:tc>
        <w:tc>
          <w:tcPr>
            <w:tcW w:w="640" w:type="dxa"/>
            <w:vAlign w:val="bottom"/>
            <w:gridSpan w:val="13"/>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1020" w:type="dxa"/>
            <w:vAlign w:val="bottom"/>
          </w:tcPr>
          <w:p>
            <w:pPr>
              <w:jc w:val="right"/>
              <w:spacing w:after="0"/>
              <w:rPr>
                <w:sz w:val="20"/>
                <w:szCs w:val="20"/>
                <w:color w:val="auto"/>
              </w:rPr>
            </w:pPr>
            <w:r>
              <w:rPr>
                <w:rFonts w:ascii="Arial" w:cs="Arial" w:eastAsia="Arial" w:hAnsi="Arial"/>
                <w:sz w:val="18"/>
                <w:szCs w:val="18"/>
                <w:color w:val="auto"/>
              </w:rPr>
              <w:t>9/09/2016</w:t>
            </w:r>
          </w:p>
        </w:tc>
      </w:tr>
      <w:tr>
        <w:trPr>
          <w:trHeight w:val="196"/>
        </w:trPr>
        <w:tc>
          <w:tcPr>
            <w:tcW w:w="1040" w:type="dxa"/>
            <w:vAlign w:val="bottom"/>
          </w:tcPr>
          <w:p>
            <w:pPr>
              <w:spacing w:after="0"/>
              <w:rPr>
                <w:sz w:val="17"/>
                <w:szCs w:val="17"/>
                <w:color w:val="auto"/>
              </w:rPr>
            </w:pPr>
          </w:p>
        </w:tc>
        <w:tc>
          <w:tcPr>
            <w:tcW w:w="25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Agreement, dated as of October 17,</w:t>
              </w:r>
            </w:hyperlink>
          </w:p>
        </w:tc>
        <w:tc>
          <w:tcPr>
            <w:tcW w:w="42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r:id="rId120">
              <w:r>
                <w:rPr>
                  <w:rFonts w:ascii="Arial" w:cs="Arial" w:eastAsia="Arial" w:hAnsi="Arial"/>
                  <w:sz w:val="18"/>
                  <w:szCs w:val="18"/>
                  <w:color w:val="0000EE"/>
                  <w:w w:val="88"/>
                </w:rPr>
                <w:t>2014 by and between the registrant and</w:t>
              </w:r>
            </w:hyperlink>
          </w:p>
        </w:tc>
        <w:tc>
          <w:tcPr>
            <w:tcW w:w="16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4"/>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GLOBALFOUNDRIES Inc.</w:t>
              </w:r>
            </w:hyperlink>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10.11.1+</w:t>
            </w:r>
          </w:p>
        </w:tc>
        <w:tc>
          <w:tcPr>
            <w:tcW w:w="2780" w:type="dxa"/>
            <w:vAlign w:val="bottom"/>
            <w:tcBorders>
              <w:bottom w:val="single" w:sz="8" w:color="0000EE"/>
            </w:tcBorders>
            <w:gridSpan w:val="17"/>
          </w:tcPr>
          <w:p>
            <w:pPr>
              <w:spacing w:after="0"/>
              <w:rPr>
                <w:rFonts w:ascii="Arial" w:cs="Arial" w:eastAsia="Arial" w:hAnsi="Arial"/>
                <w:sz w:val="18"/>
                <w:szCs w:val="18"/>
                <w:color w:val="0000EE"/>
                <w:w w:val="93"/>
              </w:rPr>
            </w:pPr>
            <w:hyperlink r:id="rId121">
              <w:r>
                <w:rPr>
                  <w:rFonts w:ascii="Arial" w:cs="Arial" w:eastAsia="Arial" w:hAnsi="Arial"/>
                  <w:sz w:val="18"/>
                  <w:szCs w:val="18"/>
                  <w:color w:val="0000EE"/>
                  <w:w w:val="93"/>
                </w:rPr>
                <w:t>Amendment No. 1 to the STT-MRAM</w:t>
              </w:r>
            </w:hyperlink>
          </w:p>
        </w:tc>
        <w:tc>
          <w:tcPr>
            <w:tcW w:w="220" w:type="dxa"/>
            <w:vAlign w:val="bottom"/>
            <w:gridSpan w:val="7"/>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1020" w:type="dxa"/>
            <w:vAlign w:val="bottom"/>
          </w:tcPr>
          <w:p>
            <w:pPr>
              <w:jc w:val="right"/>
              <w:spacing w:after="0"/>
              <w:rPr>
                <w:sz w:val="20"/>
                <w:szCs w:val="20"/>
                <w:color w:val="auto"/>
              </w:rPr>
            </w:pPr>
            <w:r>
              <w:rPr>
                <w:rFonts w:ascii="Arial" w:cs="Arial" w:eastAsia="Arial" w:hAnsi="Arial"/>
                <w:sz w:val="18"/>
                <w:szCs w:val="18"/>
                <w:color w:val="auto"/>
              </w:rPr>
              <w:t>9/09/2016</w:t>
            </w:r>
          </w:p>
        </w:tc>
      </w:tr>
      <w:tr>
        <w:trPr>
          <w:trHeight w:val="196"/>
        </w:trPr>
        <w:tc>
          <w:tcPr>
            <w:tcW w:w="1040" w:type="dxa"/>
            <w:vAlign w:val="bottom"/>
          </w:tcPr>
          <w:p>
            <w:pPr>
              <w:spacing w:after="0"/>
              <w:rPr>
                <w:sz w:val="17"/>
                <w:szCs w:val="17"/>
                <w:color w:val="auto"/>
              </w:rPr>
            </w:pPr>
          </w:p>
        </w:tc>
        <w:tc>
          <w:tcPr>
            <w:tcW w:w="29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Joint Development Agreement, dated as</w:t>
              </w:r>
            </w:hyperlink>
          </w:p>
        </w:tc>
        <w:tc>
          <w:tcPr>
            <w:tcW w:w="1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4"/>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of May 27, 2016 by and between the</w:t>
              </w:r>
            </w:hyperlink>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80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21">
              <w:r>
                <w:rPr>
                  <w:rFonts w:ascii="Arial" w:cs="Arial" w:eastAsia="Arial" w:hAnsi="Arial"/>
                  <w:sz w:val="18"/>
                  <w:szCs w:val="18"/>
                  <w:color w:val="0000EE"/>
                  <w:w w:val="94"/>
                </w:rPr>
                <w:t>registrant and GLOBALFOUNDRIES</w:t>
              </w:r>
            </w:hyperlink>
          </w:p>
        </w:tc>
        <w:tc>
          <w:tcPr>
            <w:tcW w:w="20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4"/>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Inc.</w:t>
              </w:r>
            </w:hyperlink>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10.11.2++</w:t>
            </w:r>
          </w:p>
        </w:tc>
        <w:tc>
          <w:tcPr>
            <w:tcW w:w="2780" w:type="dxa"/>
            <w:vAlign w:val="bottom"/>
            <w:tcBorders>
              <w:bottom w:val="single" w:sz="8" w:color="0000EE"/>
            </w:tcBorders>
            <w:gridSpan w:val="17"/>
          </w:tcPr>
          <w:p>
            <w:pPr>
              <w:spacing w:after="0"/>
              <w:rPr>
                <w:rFonts w:ascii="Arial" w:cs="Arial" w:eastAsia="Arial" w:hAnsi="Arial"/>
                <w:sz w:val="18"/>
                <w:szCs w:val="18"/>
                <w:color w:val="0000EE"/>
                <w:w w:val="93"/>
              </w:rPr>
            </w:pPr>
            <w:hyperlink r:id="rId122">
              <w:r>
                <w:rPr>
                  <w:rFonts w:ascii="Arial" w:cs="Arial" w:eastAsia="Arial" w:hAnsi="Arial"/>
                  <w:sz w:val="18"/>
                  <w:szCs w:val="18"/>
                  <w:color w:val="0000EE"/>
                  <w:w w:val="93"/>
                </w:rPr>
                <w:t>Amendment No. 2 to the STT-MRAM</w:t>
              </w:r>
            </w:hyperlink>
          </w:p>
        </w:tc>
        <w:tc>
          <w:tcPr>
            <w:tcW w:w="220" w:type="dxa"/>
            <w:vAlign w:val="bottom"/>
            <w:gridSpan w:val="7"/>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10.11.2</w:t>
            </w:r>
          </w:p>
        </w:tc>
        <w:tc>
          <w:tcPr>
            <w:tcW w:w="1020" w:type="dxa"/>
            <w:vAlign w:val="bottom"/>
          </w:tcPr>
          <w:p>
            <w:pPr>
              <w:jc w:val="right"/>
              <w:spacing w:after="0"/>
              <w:rPr>
                <w:sz w:val="20"/>
                <w:szCs w:val="20"/>
                <w:color w:val="auto"/>
              </w:rPr>
            </w:pPr>
            <w:r>
              <w:rPr>
                <w:rFonts w:ascii="Arial" w:cs="Arial" w:eastAsia="Arial" w:hAnsi="Arial"/>
                <w:sz w:val="18"/>
                <w:szCs w:val="18"/>
                <w:color w:val="auto"/>
              </w:rPr>
              <w:t>3/04/2021</w:t>
            </w:r>
          </w:p>
        </w:tc>
      </w:tr>
      <w:tr>
        <w:trPr>
          <w:trHeight w:val="196"/>
        </w:trPr>
        <w:tc>
          <w:tcPr>
            <w:tcW w:w="1040" w:type="dxa"/>
            <w:vAlign w:val="bottom"/>
          </w:tcPr>
          <w:p>
            <w:pPr>
              <w:spacing w:after="0"/>
              <w:rPr>
                <w:sz w:val="17"/>
                <w:szCs w:val="17"/>
                <w:color w:val="auto"/>
              </w:rPr>
            </w:pPr>
          </w:p>
        </w:tc>
        <w:tc>
          <w:tcPr>
            <w:tcW w:w="3000" w:type="dxa"/>
            <w:vAlign w:val="bottom"/>
            <w:gridSpan w:val="24"/>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Joint Development Agreement,</w:t>
              </w:r>
            </w:hyperlink>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5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effective as of July 25, 2017 by and</w:t>
              </w:r>
            </w:hyperlink>
          </w:p>
        </w:tc>
        <w:tc>
          <w:tcPr>
            <w:tcW w:w="42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4"/>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between the registrant and</w:t>
              </w:r>
            </w:hyperlink>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4"/>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GLOBALFOUNDRIES Inc.</w:t>
              </w:r>
            </w:hyperlink>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10.11.3+</w:t>
            </w:r>
          </w:p>
        </w:tc>
        <w:tc>
          <w:tcPr>
            <w:tcW w:w="2780" w:type="dxa"/>
            <w:vAlign w:val="bottom"/>
            <w:tcBorders>
              <w:bottom w:val="single" w:sz="8" w:color="0000EE"/>
            </w:tcBorders>
            <w:gridSpan w:val="17"/>
          </w:tcPr>
          <w:p>
            <w:pPr>
              <w:spacing w:after="0"/>
              <w:rPr>
                <w:rFonts w:ascii="Arial" w:cs="Arial" w:eastAsia="Arial" w:hAnsi="Arial"/>
                <w:sz w:val="18"/>
                <w:szCs w:val="18"/>
                <w:color w:val="0000EE"/>
                <w:w w:val="93"/>
              </w:rPr>
            </w:pPr>
            <w:hyperlink r:id="rId123">
              <w:r>
                <w:rPr>
                  <w:rFonts w:ascii="Arial" w:cs="Arial" w:eastAsia="Arial" w:hAnsi="Arial"/>
                  <w:sz w:val="18"/>
                  <w:szCs w:val="18"/>
                  <w:color w:val="0000EE"/>
                  <w:w w:val="93"/>
                </w:rPr>
                <w:t>Amendment No. 3 to the STT-MRAM</w:t>
              </w:r>
            </w:hyperlink>
          </w:p>
        </w:tc>
        <w:tc>
          <w:tcPr>
            <w:tcW w:w="220" w:type="dxa"/>
            <w:vAlign w:val="bottom"/>
            <w:gridSpan w:val="7"/>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1020" w:type="dxa"/>
            <w:vAlign w:val="bottom"/>
          </w:tcPr>
          <w:p>
            <w:pPr>
              <w:jc w:val="right"/>
              <w:spacing w:after="0"/>
              <w:rPr>
                <w:sz w:val="20"/>
                <w:szCs w:val="20"/>
                <w:color w:val="auto"/>
              </w:rPr>
            </w:pPr>
            <w:r>
              <w:rPr>
                <w:rFonts w:ascii="Arial" w:cs="Arial" w:eastAsia="Arial" w:hAnsi="Arial"/>
                <w:sz w:val="18"/>
                <w:szCs w:val="18"/>
                <w:color w:val="auto"/>
              </w:rPr>
              <w:t>3/15/2019</w:t>
            </w:r>
          </w:p>
        </w:tc>
      </w:tr>
      <w:tr>
        <w:trPr>
          <w:trHeight w:val="196"/>
        </w:trPr>
        <w:tc>
          <w:tcPr>
            <w:tcW w:w="1040" w:type="dxa"/>
            <w:vAlign w:val="bottom"/>
          </w:tcPr>
          <w:p>
            <w:pPr>
              <w:spacing w:after="0"/>
              <w:rPr>
                <w:sz w:val="17"/>
                <w:szCs w:val="17"/>
                <w:color w:val="auto"/>
              </w:rPr>
            </w:pPr>
          </w:p>
        </w:tc>
        <w:tc>
          <w:tcPr>
            <w:tcW w:w="3000" w:type="dxa"/>
            <w:vAlign w:val="bottom"/>
            <w:gridSpan w:val="24"/>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Joint Development Agreement,</w:t>
              </w:r>
            </w:hyperlink>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4"/>
          </w:tcPr>
          <w:p>
            <w:pPr>
              <w:spacing w:after="0" w:line="196" w:lineRule="exact"/>
              <w:rPr>
                <w:rFonts w:ascii="Arial" w:cs="Arial" w:eastAsia="Arial" w:hAnsi="Arial"/>
                <w:sz w:val="18"/>
                <w:szCs w:val="18"/>
                <w:color w:val="0000EE"/>
                <w:w w:val="97"/>
              </w:rPr>
            </w:pPr>
            <w:hyperlink r:id="rId123">
              <w:r>
                <w:rPr>
                  <w:rFonts w:ascii="Arial" w:cs="Arial" w:eastAsia="Arial" w:hAnsi="Arial"/>
                  <w:sz w:val="18"/>
                  <w:szCs w:val="18"/>
                  <w:color w:val="0000EE"/>
                  <w:w w:val="97"/>
                </w:rPr>
                <w:t>effective as of January 1, 2018 by and</w:t>
              </w:r>
            </w:hyperlink>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between the registrant and</w:t>
              </w:r>
            </w:hyperlink>
          </w:p>
        </w:tc>
        <w:tc>
          <w:tcPr>
            <w:tcW w:w="26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4"/>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GLOBALFOUNDRIES Inc.</w:t>
              </w:r>
            </w:hyperlink>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10.11.4++</w:t>
            </w:r>
          </w:p>
        </w:tc>
        <w:tc>
          <w:tcPr>
            <w:tcW w:w="2780" w:type="dxa"/>
            <w:vAlign w:val="bottom"/>
            <w:tcBorders>
              <w:bottom w:val="single" w:sz="8" w:color="0000EE"/>
            </w:tcBorders>
            <w:gridSpan w:val="17"/>
          </w:tcPr>
          <w:p>
            <w:pPr>
              <w:spacing w:after="0"/>
              <w:rPr>
                <w:rFonts w:ascii="Arial" w:cs="Arial" w:eastAsia="Arial" w:hAnsi="Arial"/>
                <w:sz w:val="18"/>
                <w:szCs w:val="18"/>
                <w:color w:val="0000EE"/>
                <w:w w:val="93"/>
              </w:rPr>
            </w:pPr>
            <w:hyperlink r:id="rId124">
              <w:r>
                <w:rPr>
                  <w:rFonts w:ascii="Arial" w:cs="Arial" w:eastAsia="Arial" w:hAnsi="Arial"/>
                  <w:sz w:val="18"/>
                  <w:szCs w:val="18"/>
                  <w:color w:val="0000EE"/>
                  <w:w w:val="93"/>
                </w:rPr>
                <w:t>Amendment No. 4 to the STT-MRAM</w:t>
              </w:r>
            </w:hyperlink>
          </w:p>
        </w:tc>
        <w:tc>
          <w:tcPr>
            <w:tcW w:w="220" w:type="dxa"/>
            <w:vAlign w:val="bottom"/>
            <w:gridSpan w:val="7"/>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10.11.4</w:t>
            </w:r>
          </w:p>
        </w:tc>
        <w:tc>
          <w:tcPr>
            <w:tcW w:w="1020" w:type="dxa"/>
            <w:vAlign w:val="bottom"/>
          </w:tcPr>
          <w:p>
            <w:pPr>
              <w:jc w:val="right"/>
              <w:spacing w:after="0"/>
              <w:rPr>
                <w:sz w:val="20"/>
                <w:szCs w:val="20"/>
                <w:color w:val="auto"/>
              </w:rPr>
            </w:pPr>
            <w:r>
              <w:rPr>
                <w:rFonts w:ascii="Arial" w:cs="Arial" w:eastAsia="Arial" w:hAnsi="Arial"/>
                <w:sz w:val="18"/>
                <w:szCs w:val="18"/>
                <w:color w:val="auto"/>
              </w:rPr>
              <w:t>3/04/2021</w:t>
            </w:r>
          </w:p>
        </w:tc>
      </w:tr>
      <w:tr>
        <w:trPr>
          <w:trHeight w:val="196"/>
        </w:trPr>
        <w:tc>
          <w:tcPr>
            <w:tcW w:w="1040" w:type="dxa"/>
            <w:vAlign w:val="bottom"/>
          </w:tcPr>
          <w:p>
            <w:pPr>
              <w:spacing w:after="0"/>
              <w:rPr>
                <w:sz w:val="17"/>
                <w:szCs w:val="17"/>
                <w:color w:val="auto"/>
              </w:rPr>
            </w:pPr>
          </w:p>
        </w:tc>
        <w:tc>
          <w:tcPr>
            <w:tcW w:w="3000" w:type="dxa"/>
            <w:vAlign w:val="bottom"/>
            <w:gridSpan w:val="24"/>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Joint Development Agreement,</w:t>
              </w:r>
            </w:hyperlink>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effective as of December 31, 2019 by</w:t>
              </w:r>
            </w:hyperlink>
          </w:p>
        </w:tc>
        <w:tc>
          <w:tcPr>
            <w:tcW w:w="28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4"/>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and between the registrant and</w:t>
              </w:r>
            </w:hyperlink>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r:id="rId124">
              <w:r>
                <w:rPr>
                  <w:rFonts w:ascii="Arial" w:cs="Arial" w:eastAsia="Arial" w:hAnsi="Arial"/>
                  <w:sz w:val="18"/>
                  <w:szCs w:val="18"/>
                  <w:color w:val="0000EE"/>
                  <w:w w:val="96"/>
                </w:rPr>
                <w:t>GLOBALFOUNDRIES, Inc.</w:t>
              </w:r>
            </w:hyperlink>
          </w:p>
        </w:tc>
        <w:tc>
          <w:tcPr>
            <w:tcW w:w="80" w:type="dxa"/>
            <w:vAlign w:val="bottom"/>
            <w:tcBorders>
              <w:top w:val="single" w:sz="8" w:color="0000EE"/>
            </w:tcBorders>
          </w:tcPr>
          <w:p>
            <w:pPr>
              <w:spacing w:after="0"/>
              <w:rPr>
                <w:sz w:val="17"/>
                <w:szCs w:val="17"/>
                <w:color w:val="auto"/>
              </w:rPr>
            </w:pPr>
          </w:p>
        </w:tc>
        <w:tc>
          <w:tcPr>
            <w:tcW w:w="800" w:type="dxa"/>
            <w:vAlign w:val="bottom"/>
            <w:gridSpan w:val="18"/>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2820" w:type="dxa"/>
            <w:vAlign w:val="bottom"/>
            <w:tcBorders>
              <w:bottom w:val="single" w:sz="8" w:color="0000EE"/>
            </w:tcBorders>
            <w:gridSpan w:val="19"/>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Manufacturing Agreement, dated as of</w:t>
              </w:r>
            </w:hyperlink>
          </w:p>
        </w:tc>
        <w:tc>
          <w:tcPr>
            <w:tcW w:w="180" w:type="dxa"/>
            <w:vAlign w:val="bottom"/>
            <w:gridSpan w:val="5"/>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020" w:type="dxa"/>
            <w:vAlign w:val="bottom"/>
          </w:tcPr>
          <w:p>
            <w:pPr>
              <w:jc w:val="right"/>
              <w:spacing w:after="0"/>
              <w:rPr>
                <w:sz w:val="20"/>
                <w:szCs w:val="20"/>
                <w:color w:val="auto"/>
              </w:rPr>
            </w:pPr>
            <w:r>
              <w:rPr>
                <w:rFonts w:ascii="Arial" w:cs="Arial" w:eastAsia="Arial" w:hAnsi="Arial"/>
                <w:sz w:val="18"/>
                <w:szCs w:val="18"/>
                <w:color w:val="auto"/>
              </w:rPr>
              <w:t>9/09/2016</w:t>
            </w:r>
          </w:p>
        </w:tc>
      </w:tr>
      <w:tr>
        <w:trPr>
          <w:trHeight w:val="196"/>
        </w:trPr>
        <w:tc>
          <w:tcPr>
            <w:tcW w:w="1040" w:type="dxa"/>
            <w:vAlign w:val="bottom"/>
          </w:tcPr>
          <w:p>
            <w:pPr>
              <w:spacing w:after="0"/>
              <w:rPr>
                <w:sz w:val="17"/>
                <w:szCs w:val="17"/>
                <w:color w:val="auto"/>
              </w:rPr>
            </w:pPr>
          </w:p>
        </w:tc>
        <w:tc>
          <w:tcPr>
            <w:tcW w:w="3000" w:type="dxa"/>
            <w:vAlign w:val="bottom"/>
            <w:gridSpan w:val="24"/>
          </w:tcPr>
          <w:p>
            <w:pPr>
              <w:spacing w:after="0" w:line="196" w:lineRule="exact"/>
              <w:rPr>
                <w:rFonts w:ascii="Arial" w:cs="Arial" w:eastAsia="Arial" w:hAnsi="Arial"/>
                <w:sz w:val="18"/>
                <w:szCs w:val="18"/>
                <w:color w:val="0000EE"/>
                <w:w w:val="98"/>
              </w:rPr>
            </w:pPr>
            <w:hyperlink r:id="rId125">
              <w:r>
                <w:rPr>
                  <w:rFonts w:ascii="Arial" w:cs="Arial" w:eastAsia="Arial" w:hAnsi="Arial"/>
                  <w:sz w:val="18"/>
                  <w:szCs w:val="18"/>
                  <w:color w:val="0000EE"/>
                  <w:w w:val="98"/>
                </w:rPr>
                <w:t>October 23, 2014 by and between the</w:t>
              </w:r>
            </w:hyperlink>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40" w:type="dxa"/>
            <w:vAlign w:val="bottom"/>
            <w:tcBorders>
              <w:right w:val="single" w:sz="8" w:color="0000EE"/>
            </w:tcBorders>
            <w:gridSpan w:val="11"/>
            <w:shd w:val="clear" w:color="auto" w:fill="0000EE"/>
          </w:tcPr>
          <w:p>
            <w:pPr>
              <w:spacing w:after="0" w:line="20" w:lineRule="exact"/>
              <w:rPr>
                <w:sz w:val="1"/>
                <w:szCs w:val="1"/>
                <w:color w:val="auto"/>
              </w:rPr>
            </w:pPr>
          </w:p>
        </w:tc>
        <w:tc>
          <w:tcPr>
            <w:tcW w:w="140" w:type="dxa"/>
            <w:vAlign w:val="bottom"/>
            <w:tcBorders>
              <w:left w:val="single" w:sz="8" w:color="0000EE"/>
            </w:tcBorders>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80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25">
              <w:r>
                <w:rPr>
                  <w:rFonts w:ascii="Arial" w:cs="Arial" w:eastAsia="Arial" w:hAnsi="Arial"/>
                  <w:sz w:val="18"/>
                  <w:szCs w:val="18"/>
                  <w:color w:val="0000EE"/>
                  <w:w w:val="94"/>
                </w:rPr>
                <w:t>registrant and GLOBALFOUNDRIES</w:t>
              </w:r>
            </w:hyperlink>
          </w:p>
        </w:tc>
        <w:tc>
          <w:tcPr>
            <w:tcW w:w="20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Singapore Pte. Ltd.</w:t>
              </w:r>
            </w:hyperlink>
          </w:p>
        </w:tc>
        <w:tc>
          <w:tcPr>
            <w:tcW w:w="1600" w:type="dxa"/>
            <w:vAlign w:val="bottom"/>
            <w:gridSpan w:val="22"/>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2780" w:type="dxa"/>
            <w:vAlign w:val="bottom"/>
            <w:tcBorders>
              <w:bottom w:val="single" w:sz="8" w:color="0000EE"/>
            </w:tcBorders>
            <w:gridSpan w:val="17"/>
          </w:tcPr>
          <w:p>
            <w:pPr>
              <w:spacing w:after="0"/>
              <w:rPr>
                <w:rFonts w:ascii="Arial" w:cs="Arial" w:eastAsia="Arial" w:hAnsi="Arial"/>
                <w:sz w:val="18"/>
                <w:szCs w:val="18"/>
                <w:color w:val="0000EE"/>
                <w:w w:val="88"/>
              </w:rPr>
            </w:pPr>
            <w:hyperlink r:id="rId126">
              <w:r>
                <w:rPr>
                  <w:rFonts w:ascii="Arial" w:cs="Arial" w:eastAsia="Arial" w:hAnsi="Arial"/>
                  <w:sz w:val="18"/>
                  <w:szCs w:val="18"/>
                  <w:color w:val="0000EE"/>
                  <w:w w:val="88"/>
                </w:rPr>
                <w:t>Restricted Stock Purchase Agreement,</w:t>
              </w:r>
            </w:hyperlink>
          </w:p>
        </w:tc>
        <w:tc>
          <w:tcPr>
            <w:tcW w:w="220" w:type="dxa"/>
            <w:vAlign w:val="bottom"/>
            <w:gridSpan w:val="7"/>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020" w:type="dxa"/>
            <w:vAlign w:val="bottom"/>
          </w:tcPr>
          <w:p>
            <w:pPr>
              <w:jc w:val="right"/>
              <w:spacing w:after="0"/>
              <w:rPr>
                <w:sz w:val="20"/>
                <w:szCs w:val="20"/>
                <w:color w:val="auto"/>
              </w:rPr>
            </w:pPr>
            <w:r>
              <w:rPr>
                <w:rFonts w:ascii="Arial" w:cs="Arial" w:eastAsia="Arial" w:hAnsi="Arial"/>
                <w:sz w:val="18"/>
                <w:szCs w:val="18"/>
                <w:color w:val="auto"/>
              </w:rPr>
              <w:t>9/09/2016</w:t>
            </w:r>
          </w:p>
        </w:tc>
      </w:tr>
      <w:tr>
        <w:trPr>
          <w:trHeight w:val="196"/>
        </w:trPr>
        <w:tc>
          <w:tcPr>
            <w:tcW w:w="1040" w:type="dxa"/>
            <w:vAlign w:val="bottom"/>
          </w:tcPr>
          <w:p>
            <w:pPr>
              <w:spacing w:after="0"/>
              <w:rPr>
                <w:sz w:val="17"/>
                <w:szCs w:val="17"/>
                <w:color w:val="auto"/>
              </w:rPr>
            </w:pPr>
          </w:p>
        </w:tc>
        <w:tc>
          <w:tcPr>
            <w:tcW w:w="26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dated as of October 21, 2014 by and</w:t>
              </w:r>
            </w:hyperlink>
          </w:p>
        </w:tc>
        <w:tc>
          <w:tcPr>
            <w:tcW w:w="36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4"/>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between the registrant and</w:t>
              </w:r>
            </w:hyperlink>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100" w:type="dxa"/>
            <w:vAlign w:val="bottom"/>
            <w:gridSpan w:val="2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4"/>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GLOBALFOUNDRIES Inc.</w:t>
              </w:r>
            </w:hyperlink>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2720" w:type="dxa"/>
            <w:vAlign w:val="bottom"/>
            <w:tcBorders>
              <w:bottom w:val="single" w:sz="8" w:color="0000EE"/>
            </w:tcBorders>
            <w:gridSpan w:val="21"/>
          </w:tcPr>
          <w:p>
            <w:pPr>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Common Stock Purchase Agreement,</w:t>
              </w:r>
            </w:hyperlink>
          </w:p>
        </w:tc>
        <w:tc>
          <w:tcPr>
            <w:tcW w:w="280" w:type="dxa"/>
            <w:vAlign w:val="bottom"/>
            <w:gridSpan w:val="8"/>
          </w:tcPr>
          <w:p>
            <w:pPr>
              <w:spacing w:after="0"/>
              <w:rPr>
                <w:sz w:val="17"/>
                <w:szCs w:val="17"/>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rPr>
              <w:t>S-1/A</w:t>
            </w:r>
          </w:p>
        </w:tc>
        <w:tc>
          <w:tcPr>
            <w:tcW w:w="1660" w:type="dxa"/>
            <w:vAlign w:val="bottom"/>
          </w:tcPr>
          <w:p>
            <w:pPr>
              <w:jc w:val="center"/>
              <w:ind w:left="470"/>
              <w:spacing w:after="0"/>
              <w:rPr>
                <w:sz w:val="20"/>
                <w:szCs w:val="20"/>
                <w:color w:val="auto"/>
              </w:rPr>
            </w:pPr>
            <w:r>
              <w:rPr>
                <w:rFonts w:ascii="Arial" w:cs="Arial" w:eastAsia="Arial" w:hAnsi="Arial"/>
                <w:sz w:val="18"/>
                <w:szCs w:val="18"/>
                <w:color w:val="auto"/>
                <w:w w:val="89"/>
              </w:rPr>
              <w:t>333-213569</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9/26/2016</w:t>
            </w:r>
          </w:p>
        </w:tc>
      </w:tr>
      <w:tr>
        <w:trPr>
          <w:trHeight w:val="196"/>
        </w:trPr>
        <w:tc>
          <w:tcPr>
            <w:tcW w:w="1040" w:type="dxa"/>
            <w:vAlign w:val="bottom"/>
          </w:tcPr>
          <w:p>
            <w:pPr>
              <w:spacing w:after="0"/>
              <w:rPr>
                <w:sz w:val="17"/>
                <w:szCs w:val="17"/>
                <w:color w:val="auto"/>
              </w:rPr>
            </w:pPr>
          </w:p>
        </w:tc>
        <w:tc>
          <w:tcPr>
            <w:tcW w:w="282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dated as of September 23, 2016 by and</w:t>
              </w:r>
            </w:hyperlink>
          </w:p>
        </w:tc>
        <w:tc>
          <w:tcPr>
            <w:tcW w:w="18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9"/>
          </w:tcPr>
          <w:p>
            <w:pPr>
              <w:spacing w:after="0" w:line="196" w:lineRule="exact"/>
              <w:rPr>
                <w:rFonts w:ascii="Arial" w:cs="Arial" w:eastAsia="Arial" w:hAnsi="Arial"/>
                <w:sz w:val="18"/>
                <w:szCs w:val="18"/>
                <w:color w:val="0000EE"/>
                <w:w w:val="95"/>
              </w:rPr>
            </w:pPr>
            <w:hyperlink r:id="rId128">
              <w:r>
                <w:rPr>
                  <w:rFonts w:ascii="Arial" w:cs="Arial" w:eastAsia="Arial" w:hAnsi="Arial"/>
                  <w:sz w:val="18"/>
                  <w:szCs w:val="18"/>
                  <w:color w:val="0000EE"/>
                  <w:w w:val="95"/>
                </w:rPr>
                <w:t>between the registrant and GigaDevice</w:t>
              </w:r>
            </w:hyperlink>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(HK) Limited.</w:t>
              </w:r>
            </w:hyperlink>
          </w:p>
        </w:tc>
        <w:tc>
          <w:tcPr>
            <w:tcW w:w="20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3000" w:type="dxa"/>
            <w:vAlign w:val="bottom"/>
            <w:gridSpan w:val="29"/>
          </w:tcPr>
          <w:p>
            <w:pPr>
              <w:spacing w:after="0"/>
              <w:rPr>
                <w:rFonts w:ascii="Arial" w:cs="Arial" w:eastAsia="Arial" w:hAnsi="Arial"/>
                <w:sz w:val="18"/>
                <w:szCs w:val="18"/>
                <w:color w:val="0000EE"/>
              </w:rPr>
            </w:pPr>
            <w:hyperlink r:id="rId129">
              <w:r>
                <w:rPr>
                  <w:rFonts w:ascii="Arial" w:cs="Arial" w:eastAsia="Arial" w:hAnsi="Arial"/>
                  <w:sz w:val="18"/>
                  <w:szCs w:val="18"/>
                  <w:color w:val="0000EE"/>
                </w:rPr>
                <w:t>Subcontract Agreement, dated as of</w:t>
              </w:r>
            </w:hyperlink>
          </w:p>
        </w:tc>
        <w:tc>
          <w:tcPr>
            <w:tcW w:w="820" w:type="dxa"/>
            <w:vAlign w:val="bottom"/>
          </w:tcPr>
          <w:p>
            <w:pPr>
              <w:ind w:left="140"/>
              <w:spacing w:after="0"/>
              <w:rPr>
                <w:sz w:val="20"/>
                <w:szCs w:val="20"/>
                <w:color w:val="auto"/>
              </w:rPr>
            </w:pPr>
            <w:r>
              <w:rPr>
                <w:rFonts w:ascii="Arial" w:cs="Arial" w:eastAsia="Arial" w:hAnsi="Arial"/>
                <w:sz w:val="18"/>
                <w:szCs w:val="18"/>
                <w:color w:val="auto"/>
              </w:rPr>
              <w:t>10-Q</w:t>
            </w:r>
          </w:p>
        </w:tc>
        <w:tc>
          <w:tcPr>
            <w:tcW w:w="1660" w:type="dxa"/>
            <w:vAlign w:val="bottom"/>
          </w:tcPr>
          <w:p>
            <w:pPr>
              <w:jc w:val="center"/>
              <w:ind w:left="470"/>
              <w:spacing w:after="0"/>
              <w:rPr>
                <w:sz w:val="20"/>
                <w:szCs w:val="20"/>
                <w:color w:val="auto"/>
              </w:rPr>
            </w:pPr>
            <w:r>
              <w:rPr>
                <w:rFonts w:ascii="Arial" w:cs="Arial" w:eastAsia="Arial" w:hAnsi="Arial"/>
                <w:sz w:val="18"/>
                <w:szCs w:val="18"/>
                <w:color w:val="auto"/>
                <w:w w:val="90"/>
              </w:rPr>
              <w:t>001-37900</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11/10/2022</w:t>
            </w: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6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October 3, 2022, by and between the</w:t>
              </w:r>
            </w:hyperlink>
          </w:p>
        </w:tc>
        <w:tc>
          <w:tcPr>
            <w:tcW w:w="32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registrant and QuickLogic Corporation.</w:t>
              </w:r>
            </w:hyperlink>
          </w:p>
        </w:tc>
        <w:tc>
          <w:tcPr>
            <w:tcW w:w="1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2820" w:type="dxa"/>
            <w:vAlign w:val="bottom"/>
            <w:tcBorders>
              <w:bottom w:val="single" w:sz="8" w:color="0000EE"/>
            </w:tcBorders>
            <w:gridSpan w:val="25"/>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Non-employee Director Compensation</w:t>
              </w:r>
            </w:hyperlink>
          </w:p>
        </w:tc>
        <w:tc>
          <w:tcPr>
            <w:tcW w:w="180" w:type="dxa"/>
            <w:vAlign w:val="bottom"/>
            <w:gridSpan w:val="4"/>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10-Q</w:t>
            </w:r>
          </w:p>
        </w:tc>
        <w:tc>
          <w:tcPr>
            <w:tcW w:w="1660" w:type="dxa"/>
            <w:vAlign w:val="bottom"/>
          </w:tcPr>
          <w:p>
            <w:pPr>
              <w:jc w:val="center"/>
              <w:ind w:left="470"/>
              <w:spacing w:after="0"/>
              <w:rPr>
                <w:sz w:val="20"/>
                <w:szCs w:val="20"/>
                <w:color w:val="auto"/>
              </w:rPr>
            </w:pPr>
            <w:r>
              <w:rPr>
                <w:rFonts w:ascii="Arial" w:cs="Arial" w:eastAsia="Arial" w:hAnsi="Arial"/>
                <w:sz w:val="18"/>
                <w:szCs w:val="18"/>
                <w:color w:val="auto"/>
                <w:w w:val="90"/>
              </w:rPr>
              <w:t>001-37900</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8/07/2019</w:t>
            </w: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3000" w:type="dxa"/>
            <w:vAlign w:val="bottom"/>
            <w:gridSpan w:val="29"/>
          </w:tcPr>
          <w:p>
            <w:pPr>
              <w:spacing w:after="0"/>
              <w:rPr>
                <w:rFonts w:ascii="Arial" w:cs="Arial" w:eastAsia="Arial" w:hAnsi="Arial"/>
                <w:sz w:val="18"/>
                <w:szCs w:val="18"/>
                <w:color w:val="0000EE"/>
                <w:w w:val="94"/>
              </w:rPr>
            </w:pPr>
            <w:hyperlink r:id="rId131">
              <w:r>
                <w:rPr>
                  <w:rFonts w:ascii="Arial" w:cs="Arial" w:eastAsia="Arial" w:hAnsi="Arial"/>
                  <w:sz w:val="18"/>
                  <w:szCs w:val="18"/>
                  <w:color w:val="0000EE"/>
                  <w:w w:val="94"/>
                </w:rPr>
                <w:t>Offer Letter, dated December 30, 2020,</w:t>
              </w:r>
            </w:hyperlink>
          </w:p>
        </w:tc>
        <w:tc>
          <w:tcPr>
            <w:tcW w:w="820" w:type="dxa"/>
            <w:vAlign w:val="bottom"/>
          </w:tcPr>
          <w:p>
            <w:pPr>
              <w:ind w:left="120"/>
              <w:spacing w:after="0"/>
              <w:rPr>
                <w:sz w:val="20"/>
                <w:szCs w:val="20"/>
                <w:color w:val="auto"/>
              </w:rPr>
            </w:pPr>
            <w:r>
              <w:rPr>
                <w:rFonts w:ascii="Arial" w:cs="Arial" w:eastAsia="Arial" w:hAnsi="Arial"/>
                <w:sz w:val="18"/>
                <w:szCs w:val="18"/>
                <w:color w:val="auto"/>
              </w:rPr>
              <w:t>10-K</w:t>
            </w:r>
          </w:p>
        </w:tc>
        <w:tc>
          <w:tcPr>
            <w:tcW w:w="1660" w:type="dxa"/>
            <w:vAlign w:val="bottom"/>
          </w:tcPr>
          <w:p>
            <w:pPr>
              <w:jc w:val="right"/>
              <w:ind w:right="530"/>
              <w:spacing w:after="0"/>
              <w:rPr>
                <w:sz w:val="20"/>
                <w:szCs w:val="20"/>
                <w:color w:val="auto"/>
              </w:rPr>
            </w:pPr>
            <w:r>
              <w:rPr>
                <w:rFonts w:ascii="Arial" w:cs="Arial" w:eastAsia="Arial" w:hAnsi="Arial"/>
                <w:sz w:val="18"/>
                <w:szCs w:val="18"/>
                <w:color w:val="auto"/>
              </w:rPr>
              <w:t>001-37900</w:t>
            </w:r>
          </w:p>
        </w:tc>
        <w:tc>
          <w:tcPr>
            <w:tcW w:w="940" w:type="dxa"/>
            <w:vAlign w:val="bottom"/>
          </w:tcPr>
          <w:p>
            <w:pPr>
              <w:jc w:val="center"/>
              <w:ind w:right="250"/>
              <w:spacing w:after="0"/>
              <w:rPr>
                <w:sz w:val="20"/>
                <w:szCs w:val="20"/>
                <w:color w:val="auto"/>
              </w:rPr>
            </w:pPr>
            <w:r>
              <w:rPr>
                <w:rFonts w:ascii="Arial" w:cs="Arial" w:eastAsia="Arial" w:hAnsi="Arial"/>
                <w:sz w:val="18"/>
                <w:szCs w:val="18"/>
                <w:color w:val="auto"/>
                <w:w w:val="88"/>
              </w:rPr>
              <w:t>10.26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3/04/2021</w:t>
            </w: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9"/>
          </w:tcPr>
          <w:p>
            <w:pPr>
              <w:spacing w:after="0" w:line="196" w:lineRule="exact"/>
              <w:rPr>
                <w:rFonts w:ascii="Arial" w:cs="Arial" w:eastAsia="Arial" w:hAnsi="Arial"/>
                <w:sz w:val="18"/>
                <w:szCs w:val="18"/>
                <w:color w:val="0000EE"/>
                <w:w w:val="93"/>
              </w:rPr>
            </w:pPr>
            <w:hyperlink r:id="rId131">
              <w:r>
                <w:rPr>
                  <w:rFonts w:ascii="Arial" w:cs="Arial" w:eastAsia="Arial" w:hAnsi="Arial"/>
                  <w:sz w:val="18"/>
                  <w:szCs w:val="18"/>
                  <w:color w:val="0000EE"/>
                  <w:w w:val="93"/>
                </w:rPr>
                <w:t>by and between the registrant and Darin</w:t>
              </w:r>
            </w:hyperlink>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8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Billerbeck.</w:t>
              </w:r>
            </w:hyperlink>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2600" w:type="dxa"/>
            <w:vAlign w:val="bottom"/>
            <w:tcBorders>
              <w:bottom w:val="single" w:sz="8" w:color="0000EE"/>
            </w:tcBorders>
            <w:gridSpan w:val="16"/>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Executive Employment Agreement,</w:t>
              </w:r>
            </w:hyperlink>
          </w:p>
        </w:tc>
        <w:tc>
          <w:tcPr>
            <w:tcW w:w="400" w:type="dxa"/>
            <w:vAlign w:val="bottom"/>
            <w:gridSpan w:val="13"/>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8-K</w:t>
            </w:r>
          </w:p>
        </w:tc>
        <w:tc>
          <w:tcPr>
            <w:tcW w:w="1660" w:type="dxa"/>
            <w:vAlign w:val="bottom"/>
          </w:tcPr>
          <w:p>
            <w:pPr>
              <w:jc w:val="right"/>
              <w:ind w:right="530"/>
              <w:spacing w:after="0"/>
              <w:rPr>
                <w:sz w:val="20"/>
                <w:szCs w:val="20"/>
                <w:color w:val="auto"/>
              </w:rPr>
            </w:pPr>
            <w:r>
              <w:rPr>
                <w:rFonts w:ascii="Arial" w:cs="Arial" w:eastAsia="Arial" w:hAnsi="Arial"/>
                <w:sz w:val="18"/>
                <w:szCs w:val="18"/>
                <w:color w:val="auto"/>
              </w:rPr>
              <w:t>001-37900</w:t>
            </w:r>
          </w:p>
        </w:tc>
        <w:tc>
          <w:tcPr>
            <w:tcW w:w="940" w:type="dxa"/>
            <w:vAlign w:val="bottom"/>
          </w:tcPr>
          <w:p>
            <w:pPr>
              <w:jc w:val="center"/>
              <w:ind w:right="250"/>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7/22/2021</w:t>
            </w:r>
          </w:p>
        </w:tc>
      </w:tr>
      <w:tr>
        <w:trPr>
          <w:trHeight w:val="196"/>
        </w:trPr>
        <w:tc>
          <w:tcPr>
            <w:tcW w:w="1040" w:type="dxa"/>
            <w:vAlign w:val="bottom"/>
          </w:tcPr>
          <w:p>
            <w:pPr>
              <w:spacing w:after="0"/>
              <w:rPr>
                <w:sz w:val="17"/>
                <w:szCs w:val="17"/>
                <w:color w:val="auto"/>
              </w:rPr>
            </w:pPr>
          </w:p>
        </w:tc>
        <w:tc>
          <w:tcPr>
            <w:tcW w:w="26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effective as of April 3, 2021, by and</w:t>
              </w:r>
            </w:hyperlink>
          </w:p>
        </w:tc>
        <w:tc>
          <w:tcPr>
            <w:tcW w:w="38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between the registrant and Sanjeev</w:t>
              </w:r>
            </w:hyperlink>
          </w:p>
        </w:tc>
        <w:tc>
          <w:tcPr>
            <w:tcW w:w="480" w:type="dxa"/>
            <w:vAlign w:val="bottom"/>
            <w:gridSpan w:val="15"/>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132">
              <w:r>
                <w:rPr>
                  <w:rFonts w:ascii="Arial" w:cs="Arial" w:eastAsia="Arial" w:hAnsi="Arial"/>
                  <w:sz w:val="18"/>
                  <w:szCs w:val="18"/>
                  <w:color w:val="0000EE"/>
                  <w:w w:val="93"/>
                </w:rPr>
                <w:t>Aggarwal</w:t>
              </w:r>
            </w:hyperlink>
          </w:p>
        </w:tc>
        <w:tc>
          <w:tcPr>
            <w:tcW w:w="2280" w:type="dxa"/>
            <w:vAlign w:val="bottom"/>
            <w:gridSpan w:val="28"/>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2600" w:type="dxa"/>
            <w:vAlign w:val="bottom"/>
            <w:tcBorders>
              <w:bottom w:val="single" w:sz="8" w:color="0000EE"/>
            </w:tcBorders>
            <w:gridSpan w:val="16"/>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Executive Employment Agreement,</w:t>
              </w:r>
            </w:hyperlink>
          </w:p>
        </w:tc>
        <w:tc>
          <w:tcPr>
            <w:tcW w:w="400" w:type="dxa"/>
            <w:vAlign w:val="bottom"/>
            <w:gridSpan w:val="13"/>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8-K</w:t>
            </w:r>
          </w:p>
        </w:tc>
        <w:tc>
          <w:tcPr>
            <w:tcW w:w="1660" w:type="dxa"/>
            <w:vAlign w:val="bottom"/>
          </w:tcPr>
          <w:p>
            <w:pPr>
              <w:jc w:val="right"/>
              <w:ind w:right="530"/>
              <w:spacing w:after="0"/>
              <w:rPr>
                <w:sz w:val="20"/>
                <w:szCs w:val="20"/>
                <w:color w:val="auto"/>
              </w:rPr>
            </w:pPr>
            <w:r>
              <w:rPr>
                <w:rFonts w:ascii="Arial" w:cs="Arial" w:eastAsia="Arial" w:hAnsi="Arial"/>
                <w:sz w:val="18"/>
                <w:szCs w:val="18"/>
                <w:color w:val="auto"/>
              </w:rPr>
              <w:t>001-37900</w:t>
            </w:r>
          </w:p>
        </w:tc>
        <w:tc>
          <w:tcPr>
            <w:tcW w:w="940" w:type="dxa"/>
            <w:vAlign w:val="bottom"/>
          </w:tcPr>
          <w:p>
            <w:pPr>
              <w:jc w:val="center"/>
              <w:ind w:right="250"/>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7/22/2021</w:t>
            </w:r>
          </w:p>
        </w:tc>
      </w:tr>
      <w:tr>
        <w:trPr>
          <w:trHeight w:val="196"/>
        </w:trPr>
        <w:tc>
          <w:tcPr>
            <w:tcW w:w="1040" w:type="dxa"/>
            <w:vAlign w:val="bottom"/>
          </w:tcPr>
          <w:p>
            <w:pPr>
              <w:spacing w:after="0"/>
              <w:rPr>
                <w:sz w:val="17"/>
                <w:szCs w:val="17"/>
                <w:color w:val="auto"/>
              </w:rPr>
            </w:pPr>
          </w:p>
        </w:tc>
        <w:tc>
          <w:tcPr>
            <w:tcW w:w="3000" w:type="dxa"/>
            <w:vAlign w:val="bottom"/>
            <w:gridSpan w:val="29"/>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effective as of July 2, 2021, by and</w:t>
              </w:r>
            </w:hyperlink>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20" w:type="dxa"/>
            <w:vAlign w:val="bottom"/>
            <w:tcBorders>
              <w:top w:val="single" w:sz="8" w:color="0000EE"/>
            </w:tcBorders>
            <w:gridSpan w:val="14"/>
          </w:tcPr>
          <w:p>
            <w:pPr>
              <w:spacing w:after="0" w:line="196" w:lineRule="exact"/>
              <w:rPr>
                <w:rFonts w:ascii="Arial" w:cs="Arial" w:eastAsia="Arial" w:hAnsi="Arial"/>
                <w:sz w:val="18"/>
                <w:szCs w:val="18"/>
                <w:color w:val="0000EE"/>
                <w:w w:val="98"/>
              </w:rPr>
            </w:pPr>
            <w:hyperlink r:id="rId133">
              <w:r>
                <w:rPr>
                  <w:rFonts w:ascii="Arial" w:cs="Arial" w:eastAsia="Arial" w:hAnsi="Arial"/>
                  <w:sz w:val="18"/>
                  <w:szCs w:val="18"/>
                  <w:color w:val="0000EE"/>
                  <w:w w:val="98"/>
                </w:rPr>
                <w:t>between the registrant and Anuj</w:t>
              </w:r>
            </w:hyperlink>
          </w:p>
        </w:tc>
        <w:tc>
          <w:tcPr>
            <w:tcW w:w="480" w:type="dxa"/>
            <w:vAlign w:val="bottom"/>
            <w:gridSpan w:val="15"/>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r:id="rId133">
              <w:r>
                <w:rPr>
                  <w:rFonts w:ascii="Arial" w:cs="Arial" w:eastAsia="Arial" w:hAnsi="Arial"/>
                  <w:sz w:val="18"/>
                  <w:szCs w:val="18"/>
                  <w:color w:val="0000EE"/>
                  <w:w w:val="93"/>
                </w:rPr>
                <w:t>Aggarwal</w:t>
              </w:r>
            </w:hyperlink>
          </w:p>
        </w:tc>
        <w:tc>
          <w:tcPr>
            <w:tcW w:w="1580" w:type="dxa"/>
            <w:vAlign w:val="bottom"/>
            <w:tcBorders>
              <w:top w:val="single" w:sz="8" w:color="0000EE"/>
            </w:tcBorders>
            <w:gridSpan w:val="10"/>
          </w:tcPr>
          <w:p>
            <w:pPr>
              <w:spacing w:after="0"/>
              <w:rPr>
                <w:sz w:val="17"/>
                <w:szCs w:val="17"/>
                <w:color w:val="auto"/>
              </w:rPr>
            </w:pPr>
          </w:p>
        </w:tc>
        <w:tc>
          <w:tcPr>
            <w:tcW w:w="700" w:type="dxa"/>
            <w:vAlign w:val="bottom"/>
            <w:gridSpan w:val="18"/>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2240" w:type="dxa"/>
            <w:vAlign w:val="bottom"/>
            <w:tcBorders>
              <w:bottom w:val="single" w:sz="8" w:color="0000EE"/>
            </w:tcBorders>
            <w:gridSpan w:val="9"/>
          </w:tcPr>
          <w:p>
            <w:pPr>
              <w:spacing w:after="0"/>
              <w:rPr>
                <w:rFonts w:ascii="Arial" w:cs="Arial" w:eastAsia="Arial" w:hAnsi="Arial"/>
                <w:sz w:val="18"/>
                <w:szCs w:val="18"/>
                <w:color w:val="0000EE"/>
                <w:w w:val="92"/>
              </w:rPr>
            </w:pPr>
            <w:hyperlink r:id="rId134">
              <w:r>
                <w:rPr>
                  <w:rFonts w:ascii="Arial" w:cs="Arial" w:eastAsia="Arial" w:hAnsi="Arial"/>
                  <w:sz w:val="18"/>
                  <w:szCs w:val="18"/>
                  <w:color w:val="0000EE"/>
                  <w:w w:val="92"/>
                </w:rPr>
                <w:t>First Amendment to Executive</w:t>
              </w:r>
            </w:hyperlink>
          </w:p>
        </w:tc>
        <w:tc>
          <w:tcPr>
            <w:tcW w:w="760" w:type="dxa"/>
            <w:vAlign w:val="bottom"/>
            <w:gridSpan w:val="20"/>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8-K</w:t>
            </w:r>
          </w:p>
        </w:tc>
        <w:tc>
          <w:tcPr>
            <w:tcW w:w="1660" w:type="dxa"/>
            <w:vAlign w:val="bottom"/>
          </w:tcPr>
          <w:p>
            <w:pPr>
              <w:jc w:val="right"/>
              <w:ind w:right="530"/>
              <w:spacing w:after="0"/>
              <w:rPr>
                <w:sz w:val="20"/>
                <w:szCs w:val="20"/>
                <w:color w:val="auto"/>
              </w:rPr>
            </w:pPr>
            <w:r>
              <w:rPr>
                <w:rFonts w:ascii="Arial" w:cs="Arial" w:eastAsia="Arial" w:hAnsi="Arial"/>
                <w:sz w:val="18"/>
                <w:szCs w:val="18"/>
                <w:color w:val="auto"/>
              </w:rPr>
              <w:t>001-37900</w:t>
            </w:r>
          </w:p>
        </w:tc>
        <w:tc>
          <w:tcPr>
            <w:tcW w:w="940" w:type="dxa"/>
            <w:vAlign w:val="bottom"/>
          </w:tcPr>
          <w:p>
            <w:pPr>
              <w:jc w:val="center"/>
              <w:ind w:right="250"/>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3/02/2022</w:t>
            </w:r>
          </w:p>
        </w:tc>
      </w:tr>
      <w:tr>
        <w:trPr>
          <w:trHeight w:val="196"/>
        </w:trPr>
        <w:tc>
          <w:tcPr>
            <w:tcW w:w="1040" w:type="dxa"/>
            <w:vAlign w:val="bottom"/>
          </w:tcPr>
          <w:p>
            <w:pPr>
              <w:spacing w:after="0"/>
              <w:rPr>
                <w:sz w:val="17"/>
                <w:szCs w:val="17"/>
                <w:color w:val="auto"/>
              </w:rPr>
            </w:pPr>
          </w:p>
        </w:tc>
        <w:tc>
          <w:tcPr>
            <w:tcW w:w="3000" w:type="dxa"/>
            <w:vAlign w:val="bottom"/>
            <w:gridSpan w:val="29"/>
          </w:tcPr>
          <w:p>
            <w:pPr>
              <w:spacing w:after="0" w:line="196" w:lineRule="exact"/>
              <w:rPr>
                <w:rFonts w:ascii="Arial" w:cs="Arial" w:eastAsia="Arial" w:hAnsi="Arial"/>
                <w:sz w:val="18"/>
                <w:szCs w:val="18"/>
                <w:color w:val="0000EE"/>
                <w:w w:val="94"/>
              </w:rPr>
            </w:pPr>
            <w:hyperlink r:id="rId134">
              <w:r>
                <w:rPr>
                  <w:rFonts w:ascii="Arial" w:cs="Arial" w:eastAsia="Arial" w:hAnsi="Arial"/>
                  <w:sz w:val="18"/>
                  <w:szCs w:val="18"/>
                  <w:color w:val="0000EE"/>
                  <w:w w:val="94"/>
                </w:rPr>
                <w:t>Employment Agreement, effective as of</w:t>
              </w:r>
            </w:hyperlink>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March 14, 2022, by and between the</w:t>
              </w:r>
            </w:hyperlink>
          </w:p>
        </w:tc>
        <w:tc>
          <w:tcPr>
            <w:tcW w:w="220" w:type="dxa"/>
            <w:vAlign w:val="bottom"/>
            <w:tcBorders>
              <w:top w:val="single" w:sz="8" w:color="0000EE"/>
            </w:tcBorders>
            <w:gridSpan w:val="9"/>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registrant and Sanjeev Aggarwal.</w:t>
              </w:r>
            </w:hyperlink>
          </w:p>
        </w:tc>
        <w:tc>
          <w:tcPr>
            <w:tcW w:w="58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3000" w:type="dxa"/>
            <w:vAlign w:val="bottom"/>
            <w:gridSpan w:val="29"/>
          </w:tcPr>
          <w:p>
            <w:pPr>
              <w:spacing w:after="0"/>
              <w:rPr>
                <w:rFonts w:ascii="Arial" w:cs="Arial" w:eastAsia="Arial" w:hAnsi="Arial"/>
                <w:sz w:val="18"/>
                <w:szCs w:val="18"/>
                <w:color w:val="0000EE"/>
              </w:rPr>
            </w:pPr>
            <w:hyperlink r:id="rId135">
              <w:r>
                <w:rPr>
                  <w:rFonts w:ascii="Arial" w:cs="Arial" w:eastAsia="Arial" w:hAnsi="Arial"/>
                  <w:sz w:val="18"/>
                  <w:szCs w:val="18"/>
                  <w:color w:val="0000EE"/>
                </w:rPr>
                <w:t>First Amendment to Offer Letter,</w:t>
              </w:r>
            </w:hyperlink>
          </w:p>
        </w:tc>
        <w:tc>
          <w:tcPr>
            <w:tcW w:w="820" w:type="dxa"/>
            <w:vAlign w:val="bottom"/>
          </w:tcPr>
          <w:p>
            <w:pPr>
              <w:ind w:left="160"/>
              <w:spacing w:after="0"/>
              <w:rPr>
                <w:sz w:val="20"/>
                <w:szCs w:val="20"/>
                <w:color w:val="auto"/>
              </w:rPr>
            </w:pPr>
            <w:r>
              <w:rPr>
                <w:rFonts w:ascii="Arial" w:cs="Arial" w:eastAsia="Arial" w:hAnsi="Arial"/>
                <w:sz w:val="18"/>
                <w:szCs w:val="18"/>
                <w:color w:val="auto"/>
              </w:rPr>
              <w:t>8-K</w:t>
            </w:r>
          </w:p>
        </w:tc>
        <w:tc>
          <w:tcPr>
            <w:tcW w:w="1660" w:type="dxa"/>
            <w:vAlign w:val="bottom"/>
          </w:tcPr>
          <w:p>
            <w:pPr>
              <w:jc w:val="right"/>
              <w:ind w:right="530"/>
              <w:spacing w:after="0"/>
              <w:rPr>
                <w:sz w:val="20"/>
                <w:szCs w:val="20"/>
                <w:color w:val="auto"/>
              </w:rPr>
            </w:pPr>
            <w:r>
              <w:rPr>
                <w:rFonts w:ascii="Arial" w:cs="Arial" w:eastAsia="Arial" w:hAnsi="Arial"/>
                <w:sz w:val="18"/>
                <w:szCs w:val="18"/>
                <w:color w:val="auto"/>
              </w:rPr>
              <w:t>001-37900</w:t>
            </w:r>
          </w:p>
        </w:tc>
        <w:tc>
          <w:tcPr>
            <w:tcW w:w="940" w:type="dxa"/>
            <w:vAlign w:val="bottom"/>
          </w:tcPr>
          <w:p>
            <w:pPr>
              <w:jc w:val="center"/>
              <w:ind w:right="250"/>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3/02/2022</w:t>
            </w:r>
          </w:p>
        </w:tc>
      </w:tr>
      <w:tr>
        <w:trPr>
          <w:trHeight w:val="20"/>
        </w:trPr>
        <w:tc>
          <w:tcPr>
            <w:tcW w:w="10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9"/>
          </w:tcPr>
          <w:p>
            <w:pPr>
              <w:spacing w:after="0" w:line="196" w:lineRule="exact"/>
              <w:rPr>
                <w:rFonts w:ascii="Arial" w:cs="Arial" w:eastAsia="Arial" w:hAnsi="Arial"/>
                <w:sz w:val="18"/>
                <w:szCs w:val="18"/>
                <w:color w:val="0000EE"/>
                <w:w w:val="97"/>
              </w:rPr>
            </w:pPr>
            <w:hyperlink r:id="rId135">
              <w:r>
                <w:rPr>
                  <w:rFonts w:ascii="Arial" w:cs="Arial" w:eastAsia="Arial" w:hAnsi="Arial"/>
                  <w:sz w:val="18"/>
                  <w:szCs w:val="18"/>
                  <w:color w:val="0000EE"/>
                  <w:w w:val="97"/>
                </w:rPr>
                <w:t>effective as of March 14, 2022, by and</w:t>
              </w:r>
            </w:hyperlink>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between the registrant and Darin</w:t>
              </w:r>
            </w:hyperlink>
          </w:p>
        </w:tc>
        <w:tc>
          <w:tcPr>
            <w:tcW w:w="380" w:type="dxa"/>
            <w:vAlign w:val="bottom"/>
            <w:tcBorders>
              <w:top w:val="single" w:sz="8" w:color="0000EE"/>
            </w:tcBorders>
            <w:gridSpan w:val="11"/>
          </w:tcPr>
          <w:p>
            <w:pPr>
              <w:spacing w:after="0"/>
              <w:rPr>
                <w:sz w:val="17"/>
                <w:szCs w:val="17"/>
                <w:color w:val="auto"/>
              </w:rPr>
            </w:pPr>
          </w:p>
        </w:tc>
        <w:tc>
          <w:tcPr>
            <w:tcW w:w="22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9"/>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Billerbeck.</w:t>
              </w:r>
            </w:hyperlink>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10.22†</w:t>
            </w:r>
          </w:p>
        </w:tc>
        <w:tc>
          <w:tcPr>
            <w:tcW w:w="2240" w:type="dxa"/>
            <w:vAlign w:val="bottom"/>
            <w:tcBorders>
              <w:bottom w:val="single" w:sz="8" w:color="0000EE"/>
            </w:tcBorders>
            <w:gridSpan w:val="9"/>
          </w:tcPr>
          <w:p>
            <w:pPr>
              <w:spacing w:after="0"/>
              <w:rPr>
                <w:rFonts w:ascii="Arial" w:cs="Arial" w:eastAsia="Arial" w:hAnsi="Arial"/>
                <w:sz w:val="18"/>
                <w:szCs w:val="18"/>
                <w:color w:val="0000EE"/>
                <w:w w:val="92"/>
              </w:rPr>
            </w:pPr>
            <w:hyperlink r:id="rId136">
              <w:r>
                <w:rPr>
                  <w:rFonts w:ascii="Arial" w:cs="Arial" w:eastAsia="Arial" w:hAnsi="Arial"/>
                  <w:sz w:val="18"/>
                  <w:szCs w:val="18"/>
                  <w:color w:val="0000EE"/>
                  <w:w w:val="92"/>
                </w:rPr>
                <w:t>First Amendment to Executive</w:t>
              </w:r>
            </w:hyperlink>
          </w:p>
        </w:tc>
        <w:tc>
          <w:tcPr>
            <w:tcW w:w="760" w:type="dxa"/>
            <w:vAlign w:val="bottom"/>
            <w:gridSpan w:val="20"/>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8-K</w:t>
            </w:r>
          </w:p>
        </w:tc>
        <w:tc>
          <w:tcPr>
            <w:tcW w:w="1660" w:type="dxa"/>
            <w:vAlign w:val="bottom"/>
          </w:tcPr>
          <w:p>
            <w:pPr>
              <w:jc w:val="right"/>
              <w:ind w:right="530"/>
              <w:spacing w:after="0"/>
              <w:rPr>
                <w:sz w:val="20"/>
                <w:szCs w:val="20"/>
                <w:color w:val="auto"/>
              </w:rPr>
            </w:pPr>
            <w:r>
              <w:rPr>
                <w:rFonts w:ascii="Arial" w:cs="Arial" w:eastAsia="Arial" w:hAnsi="Arial"/>
                <w:sz w:val="18"/>
                <w:szCs w:val="18"/>
                <w:color w:val="auto"/>
              </w:rPr>
              <w:t>001-37900</w:t>
            </w:r>
          </w:p>
        </w:tc>
        <w:tc>
          <w:tcPr>
            <w:tcW w:w="940" w:type="dxa"/>
            <w:vAlign w:val="bottom"/>
          </w:tcPr>
          <w:p>
            <w:pPr>
              <w:jc w:val="center"/>
              <w:ind w:right="250"/>
              <w:spacing w:after="0"/>
              <w:rPr>
                <w:sz w:val="20"/>
                <w:szCs w:val="20"/>
                <w:color w:val="auto"/>
              </w:rPr>
            </w:pPr>
            <w:r>
              <w:rPr>
                <w:rFonts w:ascii="Arial" w:cs="Arial" w:eastAsia="Arial" w:hAnsi="Arial"/>
                <w:sz w:val="18"/>
                <w:szCs w:val="18"/>
                <w:color w:val="auto"/>
                <w:w w:val="91"/>
              </w:rPr>
              <w:t>10.3</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3/02/2022</w:t>
            </w:r>
          </w:p>
        </w:tc>
      </w:tr>
      <w:tr>
        <w:trPr>
          <w:trHeight w:val="196"/>
        </w:trPr>
        <w:tc>
          <w:tcPr>
            <w:tcW w:w="1040" w:type="dxa"/>
            <w:vAlign w:val="bottom"/>
          </w:tcPr>
          <w:p>
            <w:pPr>
              <w:spacing w:after="0"/>
              <w:rPr>
                <w:sz w:val="17"/>
                <w:szCs w:val="17"/>
                <w:color w:val="auto"/>
              </w:rPr>
            </w:pPr>
          </w:p>
        </w:tc>
        <w:tc>
          <w:tcPr>
            <w:tcW w:w="3000" w:type="dxa"/>
            <w:vAlign w:val="bottom"/>
            <w:gridSpan w:val="29"/>
          </w:tcPr>
          <w:p>
            <w:pPr>
              <w:spacing w:after="0" w:line="196" w:lineRule="exact"/>
              <w:rPr>
                <w:rFonts w:ascii="Arial" w:cs="Arial" w:eastAsia="Arial" w:hAnsi="Arial"/>
                <w:sz w:val="18"/>
                <w:szCs w:val="18"/>
                <w:color w:val="0000EE"/>
                <w:w w:val="94"/>
              </w:rPr>
            </w:pPr>
            <w:hyperlink r:id="rId136">
              <w:r>
                <w:rPr>
                  <w:rFonts w:ascii="Arial" w:cs="Arial" w:eastAsia="Arial" w:hAnsi="Arial"/>
                  <w:sz w:val="18"/>
                  <w:szCs w:val="18"/>
                  <w:color w:val="0000EE"/>
                  <w:w w:val="94"/>
                </w:rPr>
                <w:t>Employment Agreement, effective as of</w:t>
              </w:r>
            </w:hyperlink>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March 14, 2022, by and between the</w:t>
              </w:r>
            </w:hyperlink>
          </w:p>
        </w:tc>
        <w:tc>
          <w:tcPr>
            <w:tcW w:w="220" w:type="dxa"/>
            <w:vAlign w:val="bottom"/>
            <w:tcBorders>
              <w:top w:val="single" w:sz="8" w:color="0000EE"/>
            </w:tcBorders>
            <w:gridSpan w:val="9"/>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registrant and Anuj Aggarwal.</w:t>
              </w:r>
            </w:hyperlink>
          </w:p>
        </w:tc>
        <w:tc>
          <w:tcPr>
            <w:tcW w:w="800" w:type="dxa"/>
            <w:vAlign w:val="bottom"/>
            <w:gridSpan w:val="22"/>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10.23†</w:t>
            </w:r>
          </w:p>
        </w:tc>
        <w:tc>
          <w:tcPr>
            <w:tcW w:w="2600" w:type="dxa"/>
            <w:vAlign w:val="bottom"/>
            <w:tcBorders>
              <w:bottom w:val="single" w:sz="8" w:color="0000EE"/>
            </w:tcBorders>
            <w:gridSpan w:val="16"/>
          </w:tcPr>
          <w:p>
            <w:pPr>
              <w:spacing w:after="0"/>
              <w:rPr>
                <w:rFonts w:ascii="Arial" w:cs="Arial" w:eastAsia="Arial" w:hAnsi="Arial"/>
                <w:sz w:val="18"/>
                <w:szCs w:val="18"/>
                <w:color w:val="0000EE"/>
                <w:w w:val="88"/>
              </w:rPr>
            </w:pPr>
            <w:hyperlink r:id="rId137">
              <w:r>
                <w:rPr>
                  <w:rFonts w:ascii="Arial" w:cs="Arial" w:eastAsia="Arial" w:hAnsi="Arial"/>
                  <w:sz w:val="18"/>
                  <w:szCs w:val="18"/>
                  <w:color w:val="0000EE"/>
                  <w:w w:val="88"/>
                </w:rPr>
                <w:t>Executive Severance and Change in</w:t>
              </w:r>
            </w:hyperlink>
          </w:p>
        </w:tc>
        <w:tc>
          <w:tcPr>
            <w:tcW w:w="400" w:type="dxa"/>
            <w:vAlign w:val="bottom"/>
            <w:gridSpan w:val="13"/>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8-K</w:t>
            </w:r>
          </w:p>
        </w:tc>
        <w:tc>
          <w:tcPr>
            <w:tcW w:w="1660" w:type="dxa"/>
            <w:vAlign w:val="bottom"/>
          </w:tcPr>
          <w:p>
            <w:pPr>
              <w:jc w:val="right"/>
              <w:ind w:right="530"/>
              <w:spacing w:after="0"/>
              <w:rPr>
                <w:sz w:val="20"/>
                <w:szCs w:val="20"/>
                <w:color w:val="auto"/>
              </w:rPr>
            </w:pPr>
            <w:r>
              <w:rPr>
                <w:rFonts w:ascii="Arial" w:cs="Arial" w:eastAsia="Arial" w:hAnsi="Arial"/>
                <w:sz w:val="18"/>
                <w:szCs w:val="18"/>
                <w:color w:val="auto"/>
              </w:rPr>
              <w:t>001-37900</w:t>
            </w:r>
          </w:p>
        </w:tc>
        <w:tc>
          <w:tcPr>
            <w:tcW w:w="940" w:type="dxa"/>
            <w:vAlign w:val="bottom"/>
          </w:tcPr>
          <w:p>
            <w:pPr>
              <w:jc w:val="center"/>
              <w:ind w:right="250"/>
              <w:spacing w:after="0"/>
              <w:rPr>
                <w:sz w:val="20"/>
                <w:szCs w:val="20"/>
                <w:color w:val="auto"/>
              </w:rPr>
            </w:pPr>
            <w:r>
              <w:rPr>
                <w:rFonts w:ascii="Arial" w:cs="Arial" w:eastAsia="Arial" w:hAnsi="Arial"/>
                <w:sz w:val="18"/>
                <w:szCs w:val="18"/>
                <w:color w:val="auto"/>
                <w:w w:val="91"/>
              </w:rPr>
              <w:t>10.4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3/02/2022</w:t>
            </w:r>
          </w:p>
        </w:tc>
      </w:tr>
      <w:tr>
        <w:trPr>
          <w:trHeight w:val="196"/>
        </w:trPr>
        <w:tc>
          <w:tcPr>
            <w:tcW w:w="1040" w:type="dxa"/>
            <w:vAlign w:val="bottom"/>
          </w:tcPr>
          <w:p>
            <w:pPr>
              <w:spacing w:after="0"/>
              <w:rPr>
                <w:sz w:val="17"/>
                <w:szCs w:val="17"/>
                <w:color w:val="auto"/>
              </w:rPr>
            </w:pPr>
          </w:p>
        </w:tc>
        <w:tc>
          <w:tcPr>
            <w:tcW w:w="3000" w:type="dxa"/>
            <w:vAlign w:val="bottom"/>
            <w:gridSpan w:val="29"/>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Control Plan.</w:t>
              </w:r>
            </w:hyperlink>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10.24†</w:t>
            </w:r>
          </w:p>
        </w:tc>
        <w:tc>
          <w:tcPr>
            <w:tcW w:w="3000" w:type="dxa"/>
            <w:vAlign w:val="bottom"/>
            <w:gridSpan w:val="29"/>
          </w:tcPr>
          <w:p>
            <w:pPr>
              <w:spacing w:after="0"/>
              <w:rPr>
                <w:rFonts w:ascii="Arial" w:cs="Arial" w:eastAsia="Arial" w:hAnsi="Arial"/>
                <w:sz w:val="18"/>
                <w:szCs w:val="18"/>
                <w:color w:val="0000EE"/>
              </w:rPr>
            </w:pPr>
            <w:hyperlink r:id="rId138">
              <w:r>
                <w:rPr>
                  <w:rFonts w:ascii="Arial" w:cs="Arial" w:eastAsia="Arial" w:hAnsi="Arial"/>
                  <w:sz w:val="18"/>
                  <w:szCs w:val="18"/>
                  <w:color w:val="0000EE"/>
                </w:rPr>
                <w:t>Restricted Stock Unit Grants to</w:t>
              </w:r>
            </w:hyperlink>
          </w:p>
        </w:tc>
        <w:tc>
          <w:tcPr>
            <w:tcW w:w="820" w:type="dxa"/>
            <w:vAlign w:val="bottom"/>
          </w:tcPr>
          <w:p>
            <w:pPr>
              <w:ind w:left="160"/>
              <w:spacing w:after="0"/>
              <w:rPr>
                <w:sz w:val="20"/>
                <w:szCs w:val="20"/>
                <w:color w:val="auto"/>
              </w:rPr>
            </w:pPr>
            <w:r>
              <w:rPr>
                <w:rFonts w:ascii="Arial" w:cs="Arial" w:eastAsia="Arial" w:hAnsi="Arial"/>
                <w:sz w:val="18"/>
                <w:szCs w:val="18"/>
                <w:color w:val="auto"/>
              </w:rPr>
              <w:t>8-K</w:t>
            </w:r>
          </w:p>
        </w:tc>
        <w:tc>
          <w:tcPr>
            <w:tcW w:w="1660" w:type="dxa"/>
            <w:vAlign w:val="bottom"/>
          </w:tcPr>
          <w:p>
            <w:pPr>
              <w:jc w:val="right"/>
              <w:ind w:right="530"/>
              <w:spacing w:after="0"/>
              <w:rPr>
                <w:sz w:val="20"/>
                <w:szCs w:val="20"/>
                <w:color w:val="auto"/>
              </w:rPr>
            </w:pPr>
            <w:r>
              <w:rPr>
                <w:rFonts w:ascii="Arial" w:cs="Arial" w:eastAsia="Arial" w:hAnsi="Arial"/>
                <w:sz w:val="18"/>
                <w:szCs w:val="18"/>
                <w:color w:val="auto"/>
              </w:rPr>
              <w:t>001-37900</w:t>
            </w:r>
          </w:p>
        </w:tc>
        <w:tc>
          <w:tcPr>
            <w:tcW w:w="940" w:type="dxa"/>
            <w:vAlign w:val="bottom"/>
          </w:tcPr>
          <w:p>
            <w:pPr>
              <w:ind w:left="140"/>
              <w:spacing w:after="0"/>
              <w:rPr>
                <w:sz w:val="20"/>
                <w:szCs w:val="20"/>
                <w:color w:val="auto"/>
              </w:rPr>
            </w:pPr>
            <w:r>
              <w:rPr>
                <w:rFonts w:ascii="Arial" w:cs="Arial" w:eastAsia="Arial" w:hAnsi="Arial"/>
                <w:sz w:val="18"/>
                <w:szCs w:val="18"/>
                <w:color w:val="auto"/>
              </w:rPr>
              <w:t>Item</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5/12/2022</w:t>
            </w:r>
          </w:p>
        </w:tc>
      </w:tr>
      <w:tr>
        <w:trPr>
          <w:trHeight w:val="20"/>
        </w:trPr>
        <w:tc>
          <w:tcPr>
            <w:tcW w:w="104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6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Executive Chairman, CEO and CFO</w:t>
              </w:r>
            </w:hyperlink>
          </w:p>
        </w:tc>
        <w:tc>
          <w:tcPr>
            <w:tcW w:w="36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jc w:val="center"/>
              <w:ind w:right="250"/>
              <w:spacing w:after="0" w:line="196" w:lineRule="exact"/>
              <w:rPr>
                <w:sz w:val="20"/>
                <w:szCs w:val="20"/>
                <w:color w:val="auto"/>
              </w:rPr>
            </w:pPr>
            <w:r>
              <w:rPr>
                <w:rFonts w:ascii="Arial" w:cs="Arial" w:eastAsia="Arial" w:hAnsi="Arial"/>
                <w:sz w:val="18"/>
                <w:szCs w:val="18"/>
                <w:color w:val="auto"/>
                <w:w w:val="91"/>
              </w:rPr>
              <w:t>5.02</w:t>
            </w:r>
          </w:p>
        </w:tc>
        <w:tc>
          <w:tcPr>
            <w:tcW w:w="110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3000" w:type="dxa"/>
            <w:vAlign w:val="bottom"/>
            <w:gridSpan w:val="29"/>
          </w:tcPr>
          <w:p>
            <w:pPr>
              <w:spacing w:after="0"/>
              <w:rPr>
                <w:sz w:val="20"/>
                <w:szCs w:val="20"/>
                <w:color w:val="auto"/>
              </w:rPr>
            </w:pPr>
            <w:r>
              <w:rPr>
                <w:rFonts w:ascii="Arial" w:cs="Arial" w:eastAsia="Arial" w:hAnsi="Arial"/>
                <w:sz w:val="18"/>
                <w:szCs w:val="18"/>
                <w:color w:val="0000EE"/>
              </w:rPr>
              <w:t>Consent of Ernst &amp; Young LLP,</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Independent Registered Public</w:t>
            </w:r>
          </w:p>
        </w:tc>
        <w:tc>
          <w:tcPr>
            <w:tcW w:w="80" w:type="dxa"/>
            <w:vAlign w:val="bottom"/>
            <w:tcBorders>
              <w:top w:val="single" w:sz="8" w:color="0000EE"/>
            </w:tcBorders>
            <w:gridSpan w:val="3"/>
          </w:tcPr>
          <w:p>
            <w:pPr>
              <w:spacing w:after="0"/>
              <w:rPr>
                <w:sz w:val="17"/>
                <w:szCs w:val="17"/>
                <w:color w:val="auto"/>
              </w:rPr>
            </w:pPr>
          </w:p>
        </w:tc>
        <w:tc>
          <w:tcPr>
            <w:tcW w:w="700" w:type="dxa"/>
            <w:vAlign w:val="bottom"/>
            <w:gridSpan w:val="18"/>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9"/>
          </w:tcPr>
          <w:p>
            <w:pPr>
              <w:spacing w:after="0" w:line="196" w:lineRule="exact"/>
              <w:rPr>
                <w:sz w:val="20"/>
                <w:szCs w:val="20"/>
                <w:color w:val="auto"/>
              </w:rPr>
            </w:pPr>
            <w:r>
              <w:rPr>
                <w:rFonts w:ascii="Arial" w:cs="Arial" w:eastAsia="Arial" w:hAnsi="Arial"/>
                <w:sz w:val="18"/>
                <w:szCs w:val="18"/>
                <w:color w:val="0000EE"/>
              </w:rPr>
              <w:t>Accounting Firm.</w:t>
            </w: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3000" w:type="dxa"/>
            <w:vAlign w:val="bottom"/>
            <w:gridSpan w:val="29"/>
          </w:tcPr>
          <w:p>
            <w:pPr>
              <w:spacing w:after="0"/>
              <w:rPr>
                <w:sz w:val="20"/>
                <w:szCs w:val="20"/>
                <w:color w:val="auto"/>
              </w:rPr>
            </w:pPr>
            <w:r>
              <w:rPr>
                <w:rFonts w:ascii="Arial" w:cs="Arial" w:eastAsia="Arial" w:hAnsi="Arial"/>
                <w:sz w:val="18"/>
                <w:szCs w:val="18"/>
                <w:color w:val="0000EE"/>
              </w:rPr>
              <w:t>Power of Attorney (included on the</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420" w:type="dxa"/>
            <w:vAlign w:val="bottom"/>
            <w:gridSpan w:val="10"/>
            <w:shd w:val="clear" w:color="auto" w:fill="0000EE"/>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000" w:type="dxa"/>
            <w:vAlign w:val="bottom"/>
            <w:gridSpan w:val="29"/>
          </w:tcPr>
          <w:p>
            <w:pPr>
              <w:spacing w:after="0" w:line="196" w:lineRule="exact"/>
              <w:rPr>
                <w:sz w:val="20"/>
                <w:szCs w:val="20"/>
                <w:color w:val="auto"/>
              </w:rPr>
            </w:pPr>
            <w:r>
              <w:rPr>
                <w:rFonts w:ascii="Arial" w:cs="Arial" w:eastAsia="Arial" w:hAnsi="Arial"/>
                <w:sz w:val="18"/>
                <w:szCs w:val="18"/>
                <w:color w:val="0000EE"/>
                <w:w w:val="97"/>
              </w:rPr>
              <w:t>Signatures page of this Annual Report</w:t>
            </w: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6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on Form 10-K).</w:t>
            </w:r>
          </w:p>
        </w:tc>
        <w:tc>
          <w:tcPr>
            <w:tcW w:w="24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25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Certification of Principal Executive</w:t>
            </w:r>
          </w:p>
        </w:tc>
        <w:tc>
          <w:tcPr>
            <w:tcW w:w="32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8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Officer Pursuant to Rules 13a-14(a) and</w:t>
            </w:r>
          </w:p>
        </w:tc>
      </w:tr>
      <w:tr>
        <w:trPr>
          <w:trHeight w:val="196"/>
        </w:trPr>
        <w:tc>
          <w:tcPr>
            <w:tcW w:w="1160" w:type="dxa"/>
            <w:vAlign w:val="bottom"/>
          </w:tcPr>
          <w:p>
            <w:pPr>
              <w:spacing w:after="0"/>
              <w:rPr>
                <w:sz w:val="17"/>
                <w:szCs w:val="17"/>
                <w:color w:val="auto"/>
              </w:rPr>
            </w:pPr>
          </w:p>
        </w:tc>
        <w:tc>
          <w:tcPr>
            <w:tcW w:w="2880" w:type="dxa"/>
            <w:vAlign w:val="bottom"/>
            <w:gridSpan w:val="9"/>
          </w:tcPr>
          <w:p>
            <w:pPr>
              <w:spacing w:after="0" w:line="196" w:lineRule="exact"/>
              <w:rPr>
                <w:sz w:val="20"/>
                <w:szCs w:val="20"/>
                <w:color w:val="auto"/>
              </w:rPr>
            </w:pPr>
            <w:r>
              <w:rPr>
                <w:rFonts w:ascii="Arial" w:cs="Arial" w:eastAsia="Arial" w:hAnsi="Arial"/>
                <w:sz w:val="18"/>
                <w:szCs w:val="18"/>
                <w:color w:val="0000EE"/>
              </w:rPr>
              <w:t>15d-14(a) under the Securities</w:t>
            </w:r>
          </w:p>
        </w:tc>
      </w:tr>
      <w:tr>
        <w:trPr>
          <w:trHeight w:val="20"/>
        </w:trPr>
        <w:tc>
          <w:tcPr>
            <w:tcW w:w="11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880" w:type="dxa"/>
            <w:vAlign w:val="bottom"/>
            <w:gridSpan w:val="9"/>
          </w:tcPr>
          <w:p>
            <w:pPr>
              <w:spacing w:after="0" w:line="196" w:lineRule="exact"/>
              <w:rPr>
                <w:sz w:val="20"/>
                <w:szCs w:val="20"/>
                <w:color w:val="auto"/>
              </w:rPr>
            </w:pPr>
            <w:r>
              <w:rPr>
                <w:rFonts w:ascii="Arial" w:cs="Arial" w:eastAsia="Arial" w:hAnsi="Arial"/>
                <w:sz w:val="18"/>
                <w:szCs w:val="18"/>
                <w:color w:val="0000EE"/>
                <w:w w:val="98"/>
              </w:rPr>
              <w:t>Exchange Act of 1934, as amended.</w:t>
            </w: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25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3"/>
              </w:rPr>
              <w:t>Certification of Principal Financial</w:t>
            </w:r>
          </w:p>
        </w:tc>
        <w:tc>
          <w:tcPr>
            <w:tcW w:w="60" w:type="dxa"/>
            <w:vAlign w:val="bottom"/>
            <w:tcBorders>
              <w:top w:val="single" w:sz="8" w:color="0000EE"/>
            </w:tcBorders>
            <w:gridSpan w:val="2"/>
          </w:tcPr>
          <w:p>
            <w:pPr>
              <w:spacing w:after="0"/>
              <w:rPr>
                <w:sz w:val="24"/>
                <w:szCs w:val="24"/>
                <w:color w:val="auto"/>
              </w:rPr>
            </w:pPr>
          </w:p>
        </w:tc>
        <w:tc>
          <w:tcPr>
            <w:tcW w:w="30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8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Officer Pursuant to Rules 13a-14(a) and</w:t>
            </w:r>
          </w:p>
        </w:tc>
      </w:tr>
      <w:tr>
        <w:trPr>
          <w:trHeight w:val="196"/>
        </w:trPr>
        <w:tc>
          <w:tcPr>
            <w:tcW w:w="1160" w:type="dxa"/>
            <w:vAlign w:val="bottom"/>
          </w:tcPr>
          <w:p>
            <w:pPr>
              <w:spacing w:after="0"/>
              <w:rPr>
                <w:sz w:val="17"/>
                <w:szCs w:val="17"/>
                <w:color w:val="auto"/>
              </w:rPr>
            </w:pPr>
          </w:p>
        </w:tc>
        <w:tc>
          <w:tcPr>
            <w:tcW w:w="2880" w:type="dxa"/>
            <w:vAlign w:val="bottom"/>
            <w:gridSpan w:val="9"/>
          </w:tcPr>
          <w:p>
            <w:pPr>
              <w:spacing w:after="0" w:line="196" w:lineRule="exact"/>
              <w:rPr>
                <w:sz w:val="20"/>
                <w:szCs w:val="20"/>
                <w:color w:val="auto"/>
              </w:rPr>
            </w:pPr>
            <w:r>
              <w:rPr>
                <w:rFonts w:ascii="Arial" w:cs="Arial" w:eastAsia="Arial" w:hAnsi="Arial"/>
                <w:sz w:val="18"/>
                <w:szCs w:val="18"/>
                <w:color w:val="0000EE"/>
              </w:rPr>
              <w:t>15d-14(a) under the Securities</w:t>
            </w:r>
          </w:p>
        </w:tc>
      </w:tr>
      <w:tr>
        <w:trPr>
          <w:trHeight w:val="20"/>
        </w:trPr>
        <w:tc>
          <w:tcPr>
            <w:tcW w:w="11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880" w:type="dxa"/>
            <w:vAlign w:val="bottom"/>
            <w:gridSpan w:val="9"/>
          </w:tcPr>
          <w:p>
            <w:pPr>
              <w:spacing w:after="0" w:line="196" w:lineRule="exact"/>
              <w:rPr>
                <w:sz w:val="20"/>
                <w:szCs w:val="20"/>
                <w:color w:val="auto"/>
              </w:rPr>
            </w:pPr>
            <w:r>
              <w:rPr>
                <w:rFonts w:ascii="Arial" w:cs="Arial" w:eastAsia="Arial" w:hAnsi="Arial"/>
                <w:sz w:val="18"/>
                <w:szCs w:val="18"/>
                <w:color w:val="0000EE"/>
                <w:w w:val="98"/>
              </w:rPr>
              <w:t>Exchange Act of 1934, as amended.</w:t>
            </w: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25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3"/>
              </w:rPr>
              <w:t>Certification of Principal Executive</w:t>
            </w:r>
          </w:p>
        </w:tc>
        <w:tc>
          <w:tcPr>
            <w:tcW w:w="20" w:type="dxa"/>
            <w:vAlign w:val="bottom"/>
            <w:tcBorders>
              <w:top w:val="single" w:sz="8" w:color="0000EE"/>
            </w:tcBorders>
          </w:tcPr>
          <w:p>
            <w:pPr>
              <w:spacing w:after="0"/>
              <w:rPr>
                <w:sz w:val="24"/>
                <w:szCs w:val="24"/>
                <w:color w:val="auto"/>
              </w:rPr>
            </w:pPr>
          </w:p>
        </w:tc>
        <w:tc>
          <w:tcPr>
            <w:tcW w:w="30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880" w:type="dxa"/>
            <w:vAlign w:val="bottom"/>
            <w:gridSpan w:val="9"/>
          </w:tcPr>
          <w:p>
            <w:pPr>
              <w:spacing w:after="0" w:line="196" w:lineRule="exact"/>
              <w:rPr>
                <w:sz w:val="20"/>
                <w:szCs w:val="20"/>
                <w:color w:val="auto"/>
              </w:rPr>
            </w:pPr>
            <w:r>
              <w:rPr>
                <w:rFonts w:ascii="Arial" w:cs="Arial" w:eastAsia="Arial" w:hAnsi="Arial"/>
                <w:sz w:val="18"/>
                <w:szCs w:val="18"/>
                <w:color w:val="0000EE"/>
                <w:w w:val="96"/>
              </w:rPr>
              <w:t>Officer and Principal Financial Officer</w:t>
            </w:r>
          </w:p>
        </w:tc>
      </w:tr>
      <w:tr>
        <w:trPr>
          <w:trHeight w:val="20"/>
        </w:trPr>
        <w:tc>
          <w:tcPr>
            <w:tcW w:w="11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8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Pursuant to 18 U.S.C. Section 1350, as</w:t>
            </w:r>
          </w:p>
        </w:tc>
        <w:tc>
          <w:tcPr>
            <w:tcW w:w="8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8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Adopted Pursuant to Section 906 of the</w:t>
            </w:r>
          </w:p>
        </w:tc>
        <w:tc>
          <w:tcPr>
            <w:tcW w:w="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780" w:type="dxa"/>
            <w:vAlign w:val="bottom"/>
            <w:gridSpan w:val="8"/>
          </w:tcPr>
          <w:p>
            <w:pPr>
              <w:spacing w:after="0"/>
              <w:rPr>
                <w:sz w:val="17"/>
                <w:szCs w:val="17"/>
                <w:color w:val="auto"/>
              </w:rPr>
            </w:pPr>
          </w:p>
        </w:tc>
      </w:tr>
      <w:tr>
        <w:trPr>
          <w:trHeight w:val="438"/>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2880" w:type="dxa"/>
            <w:vAlign w:val="bottom"/>
            <w:gridSpan w:val="9"/>
          </w:tcPr>
          <w:p>
            <w:pPr>
              <w:spacing w:after="0"/>
              <w:rPr>
                <w:sz w:val="20"/>
                <w:szCs w:val="20"/>
                <w:color w:val="auto"/>
              </w:rPr>
            </w:pPr>
            <w:r>
              <w:rPr>
                <w:rFonts w:ascii="Arial" w:cs="Arial" w:eastAsia="Arial" w:hAnsi="Arial"/>
                <w:sz w:val="18"/>
                <w:szCs w:val="18"/>
                <w:color w:val="auto"/>
                <w:w w:val="95"/>
              </w:rPr>
              <w:t>Inline XBRL Instance Document – the</w:t>
            </w:r>
          </w:p>
        </w:tc>
      </w:tr>
      <w:tr>
        <w:trPr>
          <w:trHeight w:val="216"/>
        </w:trPr>
        <w:tc>
          <w:tcPr>
            <w:tcW w:w="1160" w:type="dxa"/>
            <w:vAlign w:val="bottom"/>
          </w:tcPr>
          <w:p>
            <w:pPr>
              <w:spacing w:after="0"/>
              <w:rPr>
                <w:sz w:val="18"/>
                <w:szCs w:val="18"/>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auto"/>
                <w:w w:val="93"/>
              </w:rPr>
              <w:t>instance document does not appear in</w:t>
            </w:r>
          </w:p>
        </w:tc>
      </w:tr>
      <w:tr>
        <w:trPr>
          <w:trHeight w:val="216"/>
        </w:trPr>
        <w:tc>
          <w:tcPr>
            <w:tcW w:w="1160" w:type="dxa"/>
            <w:vAlign w:val="bottom"/>
          </w:tcPr>
          <w:p>
            <w:pPr>
              <w:spacing w:after="0"/>
              <w:rPr>
                <w:sz w:val="18"/>
                <w:szCs w:val="18"/>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auto"/>
                <w:w w:val="99"/>
              </w:rPr>
              <w:t>the Interactive Data File because its</w:t>
            </w:r>
          </w:p>
        </w:tc>
      </w:tr>
      <w:tr>
        <w:trPr>
          <w:trHeight w:val="216"/>
        </w:trPr>
        <w:tc>
          <w:tcPr>
            <w:tcW w:w="1160" w:type="dxa"/>
            <w:vAlign w:val="bottom"/>
          </w:tcPr>
          <w:p>
            <w:pPr>
              <w:spacing w:after="0"/>
              <w:rPr>
                <w:sz w:val="18"/>
                <w:szCs w:val="18"/>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auto"/>
                <w:w w:val="99"/>
              </w:rPr>
              <w:t>XBRL tags are embedded within the</w:t>
            </w:r>
          </w:p>
        </w:tc>
      </w:tr>
      <w:tr>
        <w:trPr>
          <w:trHeight w:val="230"/>
        </w:trPr>
        <w:tc>
          <w:tcPr>
            <w:tcW w:w="1160" w:type="dxa"/>
            <w:vAlign w:val="bottom"/>
          </w:tcPr>
          <w:p>
            <w:pPr>
              <w:spacing w:after="0"/>
              <w:rPr>
                <w:sz w:val="20"/>
                <w:szCs w:val="20"/>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auto"/>
              </w:rPr>
              <w:t>Inline XBRL document.</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2880" w:type="dxa"/>
            <w:vAlign w:val="bottom"/>
            <w:gridSpan w:val="9"/>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1160" w:type="dxa"/>
            <w:vAlign w:val="bottom"/>
          </w:tcPr>
          <w:p>
            <w:pPr>
              <w:spacing w:after="0"/>
              <w:rPr>
                <w:sz w:val="20"/>
                <w:szCs w:val="20"/>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auto"/>
              </w:rPr>
              <w:t>Schema Document.</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2880" w:type="dxa"/>
            <w:vAlign w:val="bottom"/>
            <w:gridSpan w:val="9"/>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1160" w:type="dxa"/>
            <w:vAlign w:val="bottom"/>
          </w:tcPr>
          <w:p>
            <w:pPr>
              <w:spacing w:after="0"/>
              <w:rPr>
                <w:sz w:val="20"/>
                <w:szCs w:val="20"/>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auto"/>
              </w:rPr>
              <w:t>Calculation Linkbase Document.</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2880" w:type="dxa"/>
            <w:vAlign w:val="bottom"/>
            <w:gridSpan w:val="9"/>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1160" w:type="dxa"/>
            <w:vAlign w:val="bottom"/>
          </w:tcPr>
          <w:p>
            <w:pPr>
              <w:spacing w:after="0"/>
              <w:rPr>
                <w:sz w:val="20"/>
                <w:szCs w:val="20"/>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auto"/>
              </w:rPr>
              <w:t>Definition Linkbase Document.</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2880" w:type="dxa"/>
            <w:vAlign w:val="bottom"/>
            <w:gridSpan w:val="9"/>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1160" w:type="dxa"/>
            <w:vAlign w:val="bottom"/>
          </w:tcPr>
          <w:p>
            <w:pPr>
              <w:spacing w:after="0"/>
              <w:rPr>
                <w:sz w:val="20"/>
                <w:szCs w:val="20"/>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auto"/>
              </w:rPr>
              <w:t>Label Linkbase Document.</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2880" w:type="dxa"/>
            <w:vAlign w:val="bottom"/>
            <w:gridSpan w:val="9"/>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1160" w:type="dxa"/>
            <w:vAlign w:val="bottom"/>
          </w:tcPr>
          <w:p>
            <w:pPr>
              <w:spacing w:after="0"/>
              <w:rPr>
                <w:sz w:val="20"/>
                <w:szCs w:val="20"/>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auto"/>
              </w:rPr>
              <w:t>Presentation Linkbase Document.</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2880" w:type="dxa"/>
            <w:vAlign w:val="bottom"/>
            <w:gridSpan w:val="9"/>
          </w:tcPr>
          <w:p>
            <w:pPr>
              <w:spacing w:after="0"/>
              <w:rPr>
                <w:sz w:val="20"/>
                <w:szCs w:val="20"/>
                <w:color w:val="auto"/>
              </w:rPr>
            </w:pPr>
            <w:r>
              <w:rPr>
                <w:rFonts w:ascii="Arial" w:cs="Arial" w:eastAsia="Arial" w:hAnsi="Arial"/>
                <w:sz w:val="18"/>
                <w:szCs w:val="18"/>
                <w:color w:val="auto"/>
              </w:rPr>
              <w:t>Cover Page Interactive Data File</w:t>
            </w:r>
          </w:p>
        </w:tc>
      </w:tr>
      <w:tr>
        <w:trPr>
          <w:trHeight w:val="216"/>
        </w:trPr>
        <w:tc>
          <w:tcPr>
            <w:tcW w:w="1160" w:type="dxa"/>
            <w:vAlign w:val="bottom"/>
          </w:tcPr>
          <w:p>
            <w:pPr>
              <w:spacing w:after="0"/>
              <w:rPr>
                <w:sz w:val="18"/>
                <w:szCs w:val="18"/>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auto"/>
              </w:rPr>
              <w:t>(formatted as Inline XBRL and</w:t>
            </w:r>
          </w:p>
        </w:tc>
      </w:tr>
      <w:tr>
        <w:trPr>
          <w:trHeight w:val="230"/>
        </w:trPr>
        <w:tc>
          <w:tcPr>
            <w:tcW w:w="1160" w:type="dxa"/>
            <w:vAlign w:val="bottom"/>
          </w:tcPr>
          <w:p>
            <w:pPr>
              <w:spacing w:after="0"/>
              <w:rPr>
                <w:sz w:val="20"/>
                <w:szCs w:val="20"/>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auto"/>
              </w:rPr>
              <w:t>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171450</wp:posOffset>
            </wp:positionV>
            <wp:extent cx="14141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76" w:lineRule="exact"/>
        <w:rPr>
          <w:sz w:val="20"/>
          <w:szCs w:val="20"/>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80" w:right="79" w:hanging="330"/>
        <w:spacing w:after="0" w:line="257"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188" w:lineRule="exact"/>
        <w:rPr>
          <w:sz w:val="20"/>
          <w:szCs w:val="20"/>
          <w:color w:val="auto"/>
        </w:rPr>
      </w:pPr>
    </w:p>
    <w:p>
      <w:pPr>
        <w:ind w:left="380" w:hanging="330"/>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portions of this exhibit.</w:t>
      </w:r>
    </w:p>
    <w:p>
      <w:pPr>
        <w:spacing w:after="0" w:line="225" w:lineRule="exact"/>
        <w:rPr>
          <w:sz w:val="20"/>
          <w:szCs w:val="20"/>
          <w:color w:val="auto"/>
        </w:rPr>
      </w:pPr>
    </w:p>
    <w:p>
      <w:pPr>
        <w:ind w:left="380" w:right="179" w:hanging="330"/>
        <w:spacing w:after="0" w:line="277"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Portions of the exhibit, marked by brackets, have been omitted because the omitted information (i) is not material and (ii) would likely cause competitive harm if publicly disclosed.</w:t>
      </w:r>
    </w:p>
    <w:p>
      <w:pPr>
        <w:spacing w:after="0" w:line="170" w:lineRule="exact"/>
        <w:rPr>
          <w:sz w:val="20"/>
          <w:szCs w:val="20"/>
          <w:color w:val="auto"/>
        </w:rPr>
      </w:pPr>
    </w:p>
    <w:p>
      <w:pPr>
        <w:ind w:left="380" w:hanging="330"/>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19" w:hanging="10"/>
        <w:spacing w:after="0" w:line="277" w:lineRule="auto"/>
        <w:tabs>
          <w:tab w:leader="none" w:pos="3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filed, or incorporated into this Annual Report on Form 10-K by reference, the exhibits listed on the Exhibit Index immediately above.</w:t>
      </w:r>
    </w:p>
    <w:p>
      <w:pPr>
        <w:spacing w:after="0" w:line="170" w:lineRule="exact"/>
        <w:rPr>
          <w:rFonts w:ascii="Arial" w:cs="Arial" w:eastAsia="Arial" w:hAnsi="Arial"/>
          <w:sz w:val="18"/>
          <w:szCs w:val="18"/>
          <w:color w:val="auto"/>
        </w:rPr>
      </w:pPr>
    </w:p>
    <w:p>
      <w:pPr>
        <w:ind w:left="940" w:hanging="242"/>
        <w:spacing w:after="0"/>
        <w:tabs>
          <w:tab w:leader="none" w:pos="9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See Item 15(a)2 above.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60" w:right="759" w:firstLine="401"/>
        <w:spacing w:after="0" w:line="263"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in Chandler, Arizona, on March 2, 2023.</w:t>
      </w:r>
    </w:p>
    <w:p>
      <w:pPr>
        <w:spacing w:after="0" w:line="18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Everspin Technologies, Inc.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6149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3">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Sanjeev Aggarwal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4"/>
          <w:szCs w:val="14"/>
          <w:color w:val="auto"/>
        </w:rPr>
        <w:t>)</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6149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4">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Anuj Aggarwal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01"/>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Sanjeev Aggarwal and Anuj Aggarwal, and each of them, as his true and lawful attorneys-in-fact and agents, each with the full power of substitution, for him and in his name, place or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or his substitute or substitutes, may lawfully do or cause to be done by virtue hereof.</w:t>
      </w:r>
    </w:p>
    <w:p>
      <w:pPr>
        <w:spacing w:after="0" w:line="181" w:lineRule="exact"/>
        <w:rPr>
          <w:sz w:val="20"/>
          <w:szCs w:val="20"/>
          <w:color w:val="auto"/>
        </w:rPr>
      </w:pPr>
    </w:p>
    <w:p>
      <w:pPr>
        <w:ind w:left="60" w:right="139" w:firstLine="40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4"/>
                <w:szCs w:val="14"/>
                <w:color w:val="auto"/>
              </w:rPr>
            </w:pPr>
          </w:p>
        </w:tc>
        <w:tc>
          <w:tcPr>
            <w:tcW w:w="464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5"/>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Sanjeev Aggarwal</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0"/>
              </w:rPr>
              <w:t>Sanjeev Aggarwal</w:t>
            </w:r>
          </w:p>
        </w:tc>
        <w:tc>
          <w:tcPr>
            <w:tcW w:w="2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Anuj Aggarwal</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6"/>
              </w:rPr>
              <w:t>Anuj Aggarwal</w:t>
            </w:r>
          </w:p>
        </w:tc>
        <w:tc>
          <w:tcPr>
            <w:tcW w:w="2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Darin G. Billerbeck</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4"/>
              </w:rPr>
              <w:t>Darin G. Billerbeck</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Lawrence G. Finch</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1"/>
              </w:rPr>
              <w:t>Lawrence G. Finch</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Geoff Ribar</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3"/>
              </w:rPr>
              <w:t>Geoff Ribar</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Tara Long</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0"/>
              </w:rPr>
              <w:t>Tara Long</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Glen Hawk</w:t>
            </w:r>
          </w:p>
        </w:tc>
        <w:tc>
          <w:tcPr>
            <w:tcW w:w="2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3"/>
              </w:rPr>
              <w:t>Glen Hawk</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20"/>
          <w:szCs w:val="20"/>
          <w:b w:val="1"/>
          <w:bCs w:val="1"/>
          <w:color w:val="auto"/>
        </w:rPr>
        <w:t>Exhibit 10.7.10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10 TO LEASE</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AMENDMENT NO. 10 TO LEASE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Amendment No. 10</w:t>
      </w:r>
      <w:r>
        <w:rPr>
          <w:rFonts w:ascii="Arial" w:cs="Arial" w:eastAsia="Arial" w:hAnsi="Arial"/>
          <w:sz w:val="20"/>
          <w:szCs w:val="20"/>
          <w:color w:val="auto"/>
        </w:rPr>
        <w:t>”), effective as of the date of the last party’s signature, (“</w:t>
      </w:r>
      <w:r>
        <w:rPr>
          <w:rFonts w:ascii="Arial" w:cs="Arial" w:eastAsia="Arial" w:hAnsi="Arial"/>
          <w:sz w:val="20"/>
          <w:szCs w:val="20"/>
          <w:b w:val="1"/>
          <w:bCs w:val="1"/>
          <w:i w:val="1"/>
          <w:iCs w:val="1"/>
          <w:color w:val="auto"/>
        </w:rPr>
        <w:t>Amendment No. 10 Effective Date</w:t>
      </w:r>
      <w:r>
        <w:rPr>
          <w:rFonts w:ascii="Arial" w:cs="Arial" w:eastAsia="Arial" w:hAnsi="Arial"/>
          <w:sz w:val="20"/>
          <w:szCs w:val="20"/>
          <w:color w:val="auto"/>
        </w:rPr>
        <w:t xml:space="preserve">”) is entered into by and between </w:t>
      </w:r>
      <w:r>
        <w:rPr>
          <w:rFonts w:ascii="Arial" w:cs="Arial" w:eastAsia="Arial" w:hAnsi="Arial"/>
          <w:sz w:val="20"/>
          <w:szCs w:val="20"/>
          <w:b w:val="1"/>
          <w:bCs w:val="1"/>
          <w:color w:val="auto"/>
        </w:rPr>
        <w:t>NXP USA, Inc.</w:t>
      </w:r>
      <w:r>
        <w:rPr>
          <w:rFonts w:ascii="Arial" w:cs="Arial" w:eastAsia="Arial" w:hAnsi="Arial"/>
          <w:sz w:val="20"/>
          <w:szCs w:val="20"/>
          <w:color w:val="auto"/>
        </w:rPr>
        <w:t xml:space="preserve"> (formerly FREESCALE SEMICONDUCTOR, INC.), a Delaware corporation and 100% affiliated company of NXP Semiconductors N.V. (“</w:t>
      </w:r>
      <w:r>
        <w:rPr>
          <w:rFonts w:ascii="Arial" w:cs="Arial" w:eastAsia="Arial" w:hAnsi="Arial"/>
          <w:sz w:val="20"/>
          <w:szCs w:val="20"/>
          <w:b w:val="1"/>
          <w:bCs w:val="1"/>
          <w:i w:val="1"/>
          <w:iCs w:val="1"/>
          <w:color w:val="auto"/>
        </w:rPr>
        <w:t>Landlord</w:t>
      </w:r>
      <w:r>
        <w:rPr>
          <w:rFonts w:ascii="Arial" w:cs="Arial" w:eastAsia="Arial" w:hAnsi="Arial"/>
          <w:sz w:val="20"/>
          <w:szCs w:val="20"/>
          <w:i w:val="1"/>
          <w:i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color w:val="auto"/>
        </w:rPr>
        <w:t>EVERSPIN TECHNOLOGIES, INC.</w:t>
      </w:r>
      <w:r>
        <w:rPr>
          <w:rFonts w:ascii="Arial" w:cs="Arial" w:eastAsia="Arial" w:hAnsi="Arial"/>
          <w:sz w:val="20"/>
          <w:szCs w:val="20"/>
          <w:color w:val="auto"/>
        </w:rPr>
        <w:t>, a Delaware corporation (“</w:t>
      </w:r>
      <w:r>
        <w:rPr>
          <w:rFonts w:ascii="Arial" w:cs="Arial" w:eastAsia="Arial" w:hAnsi="Arial"/>
          <w:sz w:val="20"/>
          <w:szCs w:val="20"/>
          <w:b w:val="1"/>
          <w:bCs w:val="1"/>
          <w:i w:val="1"/>
          <w:iCs w:val="1"/>
          <w:color w:val="auto"/>
        </w:rPr>
        <w:t>Tenant</w:t>
      </w:r>
      <w:r>
        <w:rPr>
          <w:rFonts w:ascii="Arial" w:cs="Arial" w:eastAsia="Arial" w:hAnsi="Arial"/>
          <w:sz w:val="20"/>
          <w:szCs w:val="20"/>
          <w:color w:val="auto"/>
        </w:rPr>
        <w:t>”), with reference to the following facts:</w:t>
      </w:r>
    </w:p>
    <w:p>
      <w:pPr>
        <w:spacing w:after="0" w:line="218" w:lineRule="exact"/>
        <w:rPr>
          <w:sz w:val="20"/>
          <w:szCs w:val="20"/>
          <w:color w:val="auto"/>
        </w:rPr>
      </w:pPr>
    </w:p>
    <w:p>
      <w:pPr>
        <w:jc w:val="both"/>
        <w:ind w:firstLine="656"/>
        <w:spacing w:after="0" w:line="271" w:lineRule="auto"/>
        <w:tabs>
          <w:tab w:leader="none" w:pos="1296"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Landlord and Tenant are parties to that certain Lease dated as of June 5, 2008 (“</w:t>
      </w:r>
      <w:r>
        <w:rPr>
          <w:rFonts w:ascii="Arial" w:cs="Arial" w:eastAsia="Arial" w:hAnsi="Arial"/>
          <w:sz w:val="18"/>
          <w:szCs w:val="18"/>
          <w:b w:val="1"/>
          <w:bCs w:val="1"/>
          <w:i w:val="1"/>
          <w:iCs w:val="1"/>
          <w:color w:val="auto"/>
        </w:rPr>
        <w:t>Original Lease</w:t>
      </w:r>
      <w:r>
        <w:rPr>
          <w:rFonts w:ascii="Arial" w:cs="Arial" w:eastAsia="Arial" w:hAnsi="Arial"/>
          <w:sz w:val="18"/>
          <w:szCs w:val="18"/>
          <w:color w:val="auto"/>
        </w:rPr>
        <w:t>”), as amended by Amendment No. 1 to Lease executed by Tenant on February 2, 2009 (“</w:t>
      </w:r>
      <w:r>
        <w:rPr>
          <w:rFonts w:ascii="Arial" w:cs="Arial" w:eastAsia="Arial" w:hAnsi="Arial"/>
          <w:sz w:val="18"/>
          <w:szCs w:val="18"/>
          <w:b w:val="1"/>
          <w:bCs w:val="1"/>
          <w:i w:val="1"/>
          <w:iCs w:val="1"/>
          <w:color w:val="auto"/>
        </w:rPr>
        <w:t>Amendment No. 1</w:t>
      </w:r>
      <w:r>
        <w:rPr>
          <w:rFonts w:ascii="Arial" w:cs="Arial" w:eastAsia="Arial" w:hAnsi="Arial"/>
          <w:sz w:val="18"/>
          <w:szCs w:val="18"/>
          <w:color w:val="auto"/>
        </w:rPr>
        <w:t>”), Amendment No. 2 to Lease dated March 1, 2010 (“</w:t>
      </w:r>
      <w:r>
        <w:rPr>
          <w:rFonts w:ascii="Arial" w:cs="Arial" w:eastAsia="Arial" w:hAnsi="Arial"/>
          <w:sz w:val="18"/>
          <w:szCs w:val="18"/>
          <w:b w:val="1"/>
          <w:bCs w:val="1"/>
          <w:i w:val="1"/>
          <w:iCs w:val="1"/>
          <w:color w:val="auto"/>
        </w:rPr>
        <w:t>Amendment No. 2</w:t>
      </w:r>
      <w:r>
        <w:rPr>
          <w:rFonts w:ascii="Arial" w:cs="Arial" w:eastAsia="Arial" w:hAnsi="Arial"/>
          <w:sz w:val="18"/>
          <w:szCs w:val="18"/>
          <w:color w:val="auto"/>
        </w:rPr>
        <w:t>”), Amendment No. 3 to Lease dated July 20, 2011 (“</w:t>
      </w:r>
      <w:r>
        <w:rPr>
          <w:rFonts w:ascii="Arial" w:cs="Arial" w:eastAsia="Arial" w:hAnsi="Arial"/>
          <w:sz w:val="18"/>
          <w:szCs w:val="18"/>
          <w:b w:val="1"/>
          <w:bCs w:val="1"/>
          <w:i w:val="1"/>
          <w:iCs w:val="1"/>
          <w:color w:val="auto"/>
        </w:rPr>
        <w:t>Amendment No.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3</w:t>
      </w:r>
      <w:r>
        <w:rPr>
          <w:rFonts w:ascii="Arial" w:cs="Arial" w:eastAsia="Arial" w:hAnsi="Arial"/>
          <w:sz w:val="18"/>
          <w:szCs w:val="18"/>
          <w:color w:val="auto"/>
        </w:rPr>
        <w:t>”), Amendment No. 4 to Lease dated June 10, 2014</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Amendment No. 4</w:t>
      </w:r>
      <w:r>
        <w:rPr>
          <w:rFonts w:ascii="Arial" w:cs="Arial" w:eastAsia="Arial" w:hAnsi="Arial"/>
          <w:sz w:val="18"/>
          <w:szCs w:val="18"/>
          <w:b w:val="1"/>
          <w:bCs w:val="1"/>
          <w:color w:val="auto"/>
        </w:rPr>
        <w:t>”)</w:t>
      </w:r>
      <w:r>
        <w:rPr>
          <w:rFonts w:ascii="Arial" w:cs="Arial" w:eastAsia="Arial" w:hAnsi="Arial"/>
          <w:sz w:val="18"/>
          <w:szCs w:val="18"/>
          <w:color w:val="auto"/>
        </w:rPr>
        <w:t>, Amendment No. 5 dated January 13, 2017</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Amendment No. 5</w:t>
      </w:r>
      <w:r>
        <w:rPr>
          <w:rFonts w:ascii="Arial" w:cs="Arial" w:eastAsia="Arial" w:hAnsi="Arial"/>
          <w:sz w:val="18"/>
          <w:szCs w:val="18"/>
          <w:b w:val="1"/>
          <w:bCs w:val="1"/>
          <w:color w:val="auto"/>
        </w:rPr>
        <w:t>”)</w:t>
      </w:r>
      <w:r>
        <w:rPr>
          <w:rFonts w:ascii="Arial" w:cs="Arial" w:eastAsia="Arial" w:hAnsi="Arial"/>
          <w:sz w:val="18"/>
          <w:szCs w:val="18"/>
          <w:color w:val="auto"/>
        </w:rPr>
        <w:t>, Amendment No. 6 dated October 31, 2017</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Amendment No. 6</w:t>
      </w:r>
      <w:r>
        <w:rPr>
          <w:rFonts w:ascii="Arial" w:cs="Arial" w:eastAsia="Arial" w:hAnsi="Arial"/>
          <w:sz w:val="18"/>
          <w:szCs w:val="18"/>
          <w:b w:val="1"/>
          <w:bCs w:val="1"/>
          <w:color w:val="auto"/>
        </w:rPr>
        <w:t>”)</w:t>
      </w:r>
      <w:r>
        <w:rPr>
          <w:rFonts w:ascii="Arial" w:cs="Arial" w:eastAsia="Arial" w:hAnsi="Arial"/>
          <w:sz w:val="18"/>
          <w:szCs w:val="18"/>
          <w:color w:val="auto"/>
        </w:rPr>
        <w:t>, Amendment No. 7 dated August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2, 2018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Amendment No. 7</w:t>
      </w:r>
      <w:r>
        <w:rPr>
          <w:rFonts w:ascii="Arial" w:cs="Arial" w:eastAsia="Arial" w:hAnsi="Arial"/>
          <w:sz w:val="18"/>
          <w:szCs w:val="18"/>
          <w:b w:val="1"/>
          <w:bCs w:val="1"/>
          <w:color w:val="auto"/>
        </w:rPr>
        <w:t>”),</w:t>
      </w:r>
      <w:r>
        <w:rPr>
          <w:rFonts w:ascii="Arial" w:cs="Arial" w:eastAsia="Arial" w:hAnsi="Arial"/>
          <w:sz w:val="18"/>
          <w:szCs w:val="18"/>
          <w:color w:val="auto"/>
        </w:rPr>
        <w:t xml:space="preserve"> Amendment No. 8 dated November 30, 2019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Amendment No. 8</w:t>
      </w:r>
      <w:r>
        <w:rPr>
          <w:rFonts w:ascii="Arial" w:cs="Arial" w:eastAsia="Arial" w:hAnsi="Arial"/>
          <w:sz w:val="18"/>
          <w:szCs w:val="18"/>
          <w:b w:val="1"/>
          <w:bCs w:val="1"/>
          <w:color w:val="auto"/>
        </w:rPr>
        <w:t>”)</w:t>
      </w:r>
      <w:r>
        <w:rPr>
          <w:rFonts w:ascii="Arial" w:cs="Arial" w:eastAsia="Arial" w:hAnsi="Arial"/>
          <w:sz w:val="18"/>
          <w:szCs w:val="18"/>
          <w:color w:val="auto"/>
        </w:rPr>
        <w:t>, and Amendment No. 9 dated March 31, 2020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Amendment No. 9</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the Original Lease, as amended by Amendment No. 1, Amendment No. 2, Amendment No. 3, Amendment No. 4, Amendment No. 5, Amendment No. 6, Amendment No. 7, Amendment No. 8, and Amendment No. 9, is referred to as the “</w:t>
      </w:r>
      <w:r>
        <w:rPr>
          <w:rFonts w:ascii="Arial" w:cs="Arial" w:eastAsia="Arial" w:hAnsi="Arial"/>
          <w:sz w:val="18"/>
          <w:szCs w:val="18"/>
          <w:b w:val="1"/>
          <w:bCs w:val="1"/>
          <w:i w:val="1"/>
          <w:iCs w:val="1"/>
          <w:color w:val="auto"/>
        </w:rPr>
        <w:t>Lease</w:t>
      </w:r>
      <w:r>
        <w:rPr>
          <w:rFonts w:ascii="Arial" w:cs="Arial" w:eastAsia="Arial" w:hAnsi="Arial"/>
          <w:sz w:val="18"/>
          <w:szCs w:val="18"/>
          <w:color w:val="auto"/>
        </w:rPr>
        <w:t>”), pursuant to which Landlord leases to Tenant certain space (“</w:t>
      </w:r>
      <w:r>
        <w:rPr>
          <w:rFonts w:ascii="Arial" w:cs="Arial" w:eastAsia="Arial" w:hAnsi="Arial"/>
          <w:sz w:val="18"/>
          <w:szCs w:val="18"/>
          <w:b w:val="1"/>
          <w:bCs w:val="1"/>
          <w:i w:val="1"/>
          <w:iCs w:val="1"/>
          <w:color w:val="auto"/>
        </w:rPr>
        <w:t>Premises</w:t>
      </w:r>
      <w:r>
        <w:rPr>
          <w:rFonts w:ascii="Arial" w:cs="Arial" w:eastAsia="Arial" w:hAnsi="Arial"/>
          <w:sz w:val="18"/>
          <w:szCs w:val="18"/>
          <w:color w:val="auto"/>
        </w:rPr>
        <w:t>”) located at 1300 North Alma School Road, Chandler Arizona as further described in the Lease.</w:t>
      </w:r>
    </w:p>
    <w:p>
      <w:pPr>
        <w:spacing w:after="0" w:line="187" w:lineRule="exact"/>
        <w:rPr>
          <w:rFonts w:ascii="Arial" w:cs="Arial" w:eastAsia="Arial" w:hAnsi="Arial"/>
          <w:sz w:val="18"/>
          <w:szCs w:val="18"/>
          <w:b w:val="1"/>
          <w:bCs w:val="1"/>
          <w:color w:val="auto"/>
        </w:rPr>
      </w:pPr>
    </w:p>
    <w:p>
      <w:pPr>
        <w:ind w:right="20" w:firstLine="656"/>
        <w:spacing w:after="0" w:line="260" w:lineRule="auto"/>
        <w:tabs>
          <w:tab w:leader="none" w:pos="1296" w:val="left"/>
        </w:tabs>
        <w:numPr>
          <w:ilvl w:val="0"/>
          <w:numId w:val="33"/>
        </w:numPr>
        <w:rPr>
          <w:rFonts w:ascii="Arial" w:cs="Arial" w:eastAsia="Arial" w:hAnsi="Arial"/>
          <w:sz w:val="20"/>
          <w:szCs w:val="20"/>
          <w:b w:val="1"/>
          <w:bCs w:val="1"/>
          <w:color w:val="auto"/>
        </w:rPr>
      </w:pPr>
      <w:r>
        <w:rPr>
          <w:rFonts w:ascii="Arial" w:cs="Arial" w:eastAsia="Arial" w:hAnsi="Arial"/>
          <w:sz w:val="20"/>
          <w:szCs w:val="20"/>
          <w:color w:val="auto"/>
        </w:rPr>
        <w:t>As of the Amendment No. 10 Effective Date, the parties desire to amend the Lease to extend the Term and make additional modifications specified herein.</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above recitals which are hereby incorporated herein, the mutual</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covenants and conditions contained herein and other valuable consideration, the receipt and sufficiency of which are hereby acknowledged, Landlord and Tenant agree, effective as of the Amendment No. 10 Effective Date, to amend the Lease as follows:</w:t>
      </w:r>
    </w:p>
    <w:p>
      <w:pPr>
        <w:spacing w:after="0" w:line="210" w:lineRule="exact"/>
        <w:rPr>
          <w:sz w:val="20"/>
          <w:szCs w:val="20"/>
          <w:color w:val="auto"/>
        </w:rPr>
      </w:pPr>
    </w:p>
    <w:p>
      <w:pPr>
        <w:ind w:firstLine="8"/>
        <w:spacing w:after="0" w:line="267" w:lineRule="auto"/>
        <w:tabs>
          <w:tab w:leader="none" w:pos="648"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2 of the Lease (as modified by Amendment No. 9) is deleted in its entirety and replaced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w:t>
      </w:r>
    </w:p>
    <w:p>
      <w:pPr>
        <w:spacing w:after="0" w:line="129" w:lineRule="exact"/>
        <w:rPr>
          <w:sz w:val="20"/>
          <w:szCs w:val="20"/>
          <w:color w:val="auto"/>
        </w:rPr>
      </w:pPr>
    </w:p>
    <w:p>
      <w:pPr>
        <w:jc w:val="both"/>
        <w:ind w:left="980"/>
        <w:spacing w:after="0" w:line="246" w:lineRule="auto"/>
        <w:rPr>
          <w:sz w:val="20"/>
          <w:szCs w:val="20"/>
          <w:color w:val="auto"/>
        </w:rPr>
      </w:pPr>
      <w:r>
        <w:rPr>
          <w:rFonts w:ascii="Arial" w:cs="Arial" w:eastAsia="Arial" w:hAnsi="Arial"/>
          <w:sz w:val="20"/>
          <w:szCs w:val="20"/>
          <w:color w:val="auto"/>
        </w:rPr>
        <w:t>“A. The term of this Lease shall commence on June 5, 2008 (the “</w:t>
      </w:r>
      <w:r>
        <w:rPr>
          <w:rFonts w:ascii="Arial" w:cs="Arial" w:eastAsia="Arial" w:hAnsi="Arial"/>
          <w:sz w:val="20"/>
          <w:szCs w:val="20"/>
          <w:b w:val="1"/>
          <w:bCs w:val="1"/>
          <w:i w:val="1"/>
          <w:iCs w:val="1"/>
          <w:color w:val="auto"/>
        </w:rPr>
        <w:t>Commencement Date</w:t>
      </w:r>
      <w:r>
        <w:rPr>
          <w:rFonts w:ascii="Arial" w:cs="Arial" w:eastAsia="Arial" w:hAnsi="Arial"/>
          <w:sz w:val="20"/>
          <w:szCs w:val="20"/>
          <w:color w:val="auto"/>
        </w:rPr>
        <w:t>”) and end on January 31, 2028 (the “</w:t>
      </w:r>
      <w:r>
        <w:rPr>
          <w:rFonts w:ascii="Arial" w:cs="Arial" w:eastAsia="Arial" w:hAnsi="Arial"/>
          <w:sz w:val="20"/>
          <w:szCs w:val="20"/>
          <w:b w:val="1"/>
          <w:bCs w:val="1"/>
          <w:i w:val="1"/>
          <w:iCs w:val="1"/>
          <w:color w:val="auto"/>
        </w:rPr>
        <w:t>Term</w:t>
      </w:r>
      <w:r>
        <w:rPr>
          <w:rFonts w:ascii="Arial" w:cs="Arial" w:eastAsia="Arial" w:hAnsi="Arial"/>
          <w:sz w:val="20"/>
          <w:szCs w:val="20"/>
          <w:color w:val="auto"/>
        </w:rPr>
        <w:t>”). Tenant will continue processing on Landlord’s tool, FJ01PVS. In the event the Landlord elects to terminate Tenant’s use of the FJ01PVS, the Landlord will give Tenant six (6) months prior written notice.</w:t>
      </w:r>
    </w:p>
    <w:p>
      <w:pPr>
        <w:spacing w:after="0" w:line="164" w:lineRule="exact"/>
        <w:rPr>
          <w:sz w:val="20"/>
          <w:szCs w:val="20"/>
          <w:color w:val="auto"/>
        </w:rPr>
      </w:pPr>
    </w:p>
    <w:p>
      <w:pPr>
        <w:jc w:val="both"/>
        <w:ind w:left="980"/>
        <w:spacing w:after="0" w:line="260" w:lineRule="auto"/>
        <w:rPr>
          <w:sz w:val="20"/>
          <w:szCs w:val="20"/>
          <w:color w:val="auto"/>
        </w:rPr>
      </w:pPr>
      <w:r>
        <w:rPr>
          <w:rFonts w:ascii="Arial" w:cs="Arial" w:eastAsia="Arial" w:hAnsi="Arial"/>
          <w:sz w:val="20"/>
          <w:szCs w:val="20"/>
          <w:color w:val="auto"/>
        </w:rPr>
        <w:t>B. This Lease may be terminated without cause and for convenience by either Landlord or Tenant prior to the expiration of the Term, provided that:</w:t>
      </w:r>
    </w:p>
    <w:p>
      <w:pPr>
        <w:spacing w:after="0" w:line="136" w:lineRule="exact"/>
        <w:rPr>
          <w:sz w:val="20"/>
          <w:szCs w:val="20"/>
          <w:color w:val="auto"/>
        </w:rPr>
      </w:pPr>
    </w:p>
    <w:p>
      <w:pPr>
        <w:jc w:val="both"/>
        <w:ind w:left="1300" w:firstLine="4"/>
        <w:spacing w:after="0" w:line="263" w:lineRule="auto"/>
        <w:tabs>
          <w:tab w:leader="none" w:pos="1948"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terminating party delivers a written Risk of Termination (ROT) notice to the other party if the terminating party anticipates the potential for a termination notice to be issued within the next six (6) months. This ROT notice will remain in effect until cancelled by the terminating party. The terminating party may issue a new ROT at any time after cancellation of a previously issued ROT;</w:t>
      </w:r>
    </w:p>
    <w:p>
      <w:pPr>
        <w:spacing w:after="0" w:line="135" w:lineRule="exact"/>
        <w:rPr>
          <w:rFonts w:ascii="Arial" w:cs="Arial" w:eastAsia="Arial" w:hAnsi="Arial"/>
          <w:sz w:val="19"/>
          <w:szCs w:val="19"/>
          <w:color w:val="auto"/>
        </w:rPr>
      </w:pPr>
    </w:p>
    <w:p>
      <w:pPr>
        <w:jc w:val="both"/>
        <w:ind w:left="1300" w:firstLine="4"/>
        <w:spacing w:after="0" w:line="291" w:lineRule="auto"/>
        <w:tabs>
          <w:tab w:leader="none" w:pos="19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terminating party delivers written notice of termination of the Lease with the date of such termination (a "</w:t>
      </w:r>
      <w:r>
        <w:rPr>
          <w:rFonts w:ascii="Arial" w:cs="Arial" w:eastAsia="Arial" w:hAnsi="Arial"/>
          <w:sz w:val="18"/>
          <w:szCs w:val="18"/>
          <w:b w:val="1"/>
          <w:bCs w:val="1"/>
          <w:i w:val="1"/>
          <w:iCs w:val="1"/>
          <w:color w:val="auto"/>
        </w:rPr>
        <w:t>Termination Notice</w:t>
      </w:r>
      <w:r>
        <w:rPr>
          <w:rFonts w:ascii="Arial" w:cs="Arial" w:eastAsia="Arial" w:hAnsi="Arial"/>
          <w:sz w:val="18"/>
          <w:szCs w:val="18"/>
          <w:color w:val="auto"/>
        </w:rPr>
        <w:t>") to the other party no less than eighteen (18) months in advance of the date of termination and no sooner than six (6) months after the issuance of an uncancelled ROT notice.”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80" w:name="page81"/>
    <w:bookmarkEnd w:id="80"/>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Other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45 of the Lease is deleted in its entirety and replaced with the following:</w:t>
      </w:r>
    </w:p>
    <w:p>
      <w:pPr>
        <w:spacing w:after="0" w:line="204"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9"/>
          <w:szCs w:val="19"/>
          <w:color w:val="auto"/>
        </w:rPr>
        <w:t>“From time to time, Tenant may request some miscellaneous facility services from Landlord, such as maintenance of Tenant’s equipment, relocation of cubicles or similar types of services. Landlord will provide Tenant with a cost estimate of such services prior to Tenant authorizing the work to be performed by Landlord. Landlord will invoice Tenant on a monthly basis for the actual cost of such services (or an agreed upon rate in the case of building or equipment maintenance for tenant- owned equipment) and Tenant will pay to Landlord the cost of such services as Additional Rent hereunder. Landlord and Tenant have agreed as of the Commencement Date that, subject to the terms of this Lease, Landlord will provide those certain facility and manufacturing services listed on Exhibit J attached hereto (the “</w:t>
      </w:r>
      <w:r>
        <w:rPr>
          <w:rFonts w:ascii="Arial" w:cs="Arial" w:eastAsia="Arial" w:hAnsi="Arial"/>
          <w:sz w:val="19"/>
          <w:szCs w:val="19"/>
          <w:b w:val="1"/>
          <w:bCs w:val="1"/>
          <w:i w:val="1"/>
          <w:iCs w:val="1"/>
          <w:color w:val="auto"/>
        </w:rPr>
        <w:t>Manufacturing Services</w:t>
      </w:r>
      <w:r>
        <w:rPr>
          <w:rFonts w:ascii="Arial" w:cs="Arial" w:eastAsia="Arial" w:hAnsi="Arial"/>
          <w:sz w:val="19"/>
          <w:szCs w:val="19"/>
          <w:color w:val="auto"/>
        </w:rPr>
        <w:t xml:space="preserve">”). The prices for the Manufacturing Services listed in Lease </w:t>
      </w:r>
      <w:r>
        <w:rPr>
          <w:rFonts w:ascii="Arial" w:cs="Arial" w:eastAsia="Arial" w:hAnsi="Arial"/>
          <w:sz w:val="19"/>
          <w:szCs w:val="19"/>
          <w:b w:val="1"/>
          <w:bCs w:val="1"/>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J</w:t>
      </w:r>
      <w:r>
        <w:rPr>
          <w:rFonts w:ascii="Arial" w:cs="Arial" w:eastAsia="Arial" w:hAnsi="Arial"/>
          <w:sz w:val="19"/>
          <w:szCs w:val="19"/>
          <w:b w:val="1"/>
          <w:bCs w:val="1"/>
          <w:color w:val="auto"/>
        </w:rPr>
        <w:t xml:space="preserve"> </w:t>
      </w:r>
      <w:r>
        <w:rPr>
          <w:rFonts w:ascii="Arial" w:cs="Arial" w:eastAsia="Arial" w:hAnsi="Arial"/>
          <w:sz w:val="19"/>
          <w:szCs w:val="19"/>
          <w:color w:val="auto"/>
        </w:rPr>
        <w:t>will continue during the Term of the Lease, provided that Landlord may adjust the prices at its discretion to offset</w:t>
      </w:r>
      <w:r>
        <w:rPr>
          <w:rFonts w:ascii="Arial" w:cs="Arial" w:eastAsia="Arial" w:hAnsi="Arial"/>
          <w:sz w:val="19"/>
          <w:szCs w:val="19"/>
          <w:b w:val="1"/>
          <w:bCs w:val="1"/>
          <w:color w:val="auto"/>
        </w:rPr>
        <w:t xml:space="preserve"> </w:t>
      </w:r>
      <w:r>
        <w:rPr>
          <w:rFonts w:ascii="Arial" w:cs="Arial" w:eastAsia="Arial" w:hAnsi="Arial"/>
          <w:sz w:val="19"/>
          <w:szCs w:val="19"/>
          <w:color w:val="auto"/>
        </w:rPr>
        <w:t>any increase in the Landlord’s costs which are beyond its reasonable control, including, but not limited to, increases in materials, labor and other manufacturing costs, delivery charges, increases in taxes, duties, tariffs and foreign exchange fluctuations.”</w:t>
      </w:r>
    </w:p>
    <w:p>
      <w:pPr>
        <w:spacing w:after="0" w:line="151" w:lineRule="exact"/>
        <w:rPr>
          <w:rFonts w:ascii="Arial" w:cs="Arial" w:eastAsia="Arial" w:hAnsi="Arial"/>
          <w:sz w:val="18"/>
          <w:szCs w:val="18"/>
          <w:b w:val="1"/>
          <w:bCs w:val="1"/>
          <w:color w:val="auto"/>
        </w:rPr>
      </w:pPr>
    </w:p>
    <w:p>
      <w:pPr>
        <w:jc w:val="both"/>
        <w:ind w:firstLine="8"/>
        <w:spacing w:after="0" w:line="285" w:lineRule="auto"/>
        <w:tabs>
          <w:tab w:leader="none" w:pos="648"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hereby represents to Landlord that Tenant has dealt with no broker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No. 10. Tenant agrees to indemnify and hold Landlord harmless from all claims of any brokers claiming to have represented Tenant in connection with this Amendment No. 10. Landlord agrees to indemnify and hold Tenant harmless from all claims of any broker claiming to have represented Landlord in connection with this Amendment No. 10.</w:t>
      </w:r>
    </w:p>
    <w:p>
      <w:pPr>
        <w:spacing w:after="0" w:line="110" w:lineRule="exact"/>
        <w:rPr>
          <w:rFonts w:ascii="Arial" w:cs="Arial" w:eastAsia="Arial" w:hAnsi="Arial"/>
          <w:sz w:val="18"/>
          <w:szCs w:val="18"/>
          <w:b w:val="1"/>
          <w:bCs w:val="1"/>
          <w:color w:val="auto"/>
        </w:rPr>
      </w:pPr>
    </w:p>
    <w:p>
      <w:pPr>
        <w:jc w:val="both"/>
        <w:ind w:firstLine="8"/>
        <w:spacing w:after="0" w:line="256" w:lineRule="auto"/>
        <w:tabs>
          <w:tab w:leader="none" w:pos="648"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This Amendment No. 10 sets forth the entire agreement between the parties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matters set forth herein. There have been no additional oral or written representations or agreements. Except as herein modified or amended, the provisions, conditions and terms of the Lease shall remain unchanged an in full force and effect. In the case of any inconsistency between the provisions of the Lease and this Amendment No. 10, the provisions of this Amendment No. 10 shall govern and control. Each signatory of this Amendment No. 10, represents hereby that he or she has the authority to execute and deliver the same on behalf of the party hereto for which such signatory is acting. This Amendment No. 10 may be executed in multiple counterparts each of which is deemed an original but together constitute one and the same instrument. This Amendment No. 10 may be executed in so-called "PDF" format, and each party has the right to rely upon a PDF counterpart of this Amendment No. 10 signed by the other party to the same extent as if such party had received an original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IN WITNESS WHEREOF, Landlord and Tenant have duly executed this Amendment No. 10.</w:t>
      </w:r>
    </w:p>
    <w:p>
      <w:pPr>
        <w:sectPr>
          <w:pgSz w:w="11900" w:h="16838" w:orient="portrait"/>
          <w:cols w:equalWidth="0" w:num="1">
            <w:col w:w="9479"/>
          </w:cols>
          <w:pgMar w:left="980" w:top="879" w:right="1440"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LANDLORD: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NXP USA,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corporation</w:t>
      </w:r>
    </w:p>
    <w:p>
      <w:pPr>
        <w:spacing w:after="0" w:line="21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By:</w:t>
        <w:tab/>
        <w:t>/s/ Katherine Haight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Name:Katherine Haight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-144780</wp:posOffset>
            </wp:positionV>
            <wp:extent cx="26746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tabs>
          <w:tab w:leader="none" w:pos="520" w:val="left"/>
        </w:tabs>
        <w:rPr>
          <w:sz w:val="20"/>
          <w:szCs w:val="20"/>
          <w:color w:val="auto"/>
        </w:rPr>
      </w:pPr>
      <w:r>
        <w:rPr>
          <w:rFonts w:ascii="Arial" w:cs="Arial" w:eastAsia="Arial" w:hAnsi="Arial"/>
          <w:sz w:val="19"/>
          <w:szCs w:val="19"/>
          <w:color w:val="auto"/>
        </w:rPr>
        <w:t>Its:</w:t>
        <w:tab/>
        <w:t>VP, Commercial Legal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-137795</wp:posOffset>
            </wp:positionV>
            <wp:extent cx="2674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0">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Date: Feb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8890</wp:posOffset>
            </wp:positionV>
            <wp:extent cx="2674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1">
                      <a:extLst>
                        <a:ext uri="{28A0092B-C50C-407E-A947-70E740481C1C}"/>
                      </a:extLst>
                    </a:blip>
                    <a:srcRect/>
                    <a:stretch>
                      <a:fillRect/>
                    </a:stretch>
                  </pic:blipFill>
                  <pic:spPr bwMode="auto">
                    <a:xfrm>
                      <a:off x="0" y="0"/>
                      <a:ext cx="2674620" cy="8890"/>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-144780</wp:posOffset>
            </wp:positionV>
            <wp:extent cx="26746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TENANT:</w:t>
      </w:r>
    </w:p>
    <w:p>
      <w:pPr>
        <w:spacing w:after="0" w:line="229" w:lineRule="exact"/>
        <w:rPr>
          <w:sz w:val="20"/>
          <w:szCs w:val="20"/>
          <w:color w:val="auto"/>
        </w:rPr>
      </w:pPr>
    </w:p>
    <w:p>
      <w:pPr>
        <w:ind w:right="1200"/>
        <w:spacing w:after="0" w:line="267" w:lineRule="auto"/>
        <w:rPr>
          <w:sz w:val="20"/>
          <w:szCs w:val="20"/>
          <w:color w:val="auto"/>
        </w:rPr>
      </w:pPr>
      <w:r>
        <w:rPr>
          <w:rFonts w:ascii="Arial" w:cs="Arial" w:eastAsia="Arial" w:hAnsi="Arial"/>
          <w:sz w:val="20"/>
          <w:szCs w:val="20"/>
          <w:b w:val="1"/>
          <w:bCs w:val="1"/>
          <w:color w:val="auto"/>
        </w:rPr>
        <w:t xml:space="preserve">EVERSPIN TECHNOLOGIES, INC., </w:t>
      </w:r>
      <w:r>
        <w:rPr>
          <w:rFonts w:ascii="Arial" w:cs="Arial" w:eastAsia="Arial" w:hAnsi="Arial"/>
          <w:sz w:val="20"/>
          <w:szCs w:val="20"/>
          <w:color w:val="auto"/>
        </w:rPr>
        <w:t>a Delaware corporation</w:t>
      </w:r>
    </w:p>
    <w:p>
      <w:pPr>
        <w:spacing w:after="0" w:line="18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By:</w:t>
        <w:tab/>
        <w:t>/s/ Anuj Aggarwal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-144780</wp:posOffset>
            </wp:positionV>
            <wp:extent cx="26657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3">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tabs>
          <w:tab w:leader="none" w:pos="520" w:val="left"/>
        </w:tabs>
        <w:rPr>
          <w:sz w:val="20"/>
          <w:szCs w:val="20"/>
          <w:color w:val="auto"/>
        </w:rPr>
      </w:pPr>
      <w:r>
        <w:rPr>
          <w:rFonts w:ascii="Arial" w:cs="Arial" w:eastAsia="Arial" w:hAnsi="Arial"/>
          <w:sz w:val="20"/>
          <w:szCs w:val="20"/>
          <w:color w:val="auto"/>
        </w:rPr>
        <w:t>Its:</w:t>
        <w:tab/>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-144780</wp:posOffset>
            </wp:positionV>
            <wp:extent cx="26657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 Feb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8890</wp:posOffset>
            </wp:positionV>
            <wp:extent cx="26657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5">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-144780</wp:posOffset>
            </wp:positionV>
            <wp:extent cx="26657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6">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By:</w:t>
        <w:tab/>
        <w:t>/s/ Jaime French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Name:Jaime French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-144780</wp:posOffset>
            </wp:positionV>
            <wp:extent cx="26746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tabs>
          <w:tab w:leader="none" w:pos="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Senior Director,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-130175</wp:posOffset>
            </wp:positionV>
            <wp:extent cx="2674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8">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Date: Feb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8890</wp:posOffset>
            </wp:positionV>
            <wp:extent cx="2674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9">
                      <a:extLst>
                        <a:ext uri="{28A0092B-C50C-407E-A947-70E740481C1C}"/>
                      </a:extLst>
                    </a:blip>
                    <a:srcRect/>
                    <a:stretch>
                      <a:fillRect/>
                    </a:stretch>
                  </pic:blipFill>
                  <pic:spPr bwMode="auto">
                    <a:xfrm>
                      <a:off x="0" y="0"/>
                      <a:ext cx="2674620" cy="8890"/>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-144780</wp:posOffset>
            </wp:positionV>
            <wp:extent cx="26746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548" w:lineRule="exact"/>
        <w:rPr>
          <w:sz w:val="20"/>
          <w:szCs w:val="20"/>
          <w:color w:val="auto"/>
        </w:rPr>
      </w:pPr>
    </w:p>
    <w:p>
      <w:pPr>
        <w:sectPr>
          <w:pgSz w:w="11900" w:h="16838" w:orient="portrait"/>
          <w:cols w:equalWidth="0" w:num="2">
            <w:col w:w="4440" w:space="720"/>
            <w:col w:w="4319"/>
          </w:cols>
          <w:pgMar w:left="980" w:top="879" w:right="1440"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382270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9" w:right="1440" w:bottom="1440" w:gutter="0" w:footer="0" w:header="0"/>
          <w:type w:val="continuous"/>
        </w:sectPr>
      </w:pPr>
    </w:p>
    <w:bookmarkStart w:id="82" w:name="page83"/>
    <w:bookmarkEnd w:id="82"/>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 w:lineRule="exact"/>
        <w:rPr>
          <w:sz w:val="20"/>
          <w:szCs w:val="20"/>
          <w:color w:val="auto"/>
        </w:rPr>
      </w:pPr>
    </w:p>
    <w:p>
      <w:pPr>
        <w:ind w:left="700" w:right="399" w:hanging="326"/>
        <w:spacing w:after="0" w:line="273" w:lineRule="auto"/>
        <w:tabs>
          <w:tab w:leader="none" w:pos="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Registration Statement (Form S-8 No. 333-214018) pertaining to the Everspin Technologies, Inc. 2008 Equity Incentive Plan, 2016 Equity Incentive Plan and the 2016 Employee Stock Purchase Plan,</w:t>
      </w:r>
    </w:p>
    <w:p>
      <w:pPr>
        <w:ind w:left="700" w:right="399" w:hanging="326"/>
        <w:spacing w:after="0" w:line="266"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333-219938) pertaining to the Everspin Technologies, Inc. 2016 Equity Incentive Plan and the 2016 Employee Stock Purchase Plan,</w:t>
      </w:r>
    </w:p>
    <w:p>
      <w:pPr>
        <w:ind w:left="700" w:right="399" w:hanging="326"/>
        <w:spacing w:after="0" w:line="266"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333-225119) pertaining to the Everspin Technologies, Inc. 2016 Equity Incentive Plan and the 2016 Employee Stock Purchase Plan,</w:t>
      </w:r>
    </w:p>
    <w:p>
      <w:pPr>
        <w:ind w:left="700" w:right="399" w:hanging="326"/>
        <w:spacing w:after="0" w:line="266"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333-230349) pertaining to the Everspin Technologies, Inc. 2016 Equity Incentive Plan and the 2016 Employee Stock Purchase Plan,</w:t>
      </w:r>
    </w:p>
    <w:p>
      <w:pPr>
        <w:ind w:left="700" w:right="399" w:hanging="326"/>
        <w:spacing w:after="0" w:line="266"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333-237146) pertaining to the Everspin Technologies, Inc. 2016 Equity Incentive Plan and the 2016 Employee Stock Purchase Plan,</w:t>
      </w:r>
    </w:p>
    <w:p>
      <w:pPr>
        <w:ind w:left="700" w:hanging="32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S-3 No. 333-249891) of Everspin Technologies, Inc.,</w:t>
      </w:r>
    </w:p>
    <w:p>
      <w:pPr>
        <w:spacing w:after="0" w:line="22" w:lineRule="exact"/>
        <w:rPr>
          <w:rFonts w:ascii="Arial" w:cs="Arial" w:eastAsia="Arial" w:hAnsi="Arial"/>
          <w:sz w:val="18"/>
          <w:szCs w:val="18"/>
          <w:color w:val="auto"/>
        </w:rPr>
      </w:pPr>
    </w:p>
    <w:p>
      <w:pPr>
        <w:ind w:left="700" w:right="399" w:hanging="326"/>
        <w:spacing w:after="0" w:line="266"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333-253884) pertaining to the Everspin Technologies, Inc. 2016 Equity Incentive Plan and the 2016 Employee Stock Purchase Plan,</w:t>
      </w:r>
    </w:p>
    <w:p>
      <w:pPr>
        <w:ind w:left="700" w:right="279" w:hanging="326"/>
        <w:spacing w:after="0" w:line="266"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333-258794) pertaining to the Everspin Technologies, Inc. Amended and Restated 2016 Equity Incentive Plan;</w:t>
      </w:r>
    </w:p>
    <w:p>
      <w:pPr>
        <w:ind w:left="700" w:right="279" w:hanging="326"/>
        <w:spacing w:after="0" w:line="358"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Registration Statement (Form S-8 No. 333-263404) pertaining to the Everspin Technologies, Inc. Amended and Restated 2016 Equity Incentive Plan and Everspin Technologies, Inc. 2016 Employee Stock Purchase Plan;</w:t>
      </w:r>
    </w:p>
    <w:p>
      <w:pPr>
        <w:spacing w:after="0" w:line="58"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of our report dated March 2, 2023, with respect to the financial statements of Everspin Technologies, Inc. included in this Annual Report (Form 10-K) for the year ended December 31, 2022.</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365760</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3" w:name="page84"/>
    <w:bookmarkEnd w:id="83"/>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Sanjeev Aggarwal, certify that:</w:t>
      </w:r>
    </w:p>
    <w:p>
      <w:pPr>
        <w:spacing w:after="0" w:line="198" w:lineRule="exact"/>
        <w:rPr>
          <w:sz w:val="20"/>
          <w:szCs w:val="20"/>
          <w:color w:val="auto"/>
        </w:rPr>
      </w:pPr>
    </w:p>
    <w:p>
      <w:pPr>
        <w:ind w:left="380" w:hanging="330"/>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Form 10-K of Everspin Technologies, Inc.;</w:t>
      </w:r>
    </w:p>
    <w:p>
      <w:pPr>
        <w:spacing w:after="0" w:line="211" w:lineRule="exact"/>
        <w:rPr>
          <w:rFonts w:ascii="Arial" w:cs="Arial" w:eastAsia="Arial" w:hAnsi="Arial"/>
          <w:sz w:val="18"/>
          <w:szCs w:val="18"/>
          <w:color w:val="auto"/>
        </w:rPr>
      </w:pPr>
    </w:p>
    <w:p>
      <w:pPr>
        <w:jc w:val="both"/>
        <w:ind w:left="380" w:right="119" w:hanging="330"/>
        <w:spacing w:after="0" w:line="256"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jc w:val="both"/>
        <w:ind w:left="380" w:right="219" w:hanging="330"/>
        <w:spacing w:after="0" w:line="286" w:lineRule="auto"/>
        <w:tabs>
          <w:tab w:leader="none" w:pos="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38" w:lineRule="exact"/>
        <w:rPr>
          <w:rFonts w:ascii="Arial" w:cs="Arial" w:eastAsia="Arial" w:hAnsi="Arial"/>
          <w:sz w:val="17"/>
          <w:szCs w:val="17"/>
          <w:color w:val="auto"/>
        </w:rPr>
      </w:pPr>
    </w:p>
    <w:p>
      <w:pPr>
        <w:jc w:val="both"/>
        <w:ind w:left="380" w:right="59" w:hanging="6"/>
        <w:spacing w:after="0" w:line="259" w:lineRule="auto"/>
        <w:tabs>
          <w:tab w:leader="none" w:pos="66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380" w:right="59" w:hanging="6"/>
        <w:spacing w:after="0" w:line="259" w:lineRule="auto"/>
        <w:tabs>
          <w:tab w:leader="none" w:pos="64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380" w:right="59" w:hanging="6"/>
        <w:spacing w:after="0" w:line="263" w:lineRule="auto"/>
        <w:tabs>
          <w:tab w:leader="none" w:pos="641"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jc w:val="both"/>
        <w:ind w:left="380" w:right="59" w:hanging="6"/>
        <w:spacing w:after="0" w:line="254" w:lineRule="auto"/>
        <w:tabs>
          <w:tab w:leader="none" w:pos="6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jc w:val="both"/>
        <w:ind w:left="380" w:right="319" w:hanging="330"/>
        <w:spacing w:after="0" w:line="263"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jc w:val="both"/>
        <w:ind w:left="380" w:right="59" w:hanging="6"/>
        <w:spacing w:after="0" w:line="263" w:lineRule="auto"/>
        <w:tabs>
          <w:tab w:leader="none" w:pos="64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380" w:right="79" w:hanging="6"/>
        <w:spacing w:after="0" w:line="277" w:lineRule="auto"/>
        <w:tabs>
          <w:tab w:leader="none" w:pos="64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2, 2023</w:t>
      </w:r>
    </w:p>
    <w:p>
      <w:pPr>
        <w:spacing w:after="0" w:line="23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Sanjeev Aggarwal</w:t>
      </w:r>
    </w:p>
    <w:p>
      <w:pPr>
        <w:spacing w:after="0" w:line="3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-130175</wp:posOffset>
            </wp:positionV>
            <wp:extent cx="25031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3">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4" w:name="page85"/>
    <w:bookmarkEnd w:id="84"/>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Anuj Aggarwal, certify that:</w:t>
      </w:r>
    </w:p>
    <w:p>
      <w:pPr>
        <w:spacing w:after="0" w:line="225" w:lineRule="exact"/>
        <w:rPr>
          <w:sz w:val="20"/>
          <w:szCs w:val="20"/>
          <w:color w:val="auto"/>
        </w:rPr>
      </w:pPr>
    </w:p>
    <w:p>
      <w:pPr>
        <w:ind w:left="380" w:hanging="330"/>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Form 10-K of Everspin Technologies,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80" w:right="239" w:hanging="330"/>
        <w:spacing w:after="0" w:line="278" w:lineRule="auto"/>
        <w:tabs>
          <w:tab w:leader="none" w:pos="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84" w:lineRule="exact"/>
        <w:rPr>
          <w:rFonts w:ascii="Arial" w:cs="Arial" w:eastAsia="Arial" w:hAnsi="Arial"/>
          <w:sz w:val="17"/>
          <w:szCs w:val="17"/>
          <w:color w:val="auto"/>
        </w:rPr>
      </w:pPr>
    </w:p>
    <w:p>
      <w:pPr>
        <w:jc w:val="both"/>
        <w:ind w:left="380" w:right="59" w:hanging="6"/>
        <w:spacing w:after="0" w:line="254" w:lineRule="auto"/>
        <w:tabs>
          <w:tab w:leader="none" w:pos="6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jc w:val="both"/>
        <w:ind w:left="380" w:right="59" w:hanging="6"/>
        <w:spacing w:after="0" w:line="254" w:lineRule="auto"/>
        <w:tabs>
          <w:tab w:leader="none" w:pos="6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jc w:val="both"/>
        <w:ind w:left="380" w:right="59" w:hanging="6"/>
        <w:spacing w:after="0" w:line="263" w:lineRule="auto"/>
        <w:tabs>
          <w:tab w:leader="none" w:pos="641"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80" w:right="59" w:hanging="6"/>
        <w:spacing w:after="0" w:line="254" w:lineRule="auto"/>
        <w:tabs>
          <w:tab w:leader="none" w:pos="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jc w:val="both"/>
        <w:ind w:left="380" w:right="319" w:hanging="330"/>
        <w:spacing w:after="0" w:line="263"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380" w:right="59" w:hanging="6"/>
        <w:spacing w:after="0" w:line="263" w:lineRule="auto"/>
        <w:tabs>
          <w:tab w:leader="none" w:pos="64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80" w:right="79" w:hanging="6"/>
        <w:spacing w:after="0" w:line="277"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2, 2023</w:t>
      </w:r>
    </w:p>
    <w:p>
      <w:pPr>
        <w:spacing w:after="0" w:line="2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Anuj Aggarwal</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200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5" w:name="page86"/>
    <w:bookmarkEnd w:id="8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In connection with the Annual Report of Everspin Technologies, Inc. (the “Company”) on Form 10-K for the year ended December 31, 2022 (the “Report”), Sanjeev Aggarwal, Chief Executive Officer of the Company, and Anuj Aggarwal, Chief Financial Officer of the Company, each hereby certifies, pursuant to the requirement set forth in Rule 13a-14(b) of the Securities Exchange Act of 1934, as amended (the “Exchange Act”), and Section 1350 of Chapter 63 of Title 18 of the United States Code (18 U.S.C. Section 1350), as adopted pursuant to Section 906 of the Sarbanes-Oxley Act of 2002, that, to the best of his knowledge:</w:t>
      </w:r>
    </w:p>
    <w:p>
      <w:pPr>
        <w:spacing w:after="0" w:line="194" w:lineRule="exact"/>
        <w:rPr>
          <w:sz w:val="20"/>
          <w:szCs w:val="20"/>
          <w:color w:val="auto"/>
        </w:rPr>
      </w:pPr>
    </w:p>
    <w:p>
      <w:pPr>
        <w:ind w:left="380" w:hanging="330"/>
        <w:spacing w:after="0"/>
        <w:tabs>
          <w:tab w:leader="none" w:pos="3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Section 15(d) of the Exchange Act; and</w:t>
      </w:r>
    </w:p>
    <w:p>
      <w:pPr>
        <w:spacing w:after="0" w:line="225" w:lineRule="exact"/>
        <w:rPr>
          <w:rFonts w:ascii="Arial" w:cs="Arial" w:eastAsia="Arial" w:hAnsi="Arial"/>
          <w:sz w:val="18"/>
          <w:szCs w:val="18"/>
          <w:b w:val="1"/>
          <w:bCs w:val="1"/>
          <w:color w:val="auto"/>
        </w:rPr>
      </w:pPr>
    </w:p>
    <w:p>
      <w:pPr>
        <w:ind w:left="380" w:right="239" w:hanging="330"/>
        <w:spacing w:after="0" w:line="277" w:lineRule="auto"/>
        <w:tabs>
          <w:tab w:leader="none" w:pos="3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2, 2023</w:t>
      </w: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2515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7">
                      <a:extLst>
                        <a:ext uri="{28A0092B-C50C-407E-A947-70E740481C1C}"/>
                      </a:extLst>
                    </a:blip>
                    <a:srcRect/>
                    <a:stretch>
                      <a:fillRect/>
                    </a:stretch>
                  </pic:blipFill>
                  <pic:spPr bwMode="auto">
                    <a:xfrm>
                      <a:off x="0" y="0"/>
                      <a:ext cx="5648960" cy="125158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Sanjeev Aggarwal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Anuj Aggarwal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Anuj Aggarwal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323215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lowerLetter"/>
      <w:start w:val="1"/>
    </w:lvl>
    <w:lvl w:ilvl="1">
      <w:lvlJc w:val="left"/>
      <w:lvlText w:val="%2."/>
      <w:numFmt w:val="decimal"/>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lowerLetter"/>
      <w:start w:val="2"/>
    </w:lvl>
    <w:lvl w:ilvl="1">
      <w:lvlJc w:val="left"/>
      <w:lvlText w:val="(%2)"/>
      <w:numFmt w:val="lowerLetter"/>
      <w:start w:val="3"/>
    </w:lvl>
  </w:abstractNum>
  <w:abstractNum w:abstractNumId="32">
    <w:nsid w:val="3804823E"/>
    <w:multiLevelType w:val="hybridMultilevel"/>
    <w:lvl w:ilvl="0">
      <w:lvlJc w:val="left"/>
      <w:lvlText w:val="%1."/>
      <w:numFmt w:val="upperLetter"/>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lowerRoman"/>
      <w:start w:val="1"/>
    </w:lvl>
  </w:abstractNum>
  <w:abstractNum w:abstractNumId="35">
    <w:nsid w:val="5C482A97"/>
    <w:multiLevelType w:val="hybridMultilevel"/>
    <w:lvl w:ilvl="0">
      <w:lvlJc w:val="left"/>
      <w:lvlText w:val="%1."/>
      <w:numFmt w:val="decimal"/>
      <w:start w:val="2"/>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108" Type="http://schemas.openxmlformats.org/officeDocument/2006/relationships/image" Target="media/image76.png"/><Relationship Id="rId117" Type="http://schemas.openxmlformats.org/officeDocument/2006/relationships/image" Target="media/image77.png"/><Relationship Id="rId127" Type="http://schemas.openxmlformats.org/officeDocument/2006/relationships/image" Target="media/image78.png"/><Relationship Id="rId139" Type="http://schemas.openxmlformats.org/officeDocument/2006/relationships/image" Target="media/image79.png"/><Relationship Id="rId140" Type="http://schemas.openxmlformats.org/officeDocument/2006/relationships/image" Target="media/image80.png"/><Relationship Id="rId141" Type="http://schemas.openxmlformats.org/officeDocument/2006/relationships/image" Target="media/image81.png"/><Relationship Id="rId142" Type="http://schemas.openxmlformats.org/officeDocument/2006/relationships/image" Target="media/image82.png"/><Relationship Id="rId143" Type="http://schemas.openxmlformats.org/officeDocument/2006/relationships/image" Target="media/image83.png"/><Relationship Id="rId144" Type="http://schemas.openxmlformats.org/officeDocument/2006/relationships/image" Target="media/image84.png"/><Relationship Id="rId145" Type="http://schemas.openxmlformats.org/officeDocument/2006/relationships/image" Target="media/image85.png"/><Relationship Id="rId146" Type="http://schemas.openxmlformats.org/officeDocument/2006/relationships/image" Target="media/image86.png"/><Relationship Id="rId147" Type="http://schemas.openxmlformats.org/officeDocument/2006/relationships/image" Target="media/image87.png"/><Relationship Id="rId148" Type="http://schemas.openxmlformats.org/officeDocument/2006/relationships/image" Target="media/image88.png"/><Relationship Id="rId149" Type="http://schemas.openxmlformats.org/officeDocument/2006/relationships/image" Target="media/image89.png"/><Relationship Id="rId150" Type="http://schemas.openxmlformats.org/officeDocument/2006/relationships/image" Target="media/image90.png"/><Relationship Id="rId151" Type="http://schemas.openxmlformats.org/officeDocument/2006/relationships/image" Target="media/image91.png"/><Relationship Id="rId152" Type="http://schemas.openxmlformats.org/officeDocument/2006/relationships/image" Target="media/image92.png"/><Relationship Id="rId153" Type="http://schemas.openxmlformats.org/officeDocument/2006/relationships/image" Target="media/image93.png"/><Relationship Id="rId154" Type="http://schemas.openxmlformats.org/officeDocument/2006/relationships/image" Target="media/image94.png"/><Relationship Id="rId155" Type="http://schemas.openxmlformats.org/officeDocument/2006/relationships/image" Target="media/image95.png"/><Relationship Id="rId156" Type="http://schemas.openxmlformats.org/officeDocument/2006/relationships/image" Target="media/image96.png"/><Relationship Id="rId157" Type="http://schemas.openxmlformats.org/officeDocument/2006/relationships/image" Target="media/image97.png"/><Relationship Id="rId158" Type="http://schemas.openxmlformats.org/officeDocument/2006/relationships/image" Target="media/image98.png"/><Relationship Id="rId159" Type="http://schemas.openxmlformats.org/officeDocument/2006/relationships/image" Target="media/image99.png"/><Relationship Id="rId160" Type="http://schemas.openxmlformats.org/officeDocument/2006/relationships/image" Target="media/image100.png"/><Relationship Id="rId161" Type="http://schemas.openxmlformats.org/officeDocument/2006/relationships/image" Target="media/image101.png"/><Relationship Id="rId162" Type="http://schemas.openxmlformats.org/officeDocument/2006/relationships/image" Target="media/image102.png"/><Relationship Id="rId163" Type="http://schemas.openxmlformats.org/officeDocument/2006/relationships/image" Target="media/image103.png"/><Relationship Id="rId164" Type="http://schemas.openxmlformats.org/officeDocument/2006/relationships/image" Target="media/image104.png"/><Relationship Id="rId165" Type="http://schemas.openxmlformats.org/officeDocument/2006/relationships/image" Target="media/image105.png"/><Relationship Id="rId166" Type="http://schemas.openxmlformats.org/officeDocument/2006/relationships/image" Target="media/image106.png"/><Relationship Id="rId167" Type="http://schemas.openxmlformats.org/officeDocument/2006/relationships/image" Target="media/image107.png"/><Relationship Id="rId168" Type="http://schemas.openxmlformats.org/officeDocument/2006/relationships/image" Target="media/image108.png"/><Relationship Id="rId81" Type="http://schemas.openxmlformats.org/officeDocument/2006/relationships/hyperlink" Target="http://www.sec.gov/Archives/edgar/data/1438423/000119312516737688/d271840dex31.htm" TargetMode="External"/><Relationship Id="rId82" Type="http://schemas.openxmlformats.org/officeDocument/2006/relationships/hyperlink" Target="http://www.sec.gov/Archives/edgar/data/1438423/000119312519154165/d752899dex31.htm" TargetMode="External"/><Relationship Id="rId83" Type="http://schemas.openxmlformats.org/officeDocument/2006/relationships/hyperlink" Target="https://www.sec.gov/Archives/edgar/data/1438423/000119312520153247/d936625dex31.htm" TargetMode="External"/><Relationship Id="rId84" Type="http://schemas.openxmlformats.org/officeDocument/2006/relationships/hyperlink" Target="https://www.sec.gov/Archives/edgar/data/1438423/000119312519154165/d752899dex32.htm" TargetMode="External"/><Relationship Id="rId85" Type="http://schemas.openxmlformats.org/officeDocument/2006/relationships/hyperlink" Target="http://www.sec.gov/Archives/edgar/data/1438423/000119312516706479/d180963dex41.htm" TargetMode="External"/><Relationship Id="rId86" Type="http://schemas.openxmlformats.org/officeDocument/2006/relationships/hyperlink" Target="http://www.sec.gov/Archives/edgar/data/1438423/000155837019010452/mram-20190930ex424b334ff.htm" TargetMode="External"/><Relationship Id="rId87" Type="http://schemas.openxmlformats.org/officeDocument/2006/relationships/hyperlink" Target="https://www.sec.gov/Archives/edgar/data/1438423/000155837020009726/mram-20200630xex4d3.htm" TargetMode="External"/><Relationship Id="rId88" Type="http://schemas.openxmlformats.org/officeDocument/2006/relationships/hyperlink" Target="https://www.sec.gov/Archives/edgar/data/1438423/000155837021002369/mram-20201231xex4d4.htm" TargetMode="External"/><Relationship Id="rId89" Type="http://schemas.openxmlformats.org/officeDocument/2006/relationships/hyperlink" Target="http://www.sec.gov/Archives/edgar/data/1438423/000119312516706479/d180963dex101.htm" TargetMode="External"/><Relationship Id="rId90" Type="http://schemas.openxmlformats.org/officeDocument/2006/relationships/hyperlink" Target="http://www.sec.gov/Archives/edgar/data/1438423/000119312516718974/d180963dex102.htm" TargetMode="External"/><Relationship Id="rId91" Type="http://schemas.openxmlformats.org/officeDocument/2006/relationships/hyperlink" Target="http://www.sec.gov/Archives/edgar/data/1438423/000119312518170723/d591823dex101.htm" TargetMode="External"/><Relationship Id="rId92" Type="http://schemas.openxmlformats.org/officeDocument/2006/relationships/hyperlink" Target="https://www.sec.gov/Archives/edgar/data/1438423/000110465921071785/tm2117465d1_10-1.htm" TargetMode="External"/><Relationship Id="rId93" Type="http://schemas.openxmlformats.org/officeDocument/2006/relationships/hyperlink" Target="http://www.sec.gov/Archives/edgar/data/1438423/000119312516718974/d180963dex103.htm" TargetMode="External"/><Relationship Id="rId94" Type="http://schemas.openxmlformats.org/officeDocument/2006/relationships/hyperlink" Target="http://www.sec.gov/Archives/edgar/data/1438423/000155837017008862/mram-20170930ex103cdc87e.htm" TargetMode="External"/><Relationship Id="rId95" Type="http://schemas.openxmlformats.org/officeDocument/2006/relationships/hyperlink" Target="http://www.sec.gov/Archives/edgar/data/1438423/000119312516718974/d180963dex104.htm" TargetMode="External"/><Relationship Id="rId98" Type="http://schemas.openxmlformats.org/officeDocument/2006/relationships/hyperlink" Target="http://www.sec.gov/Archives/edgar/data/1438423/000119312516706479/d180963dex105.htm" TargetMode="External"/><Relationship Id="rId99" Type="http://schemas.openxmlformats.org/officeDocument/2006/relationships/hyperlink" Target="http://www.sec.gov/Archives/edgar/data/1438423/000119312516706479/d180963dex106.htm" TargetMode="External"/><Relationship Id="rId100" Type="http://schemas.openxmlformats.org/officeDocument/2006/relationships/hyperlink" Target="http://www.sec.gov/Archives/edgar/data/1438423/000119312516706479/d180963dex107.htm" TargetMode="External"/><Relationship Id="rId101" Type="http://schemas.openxmlformats.org/officeDocument/2006/relationships/hyperlink" Target="http://www.sec.gov/Archives/edgar/data/1438423/000119312516706479/d180963dex108.htm" TargetMode="External"/><Relationship Id="rId102" Type="http://schemas.openxmlformats.org/officeDocument/2006/relationships/hyperlink" Target="http://www.sec.gov/Archives/edgar/data/1438423/000119312516706479/d180963dex109.htm" TargetMode="External"/><Relationship Id="rId103" Type="http://schemas.openxmlformats.org/officeDocument/2006/relationships/hyperlink" Target="http://www.sec.gov/Archives/edgar/data/1438423/000119312517099843/d309079dex101.htm" TargetMode="External"/><Relationship Id="rId104" Type="http://schemas.openxmlformats.org/officeDocument/2006/relationships/hyperlink" Target="http://www.sec.gov/Archives/edgar/data/1438423/000155837018002138/mram-20171231ex10404e19d.htm" TargetMode="External"/><Relationship Id="rId105" Type="http://schemas.openxmlformats.org/officeDocument/2006/relationships/hyperlink" Target="http://www.sec.gov/Archives/edgar/data/1438423/000155837018009316/mram-20180930ex101843130.htm" TargetMode="External"/><Relationship Id="rId106" Type="http://schemas.openxmlformats.org/officeDocument/2006/relationships/hyperlink" Target="https://www.sec.gov/Archives/edgar/data/1438423/000155837020002576/mram-20191231ex1015b3826.htm" TargetMode="External"/><Relationship Id="rId107" Type="http://schemas.openxmlformats.org/officeDocument/2006/relationships/hyperlink" Target="https://www.sec.gov/Archives/edgar/data/1438423/000155837020009726/mram-20200630xex10d2.htm" TargetMode="External"/><Relationship Id="rId109" Type="http://schemas.openxmlformats.org/officeDocument/2006/relationships/hyperlink" Target="http://www.sec.gov/Archives/edgar/data/1438423/000155837019010452/mram-20190930ex101645494.htm" TargetMode="External"/><Relationship Id="rId110" Type="http://schemas.openxmlformats.org/officeDocument/2006/relationships/hyperlink" Target="https://www.sec.gov/Archives/edgar/data/1438423/000155837020009726/mram-20200630xex10d3.htm" TargetMode="External"/><Relationship Id="rId111" Type="http://schemas.openxmlformats.org/officeDocument/2006/relationships/hyperlink" Target="https://www.sec.gov/Archives/edgar/data/1438423/000155837021011516/mram-20210630xex10d5.htm" TargetMode="External"/><Relationship Id="rId112" Type="http://schemas.openxmlformats.org/officeDocument/2006/relationships/hyperlink" Target="https://www.sec.gov/Archives/edgar/data/1438423/000155837022013465/mram-20220630xex10d1.htm" TargetMode="External"/><Relationship Id="rId113" Type="http://schemas.openxmlformats.org/officeDocument/2006/relationships/hyperlink" Target="http://www.sec.gov/Archives/edgar/data/1438423/000119312516706479/d180963dex1017.htm" TargetMode="External"/><Relationship Id="rId114" Type="http://schemas.openxmlformats.org/officeDocument/2006/relationships/hyperlink" Target="http://www.sec.gov/Archives/edgar/data/1438423/000119312516706479/d180963dex1022.htm" TargetMode="External"/><Relationship Id="rId115" Type="http://schemas.openxmlformats.org/officeDocument/2006/relationships/hyperlink" Target="http://www.sec.gov/Archives/edgar/data/1438423/000119312517099844/d365467dex101.htm" TargetMode="External"/><Relationship Id="rId116" Type="http://schemas.openxmlformats.org/officeDocument/2006/relationships/hyperlink" Target="https://www.sec.gov/Archives/edgar/data/1438423/000119312517099844/d365467dex102.htm" TargetMode="External"/><Relationship Id="rId118" Type="http://schemas.openxmlformats.org/officeDocument/2006/relationships/hyperlink" Target="https://www.sec.gov/Archives/edgar/data/1438423/000119312517099844/d365467dex103.htm" TargetMode="External"/><Relationship Id="rId119" Type="http://schemas.openxmlformats.org/officeDocument/2006/relationships/hyperlink" Target="http://www.sec.gov/Archives/edgar/data/1438423/000155837018002138/mram-20171231ex10398040a.htm" TargetMode="External"/><Relationship Id="rId120" Type="http://schemas.openxmlformats.org/officeDocument/2006/relationships/hyperlink" Target="http://www.sec.gov/Archives/edgar/data/1438423/000119312516706479/d180963dex1018.htm" TargetMode="External"/><Relationship Id="rId121" Type="http://schemas.openxmlformats.org/officeDocument/2006/relationships/hyperlink" Target="http://www.sec.gov/Archives/edgar/data/1438423/000119312516706479/d180963dex1019.htm" TargetMode="External"/><Relationship Id="rId122" Type="http://schemas.openxmlformats.org/officeDocument/2006/relationships/hyperlink" Target="https://www.sec.gov/Archives/edgar/data/1438423/000155837021002369/mram-20201231xex10d11d2.htm" TargetMode="External"/><Relationship Id="rId123" Type="http://schemas.openxmlformats.org/officeDocument/2006/relationships/hyperlink" Target="http://www.sec.gov/Archives/edgar/data/1438423/000155837019002175/mram-20181231ex10276b5d5.htm" TargetMode="External"/><Relationship Id="rId124" Type="http://schemas.openxmlformats.org/officeDocument/2006/relationships/hyperlink" Target="https://www.sec.gov/Archives/edgar/data/1438423/000155837021002369/mram-20201231xex10d11d4.htm" TargetMode="External"/><Relationship Id="rId125" Type="http://schemas.openxmlformats.org/officeDocument/2006/relationships/hyperlink" Target="http://www.sec.gov/Archives/edgar/data/1438423/000119312516706479/d180963dex1020.htm" TargetMode="External"/><Relationship Id="rId126" Type="http://schemas.openxmlformats.org/officeDocument/2006/relationships/hyperlink" Target="http://www.sec.gov/Archives/edgar/data/1438423/000119312516706479/d180963dex1021.htm" TargetMode="External"/><Relationship Id="rId128" Type="http://schemas.openxmlformats.org/officeDocument/2006/relationships/hyperlink" Target="http://www.sec.gov/Archives/edgar/data/1438423/000119312516718974/d180963dex1023.htm" TargetMode="External"/><Relationship Id="rId129" Type="http://schemas.openxmlformats.org/officeDocument/2006/relationships/hyperlink" Target="https://www.sec.gov/Archives/edgar/data/1438423/000155837022017466/mram-20220930xex10d2.htm" TargetMode="External"/><Relationship Id="rId130" Type="http://schemas.openxmlformats.org/officeDocument/2006/relationships/hyperlink" Target="https://www.sec.gov/Archives/edgar/data/1438423/000155837019007501/mram-20190630ex10225a528.htm" TargetMode="External"/><Relationship Id="rId131" Type="http://schemas.openxmlformats.org/officeDocument/2006/relationships/hyperlink" Target="https://www.sec.gov/Archives/edgar/data/1438423/000155837021002369/mram-20201231xex10d26.htm" TargetMode="External"/><Relationship Id="rId132" Type="http://schemas.openxmlformats.org/officeDocument/2006/relationships/hyperlink" Target="https://www.sec.gov/Archives/edgar/data/1438423/000110465921094559/tm2122756d1_ex10-1.htm" TargetMode="External"/><Relationship Id="rId133" Type="http://schemas.openxmlformats.org/officeDocument/2006/relationships/hyperlink" Target="https://www.sec.gov/Archives/edgar/data/1438423/000110465921094559/tm2122756d1_ex10-2.htm" TargetMode="External"/><Relationship Id="rId134" Type="http://schemas.openxmlformats.org/officeDocument/2006/relationships/hyperlink" Target="https://www.sec.gov/Archives/edgar/data/1438423/000110465922029376/tm228006d1_ex10-1.htm" TargetMode="External"/><Relationship Id="rId135" Type="http://schemas.openxmlformats.org/officeDocument/2006/relationships/hyperlink" Target="https://www.sec.gov/Archives/edgar/data/1438423/000110465922029376/tm228006d1_ex10-2.htm" TargetMode="External"/><Relationship Id="rId136" Type="http://schemas.openxmlformats.org/officeDocument/2006/relationships/hyperlink" Target="https://www.sec.gov/Archives/edgar/data/1438423/000110465922029376/tm228006d1_ex10-3.htm" TargetMode="External"/><Relationship Id="rId137" Type="http://schemas.openxmlformats.org/officeDocument/2006/relationships/hyperlink" Target="https://www.sec.gov/Archives/edgar/data/1438423/000110465922029376/tm228006d1_ex10-4.htm" TargetMode="External"/><Relationship Id="rId138" Type="http://schemas.openxmlformats.org/officeDocument/2006/relationships/hyperlink" Target="https://www.sec.gov/ix?doc=/Archives/edgar/data/0001438423/000110465922059468/tm2215349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2023-03-02T16:32:46Z</dcterms:created>
  <dcterms:modified xsi:type="dcterms:W3CDTF">2023-03-02T16:32:46Z</dcterms:modified>
</cp:coreProperties>
</file>