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383540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64770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62"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2510155</wp:posOffset>
            </wp:positionH>
            <wp:positionV relativeFrom="paragraph">
              <wp:posOffset>92710</wp:posOffset>
            </wp:positionV>
            <wp:extent cx="1586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29" w:lineRule="exact"/>
        <w:rPr>
          <w:sz w:val="24"/>
          <w:szCs w:val="24"/>
          <w:color w:val="auto"/>
        </w:rPr>
      </w:pPr>
    </w:p>
    <w:p>
      <w:pPr>
        <w:ind w:left="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449" w:right="140" w:hanging="449"/>
        <w:spacing w:after="0" w:line="243" w:lineRule="auto"/>
        <w:tabs>
          <w:tab w:leader="none" w:pos="629"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1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449" w:right="120" w:hanging="449"/>
        <w:spacing w:after="0" w:line="256" w:lineRule="auto"/>
        <w:tabs>
          <w:tab w:leader="none" w:pos="629"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349"/>
        <w:spacing w:after="0"/>
        <w:tabs>
          <w:tab w:leader="none" w:pos="628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3637280</wp:posOffset>
            </wp:positionH>
            <wp:positionV relativeFrom="paragraph">
              <wp:posOffset>-7620</wp:posOffset>
            </wp:positionV>
            <wp:extent cx="838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196" w:lineRule="exact"/>
        <w:rPr>
          <w:sz w:val="24"/>
          <w:szCs w:val="24"/>
          <w:color w:val="auto"/>
        </w:rPr>
      </w:pPr>
    </w:p>
    <w:p>
      <w:pPr>
        <w:jc w:val="center"/>
        <w:ind w:right="-8"/>
        <w:spacing w:after="0"/>
        <w:rPr>
          <w:sz w:val="20"/>
          <w:szCs w:val="20"/>
          <w:color w:val="auto"/>
        </w:rPr>
      </w:pPr>
      <w:r>
        <w:rPr>
          <w:rFonts w:ascii="Arial" w:cs="Arial" w:eastAsia="Arial" w:hAnsi="Arial"/>
          <w:sz w:val="16"/>
          <w:szCs w:val="16"/>
          <w:b w:val="1"/>
          <w:bCs w:val="1"/>
          <w:color w:val="auto"/>
        </w:rPr>
        <w:t>Commission File Number 001-37900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88900</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9" w:lineRule="exact"/>
        <w:rPr>
          <w:sz w:val="24"/>
          <w:szCs w:val="24"/>
          <w:color w:val="auto"/>
        </w:rPr>
      </w:pPr>
    </w:p>
    <w:p>
      <w:pPr>
        <w:jc w:val="center"/>
        <w:ind w:right="-8"/>
        <w:spacing w:after="0"/>
        <w:rPr>
          <w:sz w:val="20"/>
          <w:szCs w:val="20"/>
          <w:color w:val="auto"/>
        </w:rPr>
      </w:pPr>
      <w:r>
        <w:rPr>
          <w:rFonts w:ascii="Arial" w:cs="Arial" w:eastAsia="Arial" w:hAnsi="Arial"/>
          <w:sz w:val="43"/>
          <w:szCs w:val="43"/>
          <w:b w:val="1"/>
          <w:bCs w:val="1"/>
          <w:color w:val="auto"/>
        </w:rPr>
        <w:t>Everspin Technologies, Inc.</w:t>
      </w:r>
    </w:p>
    <w:p>
      <w:pPr>
        <w:spacing w:after="0" w:line="5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73025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1269" w:type="dxa"/>
        <w:tblCellMar>
          <w:top w:w="0" w:type="dxa"/>
          <w:left w:w="0" w:type="dxa"/>
          <w:bottom w:w="0" w:type="dxa"/>
          <w:right w:w="0" w:type="dxa"/>
        </w:tblCellMar>
      </w:tblPr>
      <w:tr>
        <w:trPr>
          <w:trHeight w:val="216"/>
        </w:trPr>
        <w:tc>
          <w:tcPr>
            <w:tcW w:w="4220" w:type="dxa"/>
            <w:vAlign w:val="bottom"/>
          </w:tcPr>
          <w:p>
            <w:pPr>
              <w:jc w:val="center"/>
              <w:ind w:right="157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89"/>
              </w:rPr>
              <w:t>26-2640654</w:t>
            </w:r>
          </w:p>
        </w:tc>
      </w:tr>
      <w:tr>
        <w:trPr>
          <w:trHeight w:val="216"/>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(State or other jurisdiction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of incorporation or organization)</w:t>
            </w:r>
          </w:p>
        </w:tc>
        <w:tc>
          <w:tcPr>
            <w:tcW w:w="3080" w:type="dxa"/>
            <w:vAlign w:val="bottom"/>
          </w:tcPr>
          <w:p>
            <w:pPr>
              <w:jc w:val="center"/>
              <w:ind w:left="15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1347 N. Alma School Road, Suite 220</w:t>
      </w:r>
    </w:p>
    <w:p>
      <w:pPr>
        <w:spacing w:after="0" w:line="27"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Chandler, Arizona 85224</w:t>
      </w:r>
    </w:p>
    <w:p>
      <w:pPr>
        <w:spacing w:after="0" w:line="9"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16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Registrant’s telephone number, including area code: (480) 347-1111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85725</wp:posOffset>
            </wp:positionV>
            <wp:extent cx="1655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36" w:lineRule="exact"/>
        <w:rPr>
          <w:sz w:val="24"/>
          <w:szCs w:val="24"/>
          <w:color w:val="auto"/>
        </w:rPr>
      </w:pPr>
    </w:p>
    <w:p>
      <w:pPr>
        <w:jc w:val="both"/>
        <w:ind w:left="9"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left="9" w:right="100"/>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left="9" w:right="28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Layout w:type="fixed"/>
        <w:tblInd w:w="9" w:type="dxa"/>
        <w:tblCellMar>
          <w:top w:w="0" w:type="dxa"/>
          <w:left w:w="0" w:type="dxa"/>
          <w:bottom w:w="0" w:type="dxa"/>
          <w:right w:w="0" w:type="dxa"/>
        </w:tblCellMar>
      </w:tblPr>
      <w:tr>
        <w:trPr>
          <w:trHeight w:val="174"/>
        </w:trPr>
        <w:tc>
          <w:tcPr>
            <w:tcW w:w="1720" w:type="dxa"/>
            <w:vAlign w:val="bottom"/>
          </w:tcPr>
          <w:p>
            <w:pPr>
              <w:spacing w:after="0" w:line="175" w:lineRule="exact"/>
              <w:rPr>
                <w:sz w:val="20"/>
                <w:szCs w:val="20"/>
                <w:color w:val="auto"/>
              </w:rPr>
            </w:pPr>
            <w:r>
              <w:rPr>
                <w:rFonts w:ascii="Arial" w:cs="Arial" w:eastAsia="Arial" w:hAnsi="Arial"/>
                <w:sz w:val="18"/>
                <w:szCs w:val="18"/>
                <w:color w:val="auto"/>
                <w:w w:val="95"/>
              </w:rPr>
              <w:t>Large accelerated filer</w:t>
            </w:r>
          </w:p>
        </w:tc>
        <w:tc>
          <w:tcPr>
            <w:tcW w:w="4640" w:type="dxa"/>
            <w:vAlign w:val="bottom"/>
          </w:tcPr>
          <w:p>
            <w:pPr>
              <w:ind w:left="100"/>
              <w:spacing w:after="0" w:line="174"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1080"/>
              <w:spacing w:after="0" w:line="175" w:lineRule="exact"/>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74"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464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780" w:type="dxa"/>
            <w:vAlign w:val="bottom"/>
          </w:tcPr>
          <w:p>
            <w:pPr>
              <w:ind w:left="1080"/>
              <w:spacing w:after="0"/>
              <w:rPr>
                <w:sz w:val="20"/>
                <w:szCs w:val="20"/>
                <w:color w:val="auto"/>
              </w:rPr>
            </w:pPr>
            <w:r>
              <w:rPr>
                <w:rFonts w:ascii="Arial" w:cs="Arial" w:eastAsia="Arial" w:hAnsi="Arial"/>
                <w:sz w:val="18"/>
                <w:szCs w:val="18"/>
                <w:color w:val="auto"/>
              </w:rPr>
              <w:t>Small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78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9"/>
        </w:trPr>
        <w:tc>
          <w:tcPr>
            <w:tcW w:w="10140" w:type="dxa"/>
            <w:vAlign w:val="bottom"/>
            <w:gridSpan w:val="3"/>
          </w:tcPr>
          <w:p>
            <w:pPr>
              <w:spacing w:after="0"/>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p>
        </w:tc>
        <w:tc>
          <w:tcPr>
            <w:tcW w:w="240" w:type="dxa"/>
            <w:vAlign w:val="bottom"/>
          </w:tcPr>
          <w:p>
            <w:pPr>
              <w:spacing w:after="0"/>
              <w:rPr>
                <w:sz w:val="20"/>
                <w:szCs w:val="20"/>
                <w:color w:val="auto"/>
              </w:rPr>
            </w:pPr>
          </w:p>
        </w:tc>
      </w:tr>
    </w:tbl>
    <w:p>
      <w:pPr>
        <w:spacing w:after="0" w:line="156" w:lineRule="exact"/>
        <w:rPr>
          <w:sz w:val="24"/>
          <w:szCs w:val="24"/>
          <w:color w:val="auto"/>
        </w:rPr>
      </w:pPr>
    </w:p>
    <w:p>
      <w:pPr>
        <w:ind w:left="9"/>
        <w:spacing w:after="0" w:line="207" w:lineRule="exact"/>
        <w:tabs>
          <w:tab w:leader="none" w:pos="8388" w:val="left"/>
          <w:tab w:leader="none" w:pos="9168"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44" w:lineRule="exact"/>
        <w:rPr>
          <w:sz w:val="24"/>
          <w:szCs w:val="24"/>
          <w:color w:val="auto"/>
        </w:rPr>
      </w:pPr>
    </w:p>
    <w:p>
      <w:pPr>
        <w:ind w:left="9"/>
        <w:spacing w:after="0"/>
        <w:rPr>
          <w:sz w:val="20"/>
          <w:szCs w:val="20"/>
          <w:color w:val="auto"/>
        </w:rPr>
      </w:pPr>
      <w:r>
        <w:rPr>
          <w:rFonts w:ascii="Arial" w:cs="Arial" w:eastAsia="Arial" w:hAnsi="Arial"/>
          <w:sz w:val="18"/>
          <w:szCs w:val="18"/>
          <w:color w:val="auto"/>
        </w:rPr>
        <w:t>The number of shares of Registrant’s Common Stock outstanding as of August 8, 2017 was 12,674,391.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332105</wp:posOffset>
            </wp:positionV>
            <wp:extent cx="66122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9"/>
          </w:cols>
          <w:pgMar w:left="751" w:top="233" w:right="75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40" w:type="dxa"/>
            <w:vAlign w:val="bottom"/>
            <w:gridSpan w:val="14"/>
            <w:vMerge w:val="restart"/>
          </w:tcPr>
          <w:p>
            <w:pPr>
              <w:jc w:val="center"/>
              <w:ind w:right="17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40" w:type="dxa"/>
            <w:vAlign w:val="bottom"/>
            <w:gridSpan w:val="14"/>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15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720" w:type="dxa"/>
            <w:vAlign w:val="bottom"/>
            <w:gridSpan w:val="2"/>
          </w:tcPr>
          <w:p>
            <w:pPr>
              <w:spacing w:after="0"/>
              <w:rPr>
                <w:sz w:val="18"/>
                <w:szCs w:val="18"/>
                <w:color w:val="auto"/>
              </w:rPr>
            </w:pPr>
          </w:p>
        </w:tc>
        <w:tc>
          <w:tcPr>
            <w:tcW w:w="3140" w:type="dxa"/>
            <w:vAlign w:val="bottom"/>
            <w:tcBorders>
              <w:top w:val="single" w:sz="8" w:color="0000EE"/>
            </w:tcBorders>
            <w:gridSpan w:val="8"/>
          </w:tcPr>
          <w:p>
            <w:pPr>
              <w:spacing w:after="0"/>
              <w:rPr>
                <w:sz w:val="18"/>
                <w:szCs w:val="18"/>
                <w:color w:val="auto"/>
              </w:rPr>
            </w:pPr>
          </w:p>
        </w:tc>
        <w:tc>
          <w:tcPr>
            <w:tcW w:w="2240" w:type="dxa"/>
            <w:vAlign w:val="bottom"/>
            <w:gridSpan w:val="5"/>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June 30, 2017 (unaudited) and December 31, 2016</w:t>
              </w:r>
            </w:hyperlink>
          </w:p>
        </w:tc>
        <w:tc>
          <w:tcPr>
            <w:tcW w:w="1280" w:type="dxa"/>
            <w:vAlign w:val="bottom"/>
            <w:gridSpan w:val="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and Comprehensive Loss for the three and six months ended</w:t>
              </w:r>
            </w:hyperlink>
          </w:p>
        </w:tc>
        <w:tc>
          <w:tcPr>
            <w:tcW w:w="24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2017 and 2016 (unaudited)</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six months ended June 30, 2017 and 2016 (unaudited)</w:t>
              </w:r>
            </w:hyperlink>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Condensed Financial Statements (unaudited)</w:t>
              </w:r>
            </w:hyperlink>
          </w:p>
        </w:tc>
        <w:tc>
          <w:tcPr>
            <w:tcW w:w="3420" w:type="dxa"/>
            <w:vAlign w:val="bottom"/>
            <w:gridSpan w:val="9"/>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8"/>
                <w:szCs w:val="18"/>
                <w:color w:val="auto"/>
              </w:rPr>
            </w:pPr>
          </w:p>
        </w:tc>
        <w:tc>
          <w:tcPr>
            <w:tcW w:w="1160" w:type="dxa"/>
            <w:vAlign w:val="bottom"/>
            <w:gridSpan w:val="3"/>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762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II—OTHER INFORMATION</w:t>
              </w:r>
            </w:hyperlink>
          </w:p>
        </w:tc>
        <w:tc>
          <w:tcPr>
            <w:tcW w:w="2380" w:type="dxa"/>
            <w:vAlign w:val="bottom"/>
            <w:gridSpan w:val="6"/>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2.</w:t>
              </w:r>
            </w:hyperlink>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3260" w:type="dxa"/>
            <w:vAlign w:val="bottom"/>
            <w:gridSpan w:val="8"/>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500" w:type="dxa"/>
            <w:vAlign w:val="bottom"/>
            <w:gridSpan w:val="2"/>
          </w:tcPr>
          <w:p>
            <w:pPr>
              <w:spacing w:after="0"/>
              <w:rPr>
                <w:sz w:val="18"/>
                <w:szCs w:val="18"/>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Defaults Upon Senior Securities</w:t>
              </w:r>
            </w:hyperlink>
          </w:p>
        </w:tc>
        <w:tc>
          <w:tcPr>
            <w:tcW w:w="5280" w:type="dxa"/>
            <w:vAlign w:val="bottom"/>
            <w:gridSpan w:val="12"/>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500" w:type="dxa"/>
            <w:vAlign w:val="bottom"/>
            <w:gridSpan w:val="2"/>
          </w:tcPr>
          <w:p>
            <w:pPr>
              <w:spacing w:after="0"/>
              <w:rPr>
                <w:sz w:val="18"/>
                <w:szCs w:val="18"/>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Mine Safety Disclosures</w:t>
              </w:r>
            </w:hyperlink>
          </w:p>
        </w:tc>
        <w:tc>
          <w:tcPr>
            <w:tcW w:w="5840" w:type="dxa"/>
            <w:vAlign w:val="bottom"/>
            <w:gridSpan w:val="14"/>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20" w:type="dxa"/>
            <w:vAlign w:val="bottom"/>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500" w:type="dxa"/>
            <w:vAlign w:val="bottom"/>
            <w:gridSpan w:val="2"/>
          </w:tcPr>
          <w:p>
            <w:pPr>
              <w:spacing w:after="0"/>
              <w:rPr>
                <w:sz w:val="18"/>
                <w:szCs w:val="18"/>
                <w:color w:val="auto"/>
              </w:rPr>
            </w:pPr>
          </w:p>
        </w:tc>
        <w:tc>
          <w:tcPr>
            <w:tcW w:w="762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Item 6.</w:t>
              </w:r>
            </w:hyperlink>
          </w:p>
        </w:tc>
        <w:tc>
          <w:tcPr>
            <w:tcW w:w="500" w:type="dxa"/>
            <w:vAlign w:val="bottom"/>
            <w:gridSpan w:val="2"/>
          </w:tcPr>
          <w:p>
            <w:pPr>
              <w:spacing w:after="0"/>
              <w:rPr>
                <w:sz w:val="18"/>
                <w:szCs w:val="18"/>
                <w:color w:val="auto"/>
              </w:rPr>
            </w:pPr>
          </w:p>
        </w:tc>
        <w:tc>
          <w:tcPr>
            <w:tcW w:w="1340" w:type="dxa"/>
            <w:vAlign w:val="bottom"/>
            <w:tcBorders>
              <w:top w:val="single" w:sz="8" w:color="0000EE"/>
            </w:tcBorders>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6280" w:type="dxa"/>
            <w:vAlign w:val="bottom"/>
            <w:gridSpan w:val="16"/>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0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20" w:type="dxa"/>
            <w:vAlign w:val="bottom"/>
            <w:gridSpan w:val="2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 INDEX</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In this Quarterly Report on Form 10-Q, “we,” “our,” “us,” “Everspin Technologies,”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88"/>
              </w:rPr>
              <w:t>(See Note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21,176</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from related parties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36,747</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Amounts due to related parties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Deferred income on shipments to distributors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Preferred stock, $0.0001 par value per share; 5,000,000 shares authorized as of</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2017 and December 31, 2016; no shares issued and outstanding as of</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30, 2017 and December 31, 2016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40" w:type="dxa"/>
            <w:vAlign w:val="bottom"/>
          </w:tcPr>
          <w:p>
            <w:pPr>
              <w:ind w:left="100"/>
              <w:spacing w:after="0" w:line="201" w:lineRule="exact"/>
              <w:rPr>
                <w:sz w:val="20"/>
                <w:szCs w:val="20"/>
                <w:color w:val="auto"/>
              </w:rPr>
            </w:pPr>
            <w:r>
              <w:rPr>
                <w:rFonts w:ascii="Arial" w:cs="Arial" w:eastAsia="Arial" w:hAnsi="Arial"/>
                <w:sz w:val="18"/>
                <w:szCs w:val="18"/>
                <w:color w:val="auto"/>
                <w:w w:val="97"/>
              </w:rPr>
              <w:t>Common stock, $0.0001 par value per share; 100,000,000 shares authorized as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w w:val="92"/>
              </w:rPr>
              <w:t>June 30, 2017 and December 31, 2016; 12,674,391 and 12,498,128 shares issued and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100"/>
              <w:spacing w:after="0"/>
              <w:rPr>
                <w:sz w:val="20"/>
                <w:szCs w:val="20"/>
                <w:color w:val="auto"/>
              </w:rPr>
            </w:pPr>
            <w:r>
              <w:rPr>
                <w:rFonts w:ascii="Arial" w:cs="Arial" w:eastAsia="Arial" w:hAnsi="Arial"/>
                <w:sz w:val="18"/>
                <w:szCs w:val="18"/>
                <w:color w:val="auto"/>
              </w:rPr>
              <w:t>outstanding as of June 30, 2017 and December 31, 2016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36,747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41,472</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EVERSPIN TECHNOLOGIES, INC. Condensed Statements of Operations and Comprehensive Loss (In thousands, except share and per share amounts) (Unaudited)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3"/>
              </w:rPr>
              <w:t>Product sales (including related party sales of $627 and $0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0"/>
              </w:rPr>
              <w:t>for the three months ended June 30, 2017 and 2016, $1,199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0"/>
              </w:rPr>
              <w:t>and $735 for the six months ended June 30, 2017 and 2016,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80" w:type="dxa"/>
            <w:vAlign w:val="bottom"/>
          </w:tcPr>
          <w:p>
            <w:pPr>
              <w:spacing w:after="0" w:line="201" w:lineRule="exact"/>
              <w:rPr>
                <w:sz w:val="20"/>
                <w:szCs w:val="20"/>
                <w:color w:val="auto"/>
              </w:rPr>
            </w:pPr>
            <w:r>
              <w:rPr>
                <w:rFonts w:ascii="Arial" w:cs="Arial" w:eastAsia="Arial" w:hAnsi="Arial"/>
                <w:sz w:val="18"/>
                <w:szCs w:val="18"/>
                <w:color w:val="auto"/>
              </w:rPr>
              <w:t>Licensing and royalty revenue (including related party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revenue of $650 and $0 for the 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3"/>
              </w:rPr>
              <w:t>June 30, 2017 and 2016, $1,219 and $0 for the six months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ended June 30, 2017 and 2016, respectively)</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common share, basic and diluted</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8"/>
              </w:rPr>
              <w:t>Weighted-average shares used to compute net loss per</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12,413,524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2,557,029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12,357,066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2,555,397</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 basic and diluted</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Six Months Ended</w:t>
      </w:r>
    </w:p>
    <w:p>
      <w:pPr>
        <w:ind w:left="73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Net loss</w:t>
            </w:r>
          </w:p>
        </w:tc>
        <w:tc>
          <w:tcPr>
            <w:tcW w:w="4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(11,273)</w:t>
            </w:r>
          </w:p>
        </w:tc>
        <w:tc>
          <w:tcPr>
            <w:tcW w:w="260" w:type="dxa"/>
            <w:vAlign w:val="bottom"/>
          </w:tcPr>
          <w:p>
            <w:pPr>
              <w:spacing w:after="0"/>
              <w:rPr>
                <w:sz w:val="17"/>
                <w:szCs w:val="17"/>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(9,956)</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380</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 on disposal of property and equipment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Non-cash loss on extinguishment of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derivative liability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Non-cash interest expense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related to vesting of common stock to GLOBALFOUNDRIES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Amounts due from related parties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967</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liabilities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Amounts due to related parties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2,197</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on shipments to distributors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r>
      <w:tr>
        <w:trPr>
          <w:trHeight w:val="196"/>
        </w:trPr>
        <w:tc>
          <w:tcPr>
            <w:tcW w:w="61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80" w:type="dxa"/>
            <w:vAlign w:val="bottom"/>
            <w:tcBorders>
              <w:top w:val="single" w:sz="8" w:color="CCEEFF"/>
            </w:tcBorders>
            <w:shd w:val="clear" w:color="auto" w:fill="CCEEFF"/>
          </w:tcPr>
          <w:p>
            <w:pPr>
              <w:spacing w:after="0"/>
              <w:rPr>
                <w:sz w:val="17"/>
                <w:szCs w:val="17"/>
                <w:color w:val="auto"/>
              </w:rPr>
            </w:pPr>
          </w:p>
        </w:tc>
      </w:tr>
      <w:tr>
        <w:trPr>
          <w:trHeight w:val="190"/>
        </w:trPr>
        <w:tc>
          <w:tcPr>
            <w:tcW w:w="61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280" w:type="dxa"/>
            <w:vAlign w:val="bottom"/>
            <w:shd w:val="clear" w:color="auto" w:fill="CCEEFF"/>
          </w:tcPr>
          <w:p>
            <w:pPr>
              <w:spacing w:after="0"/>
              <w:rPr>
                <w:sz w:val="18"/>
                <w:szCs w:val="18"/>
                <w:color w:val="auto"/>
              </w:rPr>
            </w:pPr>
          </w:p>
        </w:tc>
      </w:tr>
      <w:tr>
        <w:trPr>
          <w:trHeight w:val="196"/>
        </w:trPr>
        <w:tc>
          <w:tcPr>
            <w:tcW w:w="6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280" w:type="dxa"/>
            <w:vAlign w:val="bottom"/>
            <w:tcBorders>
              <w:bottom w:val="single" w:sz="8" w:color="CCEEFF"/>
            </w:tcBorders>
          </w:tcPr>
          <w:p>
            <w:pPr>
              <w:spacing w:after="0"/>
              <w:rPr>
                <w:sz w:val="17"/>
                <w:szCs w:val="17"/>
                <w:color w:val="auto"/>
              </w:rPr>
            </w:pP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Proceeds from convertible promissory notes-related party</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debt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Payments on debt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(8,356)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Payments of debt issuance costs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6"/>
                <w:szCs w:val="16"/>
                <w:color w:val="auto"/>
              </w:rPr>
              <w:t>Payments on capital lease obligation</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Payments of deferred offering costs</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280" w:type="dxa"/>
            <w:vAlign w:val="bottom"/>
            <w:shd w:val="clear" w:color="auto" w:fill="CCEEFF"/>
          </w:tcPr>
          <w:p>
            <w:pPr>
              <w:spacing w:after="0"/>
              <w:rPr>
                <w:sz w:val="17"/>
                <w:szCs w:val="17"/>
                <w:color w:val="auto"/>
              </w:rPr>
            </w:pPr>
          </w:p>
        </w:tc>
      </w:tr>
      <w:tr>
        <w:trPr>
          <w:trHeight w:val="193"/>
        </w:trPr>
        <w:tc>
          <w:tcPr>
            <w:tcW w:w="6180" w:type="dxa"/>
            <w:vAlign w:val="bottom"/>
          </w:tcPr>
          <w:p>
            <w:pPr>
              <w:spacing w:after="0"/>
              <w:rPr>
                <w:sz w:val="20"/>
                <w:szCs w:val="20"/>
                <w:color w:val="auto"/>
              </w:rPr>
            </w:pPr>
            <w:r>
              <w:rPr>
                <w:rFonts w:ascii="Arial" w:cs="Arial" w:eastAsia="Arial" w:hAnsi="Arial"/>
                <w:sz w:val="16"/>
                <w:szCs w:val="16"/>
                <w:color w:val="auto"/>
                <w:w w:val="93"/>
              </w:rPr>
              <w:t>Proceeds from exercise of stock options and purchase of shares in employee stock purchase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09"/>
        </w:trPr>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plan</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280" w:type="dxa"/>
            <w:vAlign w:val="bottom"/>
            <w:tcBorders>
              <w:bottom w:val="single" w:sz="8" w:color="CCEEFF"/>
            </w:tcBorders>
          </w:tcPr>
          <w:p>
            <w:pPr>
              <w:spacing w:after="0"/>
              <w:rPr>
                <w:sz w:val="18"/>
                <w:szCs w:val="18"/>
                <w:color w:val="auto"/>
              </w:rPr>
            </w:pPr>
          </w:p>
        </w:tc>
      </w:tr>
      <w:tr>
        <w:trPr>
          <w:trHeight w:val="199"/>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5,412</w:t>
            </w:r>
          </w:p>
        </w:tc>
        <w:tc>
          <w:tcPr>
            <w:tcW w:w="280" w:type="dxa"/>
            <w:vAlign w:val="bottom"/>
            <w:shd w:val="clear" w:color="auto" w:fill="CCEEFF"/>
          </w:tcPr>
          <w:p>
            <w:pPr>
              <w:spacing w:after="0"/>
              <w:rPr>
                <w:sz w:val="17"/>
                <w:szCs w:val="17"/>
                <w:color w:val="auto"/>
              </w:rPr>
            </w:pPr>
          </w:p>
        </w:tc>
      </w:tr>
      <w:tr>
        <w:trPr>
          <w:trHeight w:val="196"/>
        </w:trPr>
        <w:tc>
          <w:tcPr>
            <w:tcW w:w="6180" w:type="dxa"/>
            <w:vAlign w:val="bottom"/>
          </w:tcPr>
          <w:p>
            <w:pPr>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(8,551)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w:t>
            </w:r>
          </w:p>
        </w:tc>
        <w:tc>
          <w:tcPr>
            <w:tcW w:w="280" w:type="dxa"/>
            <w:vAlign w:val="bottom"/>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280" w:type="dxa"/>
            <w:vAlign w:val="bottom"/>
            <w:shd w:val="clear" w:color="auto" w:fill="CCEEFF"/>
          </w:tcPr>
          <w:p>
            <w:pPr>
              <w:spacing w:after="0"/>
              <w:rPr>
                <w:sz w:val="17"/>
                <w:szCs w:val="17"/>
                <w:color w:val="auto"/>
              </w:rPr>
            </w:pPr>
          </w:p>
        </w:tc>
      </w:tr>
      <w:tr>
        <w:trPr>
          <w:trHeight w:val="203"/>
        </w:trPr>
        <w:tc>
          <w:tcPr>
            <w:tcW w:w="6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21,176</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w:t>
            </w:r>
          </w:p>
        </w:tc>
        <w:tc>
          <w:tcPr>
            <w:tcW w:w="280" w:type="dxa"/>
            <w:vAlign w:val="bottom"/>
            <w:tcBorders>
              <w:bottom w:val="single" w:sz="8" w:color="CCEEFF"/>
            </w:tcBorders>
          </w:tcPr>
          <w:p>
            <w:pPr>
              <w:spacing w:after="0"/>
              <w:rPr>
                <w:sz w:val="17"/>
                <w:szCs w:val="17"/>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Supplementary cash flow information:</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rPr>
              <w:t>Interest paid</w:t>
            </w:r>
          </w:p>
        </w:tc>
        <w:tc>
          <w:tcPr>
            <w:tcW w:w="4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w:t>
            </w:r>
          </w:p>
        </w:tc>
        <w:tc>
          <w:tcPr>
            <w:tcW w:w="2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401</w:t>
            </w:r>
          </w:p>
        </w:tc>
        <w:tc>
          <w:tcPr>
            <w:tcW w:w="280" w:type="dxa"/>
            <w:vAlign w:val="bottom"/>
          </w:tcPr>
          <w:p>
            <w:pPr>
              <w:spacing w:after="0"/>
              <w:rPr>
                <w:sz w:val="18"/>
                <w:szCs w:val="18"/>
                <w:color w:val="auto"/>
              </w:rPr>
            </w:pPr>
          </w:p>
        </w:tc>
      </w:tr>
      <w:tr>
        <w:trPr>
          <w:trHeight w:val="203"/>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w w:val="93"/>
              </w:rPr>
              <w:t>Purchase of property and equipment in accounts payable and amounts due to related parties</w:t>
            </w:r>
          </w:p>
        </w:tc>
        <w:tc>
          <w:tcPr>
            <w:tcW w:w="4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Pr>
          <w:p>
            <w:pPr>
              <w:spacing w:after="0"/>
              <w:rPr>
                <w:sz w:val="18"/>
                <w:szCs w:val="18"/>
                <w:color w:val="auto"/>
              </w:rPr>
            </w:pPr>
          </w:p>
        </w:tc>
        <w:tc>
          <w:tcPr>
            <w:tcW w:w="240" w:type="dxa"/>
            <w:vAlign w:val="bottom"/>
            <w:gridSpan w:val="2"/>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r>
      <w:tr>
        <w:trPr>
          <w:trHeight w:val="223"/>
        </w:trPr>
        <w:tc>
          <w:tcPr>
            <w:tcW w:w="6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 of property and equipment under capital lease obligations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Everspin Technologies, Inc. (the “Company”) was incorporated in Delaware on May 16, 2008. The Company’s MRAM solutions offer the persistence of non-volatile memory with the speed and endurance of random access memory (“RAM”) and enable the protection of mission critical data particularly in the event of power interruption or failure. The Company’s MRAM solutions allow its customers in the industrial, automotive and transportation, and enterprise storage markets to design high performance, power efficient and reliable systems without the need for bulky batteries or capacitors.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continue as a going concern</w:t>
      </w:r>
    </w:p>
    <w:p>
      <w:pPr>
        <w:spacing w:after="0" w:line="225" w:lineRule="exact"/>
        <w:rPr>
          <w:sz w:val="20"/>
          <w:szCs w:val="20"/>
          <w:color w:val="auto"/>
        </w:rPr>
      </w:pPr>
    </w:p>
    <w:p>
      <w:pPr>
        <w:ind w:firstLine="401"/>
        <w:spacing w:after="0" w:line="290" w:lineRule="auto"/>
        <w:rPr>
          <w:sz w:val="20"/>
          <w:szCs w:val="20"/>
          <w:color w:val="auto"/>
        </w:rPr>
      </w:pPr>
      <w:r>
        <w:rPr>
          <w:rFonts w:ascii="Arial" w:cs="Arial" w:eastAsia="Arial" w:hAnsi="Arial"/>
          <w:sz w:val="16"/>
          <w:szCs w:val="16"/>
          <w:color w:val="auto"/>
        </w:rPr>
        <w:t>The Company believes that its existing cash and cash equivalents as of June 30, 2017, coupled with its anticipated growth and sales levels will be sufficient to meet its anticipated cash requirements through August 31, 2018. The Company’s future capital requirements beyond August 2018 will depend on many factors, including its growth rate, the timing and extent of its spending to support research and development activities, the timing and cost of establishing additional sales and marketing capabilities, and the introduction of new products. The Company may be required to seek additional equity or debt financing, and such additional financing may not be available on acceptable terms or at all. If the Company is unable to raise additional capital or generate sufficient cash from operations to adequately fund its operations, it will need to curtail planned activities to reduce costs. Doing so will likely harm its ability to execute on its business plan.</w:t>
      </w:r>
    </w:p>
    <w:p>
      <w:pPr>
        <w:spacing w:after="0" w:line="166" w:lineRule="exact"/>
        <w:rPr>
          <w:sz w:val="20"/>
          <w:szCs w:val="20"/>
          <w:color w:val="auto"/>
        </w:rPr>
      </w:pPr>
    </w:p>
    <w:p>
      <w:pPr>
        <w:ind w:right="160" w:firstLine="401"/>
        <w:spacing w:after="0" w:line="297" w:lineRule="auto"/>
        <w:rPr>
          <w:sz w:val="20"/>
          <w:szCs w:val="20"/>
          <w:color w:val="auto"/>
        </w:rPr>
      </w:pPr>
      <w:r>
        <w:rPr>
          <w:rFonts w:ascii="Arial" w:cs="Arial" w:eastAsia="Arial" w:hAnsi="Arial"/>
          <w:sz w:val="16"/>
          <w:szCs w:val="16"/>
          <w:color w:val="auto"/>
        </w:rPr>
        <w:t>If the Company raises additional funds through issuances of equity, convertible debt securities or other securities convertible into equity, its existing stockholders could suffer significant dilution in their percentage ownership of the Company, and any new equity securities issued could have rights, preferences and privileges senior to those of holders of common stock. If the Company is unable to obtain adequate financing or financing on satisfactory terms, when required, its ability to continue to grow or support its business and to respond to business challenges could be significantly limited.</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2016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and six months ended June 30, 2017 are not necessarily indicative of the results to be expected for the year ending December 31, 2017 or for any other interim period or for any other future year.</w:t>
      </w:r>
    </w:p>
    <w:p>
      <w:pPr>
        <w:spacing w:after="0" w:line="18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accompanying condensed financial statements and related financial information should be read in conjunction with the audited financial statements and the related notes thereto for the year ended December 31, 2016, included in the Company’s Annual Report on Form 10-K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during the reporting period. On an ongoing basis, management evaluates its estimates, including those related to revenue recognition, fair value of assets and liabilities, inventory, income taxes, common stock, and stock-based compensation. Actual results could differ from those estimates and assumptions.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The Company maintains its cash accounts with high credit quality financial institutions and, accordingly, minimal credit risk exists with respect to the financial institutions.</w:t>
      </w:r>
    </w:p>
    <w:p>
      <w:pPr>
        <w:spacing w:after="0" w:line="154"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Significant customers are those which represent more than 10% of the Company’s total revenue or gross accounts receivable balance at each respective balance sheet date. For the purposes of this disclosure, the Company defines “customer” as the entity that is purchasing the products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89"/>
              </w:rPr>
              <w:t>Revenue</w:t>
            </w: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Accounts Receivable, net</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6"/>
            <w:vMerge w:val="restart"/>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120" w:type="dxa"/>
            <w:vAlign w:val="bottom"/>
            <w:gridSpan w:val="4"/>
          </w:tcPr>
          <w:p>
            <w:pPr>
              <w:jc w:val="center"/>
              <w:ind w:right="53"/>
              <w:spacing w:after="0" w:line="119" w:lineRule="exact"/>
              <w:rPr>
                <w:sz w:val="20"/>
                <w:szCs w:val="20"/>
                <w:color w:val="auto"/>
              </w:rPr>
            </w:pPr>
            <w:r>
              <w:rPr>
                <w:rFonts w:ascii="Arial" w:cs="Arial" w:eastAsia="Arial" w:hAnsi="Arial"/>
                <w:sz w:val="13"/>
                <w:szCs w:val="13"/>
                <w:b w:val="1"/>
                <w:bCs w:val="1"/>
                <w:color w:val="auto"/>
              </w:rPr>
              <w:t>Six Months</w:t>
            </w:r>
          </w:p>
        </w:tc>
        <w:tc>
          <w:tcPr>
            <w:tcW w:w="240" w:type="dxa"/>
            <w:vAlign w:val="bottom"/>
          </w:tcPr>
          <w:p>
            <w:pPr>
              <w:spacing w:after="0"/>
              <w:rPr>
                <w:sz w:val="10"/>
                <w:szCs w:val="10"/>
                <w:color w:val="auto"/>
              </w:rPr>
            </w:pPr>
          </w:p>
        </w:tc>
        <w:tc>
          <w:tcPr>
            <w:tcW w:w="1060" w:type="dxa"/>
            <w:vAlign w:val="bottom"/>
            <w:gridSpan w:val="2"/>
            <w:vMerge w:val="restart"/>
          </w:tcPr>
          <w:p>
            <w:pPr>
              <w:jc w:val="center"/>
              <w:ind w:right="170"/>
              <w:spacing w:after="0"/>
              <w:rPr>
                <w:sz w:val="20"/>
                <w:szCs w:val="20"/>
                <w:color w:val="auto"/>
              </w:rPr>
            </w:pPr>
            <w:r>
              <w:rPr>
                <w:rFonts w:ascii="Arial" w:cs="Arial" w:eastAsia="Arial" w:hAnsi="Arial"/>
                <w:sz w:val="14"/>
                <w:szCs w:val="14"/>
                <w:b w:val="1"/>
                <w:bCs w:val="1"/>
                <w:color w:val="auto"/>
                <w:w w:val="91"/>
              </w:rPr>
              <w:t>As of</w:t>
            </w:r>
          </w:p>
        </w:tc>
        <w:tc>
          <w:tcPr>
            <w:tcW w:w="1200" w:type="dxa"/>
            <w:vAlign w:val="bottom"/>
            <w:gridSpan w:val="2"/>
            <w:vMerge w:val="restart"/>
          </w:tcPr>
          <w:p>
            <w:pPr>
              <w:jc w:val="center"/>
              <w:ind w:right="23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6"/>
            <w:vMerge w:val="continue"/>
          </w:tcPr>
          <w:p>
            <w:pPr>
              <w:spacing w:after="0"/>
              <w:rPr>
                <w:sz w:val="12"/>
                <w:szCs w:val="12"/>
                <w:color w:val="auto"/>
              </w:rPr>
            </w:pPr>
          </w:p>
        </w:tc>
        <w:tc>
          <w:tcPr>
            <w:tcW w:w="70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Customers</w:t>
            </w:r>
          </w:p>
        </w:tc>
        <w:tc>
          <w:tcPr>
            <w:tcW w:w="94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2"/>
              </w:rPr>
              <w:t>June 30,</w:t>
            </w:r>
          </w:p>
        </w:tc>
        <w:tc>
          <w:tcPr>
            <w:tcW w:w="10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382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A</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8"/>
                <w:szCs w:val="18"/>
                <w:color w:val="auto"/>
              </w:rPr>
            </w:pP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11 %</w:t>
            </w: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55880</wp:posOffset>
            </wp:positionV>
            <wp:extent cx="13462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25400"/>
                    </a:xfrm>
                    <a:prstGeom prst="rect">
                      <a:avLst/>
                    </a:prstGeom>
                    <a:noFill/>
                  </pic:spPr>
                </pic:pic>
              </a:graphicData>
            </a:graphic>
          </wp:anchor>
        </w:drawing>
      </w:r>
    </w:p>
    <w:p>
      <w:pPr>
        <w:spacing w:after="0" w:line="182"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—Inputs are unadjusted quoted prices in active markets for identical assets or liabilities at the measurement date.</w:t>
      </w:r>
    </w:p>
    <w:p>
      <w:pPr>
        <w:spacing w:after="0" w:line="248" w:lineRule="exact"/>
        <w:rPr>
          <w:sz w:val="20"/>
          <w:szCs w:val="20"/>
          <w:color w:val="auto"/>
        </w:rPr>
      </w:pPr>
    </w:p>
    <w:p>
      <w:pPr>
        <w:ind w:left="320" w:right="120"/>
        <w:spacing w:after="0" w:line="264" w:lineRule="auto"/>
        <w:rPr>
          <w:sz w:val="20"/>
          <w:szCs w:val="20"/>
          <w:color w:val="auto"/>
        </w:rPr>
      </w:pPr>
      <w:r>
        <w:rPr>
          <w:rFonts w:ascii="Arial" w:cs="Arial" w:eastAsia="Arial" w:hAnsi="Arial"/>
          <w:sz w:val="18"/>
          <w:szCs w:val="18"/>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81" w:lineRule="exact"/>
        <w:rPr>
          <w:sz w:val="20"/>
          <w:szCs w:val="20"/>
          <w:color w:val="auto"/>
        </w:rPr>
      </w:pPr>
    </w:p>
    <w:p>
      <w:pPr>
        <w:ind w:left="320" w:right="520"/>
        <w:spacing w:after="0" w:line="264" w:lineRule="auto"/>
        <w:rPr>
          <w:sz w:val="20"/>
          <w:szCs w:val="20"/>
          <w:color w:val="auto"/>
        </w:rPr>
      </w:pPr>
      <w:r>
        <w:rPr>
          <w:rFonts w:ascii="Arial" w:cs="Arial" w:eastAsia="Arial" w:hAnsi="Arial"/>
          <w:sz w:val="18"/>
          <w:szCs w:val="18"/>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81" w:lineRule="exact"/>
        <w:rPr>
          <w:sz w:val="20"/>
          <w:szCs w:val="20"/>
          <w:color w:val="auto"/>
        </w:rPr>
      </w:pPr>
    </w:p>
    <w:p>
      <w:pPr>
        <w:ind w:left="320" w:right="280"/>
        <w:spacing w:after="0" w:line="312" w:lineRule="auto"/>
        <w:rPr>
          <w:sz w:val="20"/>
          <w:szCs w:val="20"/>
          <w:color w:val="auto"/>
        </w:rPr>
      </w:pPr>
      <w:r>
        <w:rPr>
          <w:rFonts w:ascii="Arial" w:cs="Arial" w:eastAsia="Arial" w:hAnsi="Arial"/>
          <w:sz w:val="16"/>
          <w:szCs w:val="16"/>
          <w:color w:val="auto"/>
        </w:rPr>
        <w:t>The carrying value of accounts receivable, accounts payable, and other accruals approximate fair value because of the short-term nature of the instruments. The carrying value of the Company’s variable interest rate debt, excluding unamortized debt issuance costs, approximates fair value. The Company’s financial instruments consist of Level 1</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160"/>
        <w:spacing w:after="0" w:line="277" w:lineRule="auto"/>
        <w:rPr>
          <w:sz w:val="20"/>
          <w:szCs w:val="20"/>
          <w:color w:val="auto"/>
        </w:rPr>
      </w:pPr>
      <w:r>
        <w:rPr>
          <w:rFonts w:ascii="Arial" w:cs="Arial" w:eastAsia="Arial" w:hAnsi="Arial"/>
          <w:sz w:val="18"/>
          <w:szCs w:val="18"/>
          <w:color w:val="auto"/>
        </w:rPr>
        <w:t>assets. Where quoted prices are available in an active market, securities are classified as Level 1. Level 1 assets consist of highly liquid money market funds that are included in cash equivalents.</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measured at fair value on a recurring basis based on the three-tier fair value hierarchy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June 30,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$ 21,232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
              <w:spacing w:after="0"/>
              <w:rPr>
                <w:sz w:val="20"/>
                <w:szCs w:val="20"/>
                <w:color w:val="auto"/>
              </w:rPr>
            </w:pPr>
            <w:r>
              <w:rPr>
                <w:rFonts w:ascii="Arial" w:cs="Arial" w:eastAsia="Arial" w:hAnsi="Arial"/>
                <w:sz w:val="18"/>
                <w:szCs w:val="18"/>
                <w:color w:val="auto"/>
              </w:rPr>
              <w:t>$ 21,232</w:t>
            </w:r>
          </w:p>
        </w:tc>
      </w:tr>
      <w:tr>
        <w:trPr>
          <w:trHeight w:val="217"/>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$ 21,232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4"/>
              </w:rPr>
              <w:t>$ 21,232</w:t>
            </w:r>
          </w:p>
        </w:tc>
      </w:tr>
      <w:tr>
        <w:trPr>
          <w:trHeight w:val="378"/>
        </w:trPr>
        <w:tc>
          <w:tcPr>
            <w:tcW w:w="3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6"/>
              </w:rPr>
              <w:t>December 31, 2016</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7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2"/>
                <w:szCs w:val="12"/>
                <w:color w:val="auto"/>
              </w:rPr>
            </w:pPr>
          </w:p>
        </w:tc>
        <w:tc>
          <w:tcPr>
            <w:tcW w:w="6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$ 29,869</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8"/>
              <w:spacing w:after="0"/>
              <w:rPr>
                <w:sz w:val="20"/>
                <w:szCs w:val="20"/>
                <w:color w:val="auto"/>
              </w:rPr>
            </w:pPr>
            <w:r>
              <w:rPr>
                <w:rFonts w:ascii="Arial" w:cs="Arial" w:eastAsia="Arial" w:hAnsi="Arial"/>
                <w:sz w:val="18"/>
                <w:szCs w:val="18"/>
                <w:color w:val="auto"/>
              </w:rPr>
              <w:t>$ 29,869</w:t>
            </w:r>
          </w:p>
        </w:tc>
      </w:tr>
      <w:tr>
        <w:trPr>
          <w:trHeight w:val="217"/>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$ 29,869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4"/>
              </w:rPr>
              <w:t>$ 29,869</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recognizes revenue when the following criteria are met: persuasive evidence of an arrangement exists; the price is fixed or determinable; delivery has occurred and title passed; and collectability is reasonably assured. For sales to original equipment manufacturers (“OEMs”) and contract manufacturers, this occurs generally upon shipment. Provisions for product returns and allowances are recorded in the same period as related revenues. The Company analyzes historical returns, current economic trends and changes in customer demand and acceptance of product when evaluating the adequacy of sales returns and other allowances, which are netted against accounts receivable, as these are processed as credits against future purchases or balances outstanding.</w:t>
      </w:r>
    </w:p>
    <w:p>
      <w:pPr>
        <w:spacing w:after="0" w:line="178"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sells the majority of its products to its distributors at a uniform list price. However, distributors resell the Company’s products to end customers at a very broad range of individually negotiated price points. Distributors are provided with price concessions subsequent to delivery of product to them depending on their end customer and sales price. These concessions are based on a variety of factors, including customer, product, quantity, geography and competitive differentiation. Price 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Revenue on shipments to distributors is deferred as the price is not fixed or determinable until delivery has been made by the distributor to its customer and the final sales price has been established.</w:t>
      </w:r>
    </w:p>
    <w:p>
      <w:pPr>
        <w:spacing w:after="0" w:line="16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At the time of shipment to distributors, the Company records a trade receivable for the selling price as there is a legally enforceable obligation of the distributor to pay for the product delivered, inventory is reduced by the carrying value of goods shipped, and the net of these amounts, the gross profit, is recorded as deferred income on shipments to distributors on the balance sheet. The amount of gross profit that will be ultimately recognized in the statements of operations on such sales could be lower than the deferred income recorded on the balance sheets as a result of credits granted to distributors from the price protection rights. The Company is unable to estimate the credits to the distributors due to the wide variability of negotiated price concessions granted to them.</w:t>
      </w:r>
    </w:p>
    <w:p>
      <w:pPr>
        <w:spacing w:after="0" w:line="18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Thus, a portion of the “deferred income on shipments to distributors” balance represents the amount of distributors’ original purchase price that will be credited back to the distributor in the future. The wide range and variability of negotiated price concessions granted to distributors does not allow the Company to accurately estimate the portion of the balance in the deferred income on shipments to distributor accounts that will be credited back to the distributor. Therefore, the Company does not reduce deferred income on shipments to distributors or accounts receivable by anticipated future price concessions rather, price concessions are recorded against deferred income on shipments to distributors when incurred, which is generally at the time the distributor sells the product.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At June 30, 2017, the Company had $2.5 million of deferred revenue and $0.9 million of deferred cost of sales, resulting in the recognition of $1.6 million of deferred income on shipments to distributors. At December 31, 2016, the Company had $2.9 million of deferred revenue and $1.1 million of deferred cost of sales, resulting in the recognition of $1.8 million of deferred income on shipments to distributors.</w:t>
      </w:r>
    </w:p>
    <w:p>
      <w:pPr>
        <w:spacing w:after="0" w:line="18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Products returned by distributors and subsequently scrapped have historically been immaterial to the Company’s results of operations. The Company routinely evaluates the risk of impairment of the deferred cost of sales component of the deferred income on shipments to distributors account. Because of the historically immaterial amounts of inventory that have been scrapped, and historically rare instances where discounts given to a distributor result in a price less than our cost, the Company believes the deferred costs are recorded at their approximate carrying values.</w:t>
      </w:r>
    </w:p>
    <w:p>
      <w:pPr>
        <w:spacing w:after="0" w:line="17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licenses of technology, recognition of revenue is dependent upon whether the Company delivered rights to the technology, and whether there are future performance obligations. In some instances, the license agreements call for future milestones to be met for amounts to be due from the customer. In such scenarios, revenue is recognized using the milestone method, whereby revenue is recognized upon the completion of substantive milestones once the customers acknowledge the milestones have been met and the collection of the amounts are reasonably assured. Royalties received are recognized when reported to the Company, which generally coincides with the receipt of 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Basic net loss per common share is calculated by dividing the net loss by the weighted-average number of shares of common stock outstanding for the period, without consideration of potentially dilutive securities. Diluted net loss per common share is the same as basic net loss per common share since the effect of potentially dilutive securities is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May 2014, the Financial Accounting Standards Board (“FASB”) issued Accounting Standards Update (“ASU”)</w:t>
      </w:r>
    </w:p>
    <w:p>
      <w:pPr>
        <w:spacing w:after="0" w:line="35" w:lineRule="exact"/>
        <w:rPr>
          <w:sz w:val="20"/>
          <w:szCs w:val="20"/>
          <w:color w:val="auto"/>
        </w:rPr>
      </w:pPr>
    </w:p>
    <w:p>
      <w:pPr>
        <w:spacing w:after="0" w:line="216" w:lineRule="exact"/>
        <w:rPr>
          <w:sz w:val="20"/>
          <w:szCs w:val="20"/>
          <w:color w:val="auto"/>
        </w:rPr>
      </w:pPr>
      <w:r>
        <w:rPr>
          <w:rFonts w:ascii="Arial" w:cs="Arial" w:eastAsia="Arial" w:hAnsi="Arial"/>
          <w:sz w:val="17"/>
          <w:szCs w:val="17"/>
          <w:color w:val="auto"/>
        </w:rPr>
        <w:t>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Areas of revenue recognition that will be affected include, but are not limited to, transfer of control, variable consideration, allocation of transfer pricing, licenses, time value of money, contract costs and disclosures.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As described in the Company's significant accounting policies, the Company currently defers the revenue and cost of sales on shipments to distributors until the distributor sells the product to their end customer. Upon adoption of ASU 2014-09, and subsequent improvements including ASU 2015-14, Deferral of Effective Date, ASU 2016-08, Principal versus Agent Considerations, ASU 2016-10, Identifying Performance Obligations and Licensing, and ASU 2016-12, Narrow Scope Improvements and Practical Expedients, the Company will no longer defer revenue until sale by the distributor to the end customer, but rather, will be required to estimate the effects of returns and allowances provided to distributors and record revenue at the time of sale to the distributor. The Company plans on adopting this standard on January 1, 2018 and is currently evaluating the impact that the adoption of the standard will have on its financial statements and has determined that the most significant change will be related to the accounting for distributor arrangements. The Company has not yet elected a transition method.</w:t>
      </w:r>
    </w:p>
    <w:p>
      <w:pPr>
        <w:spacing w:after="0" w:line="20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May 2017, the FASB issued ASU No. 2017-09, Compensation-Stock Compensation (Topic 718) Scope of Modification Accounting, which is intended to amend the scope of modification accounting for share-based payment arrangements. The amendments in the update provide guidance on types of changes to the terms or conditions of share-based payment awards that would require the Company to apply modification accounting under ASC 718, Compensation-Stock Compensation. This ASU is effective for annual reporting periods beginning after December 15, 2017, and early adoption is permitted. The Company plans on adopting this standard on January 1, 2018 and is currently evaluating the impact that the adoption of the standard will have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225" w:lineRule="exact"/>
        <w:rPr>
          <w:sz w:val="20"/>
          <w:szCs w:val="20"/>
          <w:color w:val="auto"/>
        </w:rPr>
      </w:pPr>
    </w:p>
    <w:p>
      <w:pPr>
        <w:ind w:right="20" w:firstLine="324"/>
        <w:spacing w:after="0" w:line="219" w:lineRule="exact"/>
        <w:rPr>
          <w:sz w:val="20"/>
          <w:szCs w:val="20"/>
          <w:color w:val="auto"/>
        </w:rPr>
      </w:pPr>
      <w:r>
        <w:rPr>
          <w:rFonts w:ascii="Arial" w:cs="Arial" w:eastAsia="Arial" w:hAnsi="Arial"/>
          <w:sz w:val="16"/>
          <w:szCs w:val="16"/>
          <w:color w:val="auto"/>
        </w:rPr>
        <w:t>In July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11, Simplifying the Measurement of Inventory, which requires an entity to measure in scope inventory at the lower of cost and net realizable value. Net realizable value is the estimated selling price in the ordinary course of business, less reasonably predictable costs of completion, disposal and transportation. This ASU is effective for fiscal years and interim periods within those years beginning after December 15, 2016. The Company adopted this standard as of January 1, 2017 and the impact of its adoption on the Company’s financial statements was not material.</w:t>
      </w:r>
    </w:p>
    <w:p>
      <w:pPr>
        <w:spacing w:after="0" w:line="204"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In November 2015, FASB issued ASU No. 2015</w:t>
      </w:r>
      <w:r>
        <w:rPr>
          <w:rFonts w:ascii="MS PGothic" w:cs="MS PGothic" w:eastAsia="MS PGothic" w:hAnsi="MS PGothic"/>
          <w:sz w:val="18"/>
          <w:szCs w:val="18"/>
          <w:color w:val="auto"/>
        </w:rPr>
        <w:t>‑</w:t>
      </w:r>
      <w:r>
        <w:rPr>
          <w:rFonts w:ascii="Arial" w:cs="Arial" w:eastAsia="Arial" w:hAnsi="Arial"/>
          <w:sz w:val="18"/>
          <w:szCs w:val="18"/>
          <w:color w:val="auto"/>
        </w:rPr>
        <w:t>17, Balance Sheet Classification of Deferred Taxes, which is intended to simplify and improve how deferred taxes are classified on the balance sheet. The guidance in this ASU eliminates the current requirement to present deferred tax assets and liabilities as current and noncurrent in a classified balance sheet and now requires entities to classify all deferred tax assets and liabilities as noncurrent. The guidance is effective for annual periods beginning after December 15, 2016, and for interim periods within those annual periods. Early adoption is permitted. The Company adopted this standard as of January 1, 2017 and the impact of its adoption on the Company’s financial statements was not material.</w:t>
      </w:r>
    </w:p>
    <w:p>
      <w:pPr>
        <w:spacing w:after="0" w:line="207" w:lineRule="exact"/>
        <w:rPr>
          <w:sz w:val="20"/>
          <w:szCs w:val="20"/>
          <w:color w:val="auto"/>
        </w:rPr>
      </w:pPr>
    </w:p>
    <w:p>
      <w:pPr>
        <w:ind w:right="40" w:firstLine="324"/>
        <w:spacing w:after="0" w:line="220" w:lineRule="exact"/>
        <w:rPr>
          <w:sz w:val="20"/>
          <w:szCs w:val="20"/>
          <w:color w:val="auto"/>
        </w:rPr>
      </w:pPr>
      <w:r>
        <w:rPr>
          <w:rFonts w:ascii="Arial" w:cs="Arial" w:eastAsia="Arial" w:hAnsi="Arial"/>
          <w:sz w:val="16"/>
          <w:szCs w:val="16"/>
          <w:color w:val="auto"/>
        </w:rPr>
        <w:t>In March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09, Compensation-Stock Compensation (Topic 718) Improvements to Employee Share-Based Payment Accounting, which is intended to simplify several aspects of the accounting for employee share-based payment transactions, including the income tax consequences, the determination of forfeiture rates, classification of awards as either equity or liabilities, and classification on the statement of cash flows. This ASU is effective for</w:t>
      </w:r>
    </w:p>
    <w:p>
      <w:pPr>
        <w:spacing w:after="0" w:line="2"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fiscal years and interim periods within those years beginning after December 15, 2016, and early adoption is permitted. The Company adopted this standard as of January 1, 2017 and the impact of its adoption on the Company’s financial statements was not material.</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Inventory consisted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December 31,</w:t>
            </w:r>
          </w:p>
        </w:tc>
        <w:tc>
          <w:tcPr>
            <w:tcW w:w="1800" w:type="dxa"/>
            <w:vAlign w:val="bottom"/>
          </w:tcPr>
          <w:p>
            <w:pPr>
              <w:spacing w:after="0"/>
              <w:rPr>
                <w:sz w:val="14"/>
                <w:szCs w:val="14"/>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8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800" w:type="dxa"/>
            <w:vAlign w:val="bottom"/>
            <w:tcBorders>
              <w:left w:val="single" w:sz="8" w:color="CCEEFF"/>
            </w:tcBorders>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3,152</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800" w:type="dxa"/>
            <w:vAlign w:val="bottom"/>
            <w:tcBorders>
              <w:left w:val="single" w:sz="8" w:color="CCEEFF"/>
            </w:tcBorders>
          </w:tcPr>
          <w:p>
            <w:pPr>
              <w:spacing w:after="0"/>
              <w:rPr>
                <w:sz w:val="18"/>
                <w:szCs w:val="18"/>
                <w:color w:val="auto"/>
              </w:rPr>
            </w:pPr>
          </w:p>
        </w:tc>
      </w:tr>
      <w:tr>
        <w:trPr>
          <w:trHeight w:val="217"/>
        </w:trPr>
        <w:tc>
          <w:tcPr>
            <w:tcW w:w="5000" w:type="dxa"/>
            <w:vAlign w:val="bottom"/>
          </w:tcPr>
          <w:p>
            <w:pPr>
              <w:ind w:left="220"/>
              <w:spacing w:after="0"/>
              <w:rPr>
                <w:sz w:val="20"/>
                <w:szCs w:val="20"/>
                <w:color w:val="auto"/>
              </w:rPr>
            </w:pPr>
            <w:r>
              <w:rPr>
                <w:rFonts w:ascii="Arial" w:cs="Arial" w:eastAsia="Arial" w:hAnsi="Arial"/>
                <w:sz w:val="18"/>
                <w:szCs w:val="18"/>
                <w:color w:val="auto"/>
              </w:rPr>
              <w:t>Total inventory</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1800" w:type="dxa"/>
            <w:vAlign w:val="bottom"/>
          </w:tcPr>
          <w:p>
            <w:pPr>
              <w:spacing w:after="0"/>
              <w:rPr>
                <w:sz w:val="18"/>
                <w:szCs w:val="18"/>
                <w:color w:val="auto"/>
              </w:rPr>
            </w:pPr>
          </w:p>
        </w:tc>
      </w:tr>
      <w:tr>
        <w:trPr>
          <w:trHeight w:val="432"/>
        </w:trPr>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5000" w:type="dxa"/>
            <w:vAlign w:val="bottom"/>
          </w:tcPr>
          <w:p>
            <w:pPr>
              <w:ind w:left="320"/>
              <w:spacing w:after="0"/>
              <w:rPr>
                <w:sz w:val="20"/>
                <w:szCs w:val="20"/>
                <w:color w:val="auto"/>
              </w:rPr>
            </w:pPr>
            <w:r>
              <w:rPr>
                <w:rFonts w:ascii="Arial" w:cs="Arial" w:eastAsia="Arial" w:hAnsi="Arial"/>
                <w:sz w:val="18"/>
                <w:szCs w:val="18"/>
                <w:color w:val="auto"/>
                <w:w w:val="99"/>
              </w:rPr>
              <w:t>Accrued liabilities consisted of the following (in thousands):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55"/>
        </w:trPr>
        <w:tc>
          <w:tcPr>
            <w:tcW w:w="5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December 31,</w:t>
            </w:r>
          </w:p>
        </w:tc>
        <w:tc>
          <w:tcPr>
            <w:tcW w:w="1800" w:type="dxa"/>
            <w:vAlign w:val="bottom"/>
          </w:tcPr>
          <w:p>
            <w:pPr>
              <w:spacing w:after="0"/>
              <w:rPr>
                <w:sz w:val="24"/>
                <w:szCs w:val="24"/>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8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80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Deferred licensing revenue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800" w:type="dxa"/>
            <w:vAlign w:val="bottom"/>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Accrued sales commissions payable to sales representatives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18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0" w:type="dxa"/>
            <w:vAlign w:val="bottom"/>
          </w:tcPr>
          <w:p>
            <w:pPr>
              <w:spacing w:after="0"/>
              <w:rPr>
                <w:sz w:val="18"/>
                <w:szCs w:val="18"/>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800" w:type="dxa"/>
            <w:vAlign w:val="bottom"/>
          </w:tcPr>
          <w:p>
            <w:pPr>
              <w:spacing w:after="0"/>
              <w:rPr>
                <w:sz w:val="18"/>
                <w:szCs w:val="18"/>
                <w:color w:val="auto"/>
              </w:rPr>
            </w:pPr>
          </w:p>
        </w:tc>
      </w:tr>
      <w:tr>
        <w:trPr>
          <w:trHeight w:val="878"/>
        </w:trPr>
        <w:tc>
          <w:tcPr>
            <w:tcW w:w="5000" w:type="dxa"/>
            <w:vAlign w:val="bottom"/>
          </w:tcPr>
          <w:p>
            <w:pPr>
              <w:ind w:left="444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29"/>
        </w:trPr>
        <w:tc>
          <w:tcPr>
            <w:tcW w:w="50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The Company leases office space for its corporate headquarters located in Chandler, Arizona and for its design facility located in Austin, Texas. The leases expire in October 2018 and January 2022, respectively. Rent expense is recognized on a straight-line basis over the term of the leases and accordingly, the Company records the difference between cash rent payments and the recognition of rent expense as a deferred rent liability.</w:t>
      </w:r>
    </w:p>
    <w:p>
      <w:pPr>
        <w:spacing w:after="0" w:line="187" w:lineRule="exact"/>
        <w:rPr>
          <w:sz w:val="20"/>
          <w:szCs w:val="20"/>
          <w:color w:val="auto"/>
        </w:rPr>
      </w:pPr>
    </w:p>
    <w:p>
      <w:pPr>
        <w:jc w:val="both"/>
        <w:ind w:right="119" w:firstLine="324"/>
        <w:spacing w:after="0" w:line="264" w:lineRule="auto"/>
        <w:rPr>
          <w:sz w:val="20"/>
          <w:szCs w:val="20"/>
          <w:color w:val="auto"/>
        </w:rPr>
      </w:pPr>
      <w:r>
        <w:rPr>
          <w:rFonts w:ascii="Arial" w:cs="Arial" w:eastAsia="Arial" w:hAnsi="Arial"/>
          <w:sz w:val="18"/>
          <w:szCs w:val="18"/>
          <w:color w:val="auto"/>
        </w:rPr>
        <w:t>In January 2017, the Company entered into a five-year sublease agreement with Freescale, a related party, to rent 6,560 square feet of office and laboratory space in Chandler, Arizona, and in March 2017, the Company amended the sublease to increase the space to 10,023 square feet.</w:t>
      </w:r>
    </w:p>
    <w:p>
      <w:pPr>
        <w:spacing w:after="0" w:line="181" w:lineRule="exact"/>
        <w:rPr>
          <w:sz w:val="20"/>
          <w:szCs w:val="20"/>
          <w:color w:val="auto"/>
        </w:rPr>
      </w:pPr>
    </w:p>
    <w:p>
      <w:pPr>
        <w:jc w:val="both"/>
        <w:ind w:right="159" w:firstLine="324"/>
        <w:spacing w:after="0" w:line="312" w:lineRule="auto"/>
        <w:rPr>
          <w:sz w:val="20"/>
          <w:szCs w:val="20"/>
          <w:color w:val="auto"/>
        </w:rPr>
      </w:pPr>
      <w:r>
        <w:rPr>
          <w:rFonts w:ascii="Arial" w:cs="Arial" w:eastAsia="Arial" w:hAnsi="Arial"/>
          <w:sz w:val="16"/>
          <w:szCs w:val="16"/>
          <w:color w:val="auto"/>
        </w:rPr>
        <w:t>The Company has an operating lease for its Arizona manufacturing facility, as amended, for certain of the fabrication, laboratory and office premises of Freescale. In March 2017, the Company extended the lease through January 28, 2019 and amended the premises covered to remove laboratory space, decrease fabrication space and expand office space.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225"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In April 2017, the Company repaid the outstanding balance of $1.1 million on the revolving loan at which time the unamortized balance of the debt discount of $10,000 was recognized as a loss on extinguishment of debt. In May 2017, the Company repaid the outstanding principal balance of $6.2 million on the term loan at which time the unamortized balance of the debt discount was $175,000, and paid a prepayment penalty of $61,000. The unamortized debt discount balance and the prepayment penalty were recognized as a loss on extinguishment of debt in the condensed statements of operations and comprehensive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79" w:firstLine="324"/>
        <w:spacing w:after="0" w:line="288" w:lineRule="auto"/>
        <w:rPr>
          <w:sz w:val="20"/>
          <w:szCs w:val="20"/>
          <w:color w:val="auto"/>
        </w:rPr>
      </w:pPr>
      <w:r>
        <w:rPr>
          <w:rFonts w:ascii="Arial" w:cs="Arial" w:eastAsia="Arial" w:hAnsi="Arial"/>
          <w:sz w:val="16"/>
          <w:szCs w:val="16"/>
          <w:color w:val="auto"/>
        </w:rPr>
        <w:t>On May 4, 2017, the Company entered into a Loan and Security Agreement with Silicon Valley Bank (“2017 Credit Facility”) for a $12.0 million term loan. The term loan provides for interest at a floating rate equal to the prime rate minus 0.75%. As of June 30, 2017, the interest rate was 3.50%. The term loan provides for a period of interest-only payments through April 30, 2018, followed by fixed principal and interest payments based on either a 24-month amortization schedule or a 36-month amortization schedule if the Company meets certain sales milestones. The Company is required to comply with certain covenants under the 2017 Credit Facility, including requirements to maintain a minimum liquidity ratio, meet certain revenue targets, and restrictions on certain actions without the consent of the lender, such as the disposal and acquisition of its business or property, changes in business, and mergers or acquisitions. An end of term fee of 6% of the amount borrowed must be made when the loan is prepaid or repaid, whether at maturity or as a result of a prepayment or acceleration or otherwise. The additional payment is being accreted using the effective interest method.</w:t>
      </w:r>
    </w:p>
    <w:p>
      <w:pPr>
        <w:spacing w:after="0" w:line="169"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Security for the 2017 Credit Facility includes all of the Company’s assets except for intellectual property. The 2017 Credit Facility contains customary covenants restricting the Company’s activities, including limitations on its ability to sell assets, engage in mergers and acquisitions, enter into transactions involving related parties, incur indebtedness or grant liens or negative pledges on its assets, make loans or make other investments. Under these covenants, the Company is prohibited from paying dividends with respect to its capital stock. The Company was in compliance with all covenants at June 30, 2017. The 2017 Credit Facility contains a material adverse effect clause which provides that an event of default will occur if, among other triggers, an event occurs that could reasonably be expected to result in a material adverse effect on the Company’s business, operations or condition, or on the Company’s ability to perform its obligations under the term loan. As of June 30, 2017, management does not believe that it is probable that the clause will be triggered within the next twelve months, and therefore the term loan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2017 Credit Facility at June 30, 2017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debt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Discount attributable to end of term fee and debt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costs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7"/>
        </w:trPr>
        <w:tc>
          <w:tcPr>
            <w:tcW w:w="440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the Company’s Prior Facilities at December 31, 2016 was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Long-Term</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b w:val="1"/>
                <w:bCs w:val="1"/>
                <w:color w:val="auto"/>
              </w:rPr>
              <w:t>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including end of term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9"/>
              </w:rPr>
              <w:t>Discount attributable to warrants, end of term fee and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issuance cost</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7"/>
        </w:trPr>
        <w:tc>
          <w:tcPr>
            <w:tcW w:w="4380" w:type="dxa"/>
            <w:vAlign w:val="bottom"/>
          </w:tcPr>
          <w:p>
            <w:pPr>
              <w:ind w:left="120"/>
              <w:spacing w:after="0"/>
              <w:rPr>
                <w:sz w:val="20"/>
                <w:szCs w:val="20"/>
                <w:color w:val="auto"/>
              </w:rPr>
            </w:pPr>
            <w:r>
              <w:rPr>
                <w:rFonts w:ascii="Arial" w:cs="Arial" w:eastAsia="Arial" w:hAnsi="Arial"/>
                <w:sz w:val="18"/>
                <w:szCs w:val="18"/>
                <w:color w:val="auto"/>
              </w:rPr>
              <w:t>Net carrying value of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stock option activity for the six months ended June 30,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w w:val="96"/>
              </w:rPr>
              <w:t>Options Outstanding</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8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Price Per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Grant</w:t>
            </w: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Life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1,414,730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(197,950)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197,950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Options cancelled/forfeited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184,781</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(185,676)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Balance—June 30, 2017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329,331</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1,268,665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Options exercisable—June 30, 2017</w:t>
            </w:r>
          </w:p>
        </w:tc>
        <w:tc>
          <w:tcPr>
            <w:tcW w:w="8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752,725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4.82</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vested and expected to vest—June 30, 2017</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1,268,665</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firstLine="324"/>
        <w:spacing w:after="0" w:line="342" w:lineRule="auto"/>
        <w:rPr>
          <w:sz w:val="20"/>
          <w:szCs w:val="20"/>
          <w:color w:val="auto"/>
        </w:rPr>
      </w:pPr>
      <w:r>
        <w:rPr>
          <w:rFonts w:ascii="Arial" w:cs="Arial" w:eastAsia="Arial" w:hAnsi="Arial"/>
          <w:sz w:val="16"/>
          <w:szCs w:val="16"/>
          <w:color w:val="auto"/>
        </w:rPr>
        <w:t>The total grant date fair value of options vested was $797,000 and $173,000 during the three months ended June 30, 2017 and 2016, respectively, and $904,000 and $276,000 for the six months ended June 30, 2017 and 2016, respectively.</w:t>
      </w:r>
    </w:p>
    <w:p>
      <w:pPr>
        <w:spacing w:after="0" w:line="1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weighted-average grant date fair value of employee options granted during the three and six months ended June 30, 2017 was $5.25 and $4.67 per share, respectively. The Company did not grant any options during the three and six months ended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Incentive Plan</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Company’s board of directors adopted the 2016 Equity Incentive Plan (the “2016 Plan”) on April 25, 2016, which was subsequently approved on September 20, 2016 by the Company’s stockholders. The 2016 Plan became effective on October 7, 2016, the date the Company’s registration statement was declared effective by the SEC. No further grants will be made under the Company’s 2008 Equity Incentive Plan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The Company’s 2016 Plan provides for the grant of incentive stock options (“ISOs”), non-statutory stock options, stock appreciation rights, restricted stock awards, restricted stock unit awards, performance-based stock awards, and other forms of equity compensation to employees, directors and consultants. In addition, the Company’s 2016 Plan provides for the grant of performance cash awards to employees, directors and consultants.</w:t>
      </w:r>
    </w:p>
    <w:p>
      <w:pPr>
        <w:spacing w:after="0" w:line="171"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maximum number of shares of common stock that may be issued under the Company’s 2016 Plan is 500,000. The number of shares of common stock reserved for issuance under the Company’s 2016 Plan will automatically increase on January 1 of each year, beginning on January 1, 2017, and continuing through and including January 1, 2024, by 3% of the total number of shares of capital stock outstanding on December 31 of the preceding calendar year, or a lesser number of shares determined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225"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The Company’s board of directors adopted the 2016 Employee Stock Purchase Plan (the “ESPP”) on April 25, 2016, which was subsequently approved on September 20, 2016 by the Company’s stockholders. The purpose of the ESPP is to secure the services of new employees, to retain the services of existing employees and to provide incentives for such individuals to exert maximum efforts toward the Company’s success and that of the Company’s affiliates. The ESPP is intended to qualify as an “employee stock purchase plan” within the meaning of Section 423 of the Internal Revenue Code. The board of directors, or a duly authorized committee thereof, will administer the Company’s ESPP.</w:t>
      </w:r>
    </w:p>
    <w:p>
      <w:pPr>
        <w:spacing w:after="0" w:line="16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maximum aggregate number of shares of common stock that may be issued pursuant to the exercise of purchase rights under the Company’s ESPP that are granted to employees or to employees of any of the Company’s designated affiliates is 96,153 shares. Additionally, the number of shares of common stock reserved for issuance under the Company’s ESPP will increase automatically each year, beginning on January 1, 2017, and continuing through and including January 1, 2026, by 1% of the total number of shares of common stock outstanding on December 31 of the preceding calendar year, or a lesser number as determined by the board of directors. Shares subject to purchase rights granted under the Company’s ESPP that terminate without having been exercised in full will not reduce the number of shares available for issuance under the Company’s ESPP. The first purchase period under the 2016 ESPP commenced on October 12, 2016 and ended on April 12, 2017. The second purchase period began on April 13, 2017 and will end on October 12, 2017. The Company had 78,229 shares available for future issuance under the Company’s ESPP as of June 30, 2017. Employees purchased 17,924 shares for $122,000 during the six months ended June 30,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 recognized stock-based compensation expense from options granted to employees and non-employees and from its ESPP as follows, excluding amounts related to GLOBALFOUNDRIES, Inc. (“GF”)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4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r>
      <w:tr>
        <w:trPr>
          <w:trHeight w:val="217"/>
        </w:trPr>
        <w:tc>
          <w:tcPr>
            <w:tcW w:w="4280" w:type="dxa"/>
            <w:vAlign w:val="bottom"/>
          </w:tcPr>
          <w:p>
            <w:pPr>
              <w:ind w:left="2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r>
    </w:tbl>
    <w:p>
      <w:pPr>
        <w:spacing w:after="0" w:line="202"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As of June 30, 2017, there was $3.0 million of total unrecognized compensation expense related to unvested options which is expected to be recognized over a weighted-average period of 2.8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Stock-based Compensation</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Stock-based compensation expense for employees was $319,000 and $96,000 for the three months ended June 30, 2017 and 2016, respectively, and $740,000 and $201,000 for the six months ended June 30, 2017 and 2016, respectively.</w:t>
      </w:r>
    </w:p>
    <w:p>
      <w:pPr>
        <w:spacing w:after="0" w:line="124"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Company estimated the fair value of each option using the Black-Scholes option-pricing model. The fair value of employee stock options is being amortized on a straight-line basis over the requisite service period of the awards.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fair value of employee stock options was estimated using the assumptions below. Each of these inputs is subjective and its determination generally requires significant judgment.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6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5"/>
              </w:rPr>
              <w:t>2016 Plan</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5"/>
          </w:tcPr>
          <w:p>
            <w:pPr>
              <w:jc w:val="center"/>
              <w:ind w:right="130"/>
              <w:spacing w:after="0"/>
              <w:rPr>
                <w:sz w:val="20"/>
                <w:szCs w:val="20"/>
                <w:color w:val="auto"/>
              </w:rPr>
            </w:pPr>
            <w:r>
              <w:rPr>
                <w:rFonts w:ascii="Arial" w:cs="Arial" w:eastAsia="Arial" w:hAnsi="Arial"/>
                <w:sz w:val="14"/>
                <w:szCs w:val="14"/>
                <w:b w:val="1"/>
                <w:bCs w:val="1"/>
                <w:color w:val="auto"/>
                <w:w w:val="93"/>
              </w:rPr>
              <w:t>2016 ESPP</w:t>
            </w:r>
          </w:p>
        </w:tc>
      </w:tr>
      <w:tr>
        <w:trPr>
          <w:trHeight w:val="171"/>
        </w:trPr>
        <w:tc>
          <w:tcPr>
            <w:tcW w:w="4060" w:type="dxa"/>
            <w:vAlign w:val="bottom"/>
          </w:tcPr>
          <w:p>
            <w:pPr>
              <w:spacing w:after="0"/>
              <w:rPr>
                <w:sz w:val="14"/>
                <w:szCs w:val="14"/>
                <w:color w:val="auto"/>
              </w:rPr>
            </w:pPr>
          </w:p>
        </w:tc>
        <w:tc>
          <w:tcPr>
            <w:tcW w:w="170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3"/>
              </w:rPr>
              <w:t>Six Months Ended</w:t>
            </w:r>
          </w:p>
        </w:tc>
        <w:tc>
          <w:tcPr>
            <w:tcW w:w="150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3"/>
              </w:rPr>
              <w:t>Six Months Ended</w:t>
            </w:r>
          </w:p>
        </w:tc>
      </w:tr>
      <w:tr>
        <w:trPr>
          <w:trHeight w:val="142"/>
        </w:trPr>
        <w:tc>
          <w:tcPr>
            <w:tcW w:w="4060" w:type="dxa"/>
            <w:vAlign w:val="bottom"/>
          </w:tcPr>
          <w:p>
            <w:pPr>
              <w:spacing w:after="0"/>
              <w:rPr>
                <w:sz w:val="12"/>
                <w:szCs w:val="12"/>
                <w:color w:val="auto"/>
              </w:rPr>
            </w:pPr>
          </w:p>
        </w:tc>
        <w:tc>
          <w:tcPr>
            <w:tcW w:w="1060" w:type="dxa"/>
            <w:vAlign w:val="bottom"/>
            <w:tcBorders>
              <w:top w:val="single" w:sz="8" w:color="auto"/>
              <w:bottom w:val="single" w:sz="8" w:color="auto"/>
            </w:tcBorders>
            <w:gridSpan w:val="3"/>
          </w:tcPr>
          <w:p>
            <w:pPr>
              <w:jc w:val="center"/>
              <w:ind w:left="279"/>
              <w:spacing w:after="0" w:line="142" w:lineRule="exact"/>
              <w:rPr>
                <w:sz w:val="20"/>
                <w:szCs w:val="20"/>
                <w:color w:val="auto"/>
              </w:rPr>
            </w:pPr>
            <w:r>
              <w:rPr>
                <w:rFonts w:ascii="Arial" w:cs="Arial" w:eastAsia="Arial" w:hAnsi="Arial"/>
                <w:sz w:val="14"/>
                <w:szCs w:val="14"/>
                <w:b w:val="1"/>
                <w:bCs w:val="1"/>
                <w:color w:val="auto"/>
                <w:w w:val="89"/>
              </w:rPr>
              <w:t>June 30,</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gridSpan w:val="3"/>
          </w:tcPr>
          <w:p>
            <w:pPr>
              <w:jc w:val="center"/>
              <w:ind w:left="299"/>
              <w:spacing w:after="0" w:line="142" w:lineRule="exact"/>
              <w:rPr>
                <w:sz w:val="20"/>
                <w:szCs w:val="20"/>
                <w:color w:val="auto"/>
              </w:rPr>
            </w:pPr>
            <w:r>
              <w:rPr>
                <w:rFonts w:ascii="Arial" w:cs="Arial" w:eastAsia="Arial" w:hAnsi="Arial"/>
                <w:sz w:val="14"/>
                <w:szCs w:val="14"/>
                <w:b w:val="1"/>
                <w:bCs w:val="1"/>
                <w:color w:val="auto"/>
                <w:w w:val="89"/>
              </w:rPr>
              <w:t>June 30,</w:t>
            </w: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47.2-59.3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2.0-2.1 %</w:t>
            </w:r>
          </w:p>
        </w:tc>
        <w:tc>
          <w:tcPr>
            <w:tcW w:w="4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2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 %</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Dividend yield</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620" w:type="dxa"/>
            <w:vAlign w:val="bottom"/>
            <w:gridSpan w:val="2"/>
          </w:tcPr>
          <w:p>
            <w:pPr>
              <w:ind w:left="160"/>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225"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Stock-based compensation expense related to stock options granted to non-employees is recognized as the stock options vest. No stock options were granted to non-employees during the six months ended June 30, 2017 and 2016. As of June 30, 2017, options to purchase 35,568 shares of common stock were outstanding with a weighted-average exercise price of $4.80 per share. Stock-based compensation expense for non-employees was $89,000 and $4,000 for the three months ended June 30, 2017 and 2016, respectively, and $99,000 and $10,000 for the six months ended June 30, 2017 and 2016,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Development Agreement—GLOBALFOUNDRIES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October 17, 2014, the Company entered into a Joint Development Agreement (“JDA”) with GF, a related party due to its equity ownership in the Company, for the joint development of the Company’s Spin Torque MRAM (“ST-MRAM”) technology. The term of the agreement is the later of four years from the effective date or until the completion, termination or expiration of the last statement of work entered into pursuant to the JDA. The JDA also states that the specific terms and conditions for the production and supply of the developed ST-MRAM technology would be pursuant to a separate manufacturing agreement entered into between the parties.</w:t>
      </w:r>
    </w:p>
    <w:p>
      <w:pPr>
        <w:spacing w:after="0" w:line="19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JDA,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Generally, unless otherwise specified in the agreement or a statement of work, the Company and GF share project costs, which do not include personnel or production qualification costs, equally under the JDA. If GF manufactures, sells or transfers to customers wafers containing production quantified ST-MRAM devices that utilize certain design information, GF will be required to pay the Company a royalty. The term of the agreement is four years and is extended until the completion of any development work, if later.</w:t>
      </w:r>
    </w:p>
    <w:p>
      <w:pPr>
        <w:spacing w:after="0" w:line="18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As of June 30, 2017, $24,000 was receivable from GF. There were no amounts receivable from GF as of December 31, 2016. As of June 30, 2017 and December 31, 2016, $1.0 million and $979,000, respectively, were payable to GF for the Company’s share of the project costs under the JDA. During the three months ended June 30, 2017, the Company purchased research and development equipment from GF for $262,000, which were included in Property and equipment, net as of June 30, 2017. There were no such purchases from GF as of December 31, 2016. The Company incurred project costs, recognized as research and development expense, of $1.4 million and $1.1 million for the three months ended June 30, 2017 and 2016 respectively, and $3.2 million and $2.0 million for the six months ended June 30, 2017 and 2016, respectively. The Company entered into a Statement of Work #4B (the “SOW 4B”) under the JDA with GF effective August 31, 2016. Under SOW 4B, the Company will collaborate with GF in planning, designing and supporting evaluation of 22nm embedded MRAM arrays. The Company is eligible to receive three substantive milestone payments from this collaboration: (a) $569,000 was due upon the delivery of the Company’s database of bias system schematics;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3"/>
        <w:spacing w:after="0" w:line="25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$650,000 was due upon the delivery of a Graphic Design Database System package; and (c) $406,000 is due upon demonstration that the embedded MRAM array meets the specifications agreed upon by the two parties. Two of the milestones were achieved during the six months ended June 30, 2017. The Company recognized revenue of $650,000 and $1.2 million in the three and six months ended June 30, 2017, respectively. There was no revenue from GF for the three and six months ended June 30, 2016.</w:t>
      </w:r>
    </w:p>
    <w:p>
      <w:pPr>
        <w:spacing w:after="0" w:line="18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On October 21, 2014, GF participated, along with other investors, in the Company’s Series B redeemable convertible preferred stock financing and purchased 192,307 shares at $26.00 per share. Contemporaneously, the Company sold 461,538 shares of its common stock to GF at a discounted price of $0.00026 per share. The common shares vest upon the achievement of a goal as set forth in the Statement of Work #1 (the “SOW”) under the JDA. The unvested common shares are subject to repurchase by the Company, if the JDA is terminated for any reason, for a one-year period after such termination, at a price that is the lower of the original price paid by GF or the fair value of the Company’s common stock as of the date of repurchase. The Company has determined that the issuance of these shares of common stock to GF represents compensation for services to be provided under the JDA. Accordingly, the shares are accounted for similar to a stock award granted to a non-employee of the Company and are remeasured to their fair value as they vest. Although the shares issued do not commence vesting until the achievement of the product qualification (the “Initial Measurement Date”), the Company has deemed it probable that the qualification requirement will be met and compensation expense related to the shares issued is being recognized prior to the Initial Measurement Date. Due to the vesting conditions, there will be multiple measurement dates, occurring on the Initial Measurement Date and at the end of each month thereafter. The fair value of vesting shares is effectively fixed at each measurement date while the fair value of the remaining unvested shares will be remeasured each subsequent measurement date until the shares are fully vested. During the year ended December 31, 2016, GF achieved the product qualification as set forth under the SOW. As such, a total of 211,538 shares of common stock became vested on August 21, 2016, the designated Initial Measurement Date. Subsequent to the Initial Measurement Date through June 30, 2017, an additional 96,154 shares of common stock became vested. As of June 30, 2017 there were 153,846 shares unvested that were subject to repurchase.</w:t>
      </w:r>
    </w:p>
    <w:p>
      <w:pPr>
        <w:spacing w:after="0" w:line="38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recognized non-cash compensation expense of $461,000 and $922,000 during the three months ended June 30, 2017 and 2016, respectively, and $716,000 and $1.4 million for the six months ended June 30, 2017 and 2016, respectively, in research and development expense related to the vesting of the shares of common stock. The Company recognizes compensation expense based on the estimated fair value of the common stock at each reporting period, which was $19.98 and $8.29 per share as of June 30, 2017 and December 31, 2016,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Freescale</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has entered into various transactions with Freescale (a wholly-owned subsidiary of NXP), a related party due to its equity ownership in the Company. The Company leases its manufacturing facility in Chandler, Arizona, from Freescale and total rent payments made were $377,000 and $263,000 during the three months ended June 30, 2017 and 2016, respectively, and $666,000 and $520,000 for the six months ended June 30, 2017 and 2016, respectively. Freescale also performs processing of the Company’s products in its facility which are capitalized as part of the cost of inventory. The total processing costs incurred by the Company were $1.2 million and $591,000 for the three months ended June 30, 2017 and 2016, respectively, and $1.6 million and $1.3 million for the six months ended June 30, 2017 and 2016, respectively. In addition, Freescale is one of the Company’s largest customers for the sale of embedded wafers, and total revenue from Freescale was $627,000 and $0 during the three months ended June 30, 2017 and 2016, respectively, and $1.2 million and $735,000 for the six months ended June 30, 2017 and 2016, respectively. In the three and six months ended June 30, 2017, the Company purchased wafers for its Condor product from Freescale for $223,000 and $391,000, respectively, which are included in inventory as of June 30, 2017. Amounts due from Freescale were $526,000 and $486,000 at June 30, 2017 and December 31, 2016, respectively. Amounts due to Freescale were $420,000 and $380,000 at June 30, 2017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Common Share</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amounts):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Denominator:</w:t>
      </w:r>
    </w:p>
    <w:p>
      <w:pPr>
        <w:spacing w:after="0" w:line="23"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color w:val="auto"/>
        </w:rPr>
        <w:t>Weighted-average common shares outstanding Less: weighted-average unvested common shares subjected to repurchase</w:t>
      </w:r>
    </w:p>
    <w:p>
      <w:pPr>
        <w:spacing w:after="0" w:line="1" w:lineRule="exact"/>
        <w:rPr>
          <w:sz w:val="20"/>
          <w:szCs w:val="20"/>
          <w:color w:val="auto"/>
        </w:rPr>
      </w:pPr>
    </w:p>
    <w:p>
      <w:pPr>
        <w:ind w:left="120"/>
        <w:spacing w:after="0" w:line="306" w:lineRule="auto"/>
        <w:rPr>
          <w:sz w:val="20"/>
          <w:szCs w:val="20"/>
          <w:color w:val="auto"/>
        </w:rPr>
      </w:pPr>
      <w:r>
        <w:rPr>
          <w:rFonts w:ascii="Arial" w:cs="Arial" w:eastAsia="Arial" w:hAnsi="Arial"/>
          <w:sz w:val="15"/>
          <w:szCs w:val="15"/>
          <w:color w:val="auto"/>
        </w:rPr>
        <w:t>Weighted-average common shares outstanding used to calculate net loss per common share, basic and diluted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 basic and diluted</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41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r>
      <w:tr>
        <w:trPr>
          <w:trHeight w:val="433"/>
        </w:trPr>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(11,273)</w:t>
            </w:r>
          </w:p>
        </w:tc>
        <w:tc>
          <w:tcPr>
            <w:tcW w:w="1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(9,956)</w:t>
            </w:r>
          </w:p>
        </w:tc>
      </w:tr>
      <w:tr>
        <w:trPr>
          <w:trHeight w:val="432"/>
        </w:trPr>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12,583,325</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3,018,567</w:t>
            </w: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12,541,245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3,016,935</w:t>
            </w:r>
          </w:p>
        </w:tc>
      </w:tr>
      <w:tr>
        <w:trPr>
          <w:trHeight w:val="432"/>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(169,801)</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(461,538)</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(461,538)</w:t>
            </w:r>
          </w:p>
        </w:tc>
      </w:tr>
      <w:tr>
        <w:trPr>
          <w:trHeight w:val="406"/>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12,413,524</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2,557,029</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12,357,066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2,555,397</w:t>
            </w:r>
          </w:p>
        </w:tc>
      </w:tr>
      <w:tr>
        <w:trPr>
          <w:trHeight w:val="223"/>
        </w:trPr>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-1285875</wp:posOffset>
            </wp:positionV>
            <wp:extent cx="575437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-994410</wp:posOffset>
            </wp:positionV>
            <wp:extent cx="575437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-711200</wp:posOffset>
            </wp:positionV>
            <wp:extent cx="575437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-162560</wp:posOffset>
            </wp:positionV>
            <wp:extent cx="57543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40" w:space="440"/>
            <w:col w:w="4580"/>
          </w:cols>
          <w:pgMar w:left="1420" w:top="125" w:right="1419" w:bottom="1440" w:gutter="0" w:footer="0" w:header="0"/>
          <w:type w:val="continuous"/>
        </w:sectPr>
      </w:pPr>
    </w:p>
    <w:p>
      <w:pPr>
        <w:spacing w:after="0" w:line="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outstanding shares of potentially dilutive securities have been excluded from diluted net loss per common share for the periods presented, because their inclusion would be anti-dilutive: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3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2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44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6"/>
        </w:trPr>
        <w:tc>
          <w:tcPr>
            <w:tcW w:w="44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7"/>
                <w:szCs w:val="17"/>
                <w:color w:val="auto"/>
              </w:rPr>
            </w:pPr>
          </w:p>
        </w:tc>
      </w:tr>
      <w:tr>
        <w:trPr>
          <w:trHeight w:val="182"/>
        </w:trPr>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Redeemable convertible preferred stock on an as-converted</w:t>
            </w: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basis</w:t>
            </w:r>
          </w:p>
        </w:tc>
        <w:tc>
          <w:tcPr>
            <w:tcW w:w="1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2,486,199</w:t>
            </w:r>
          </w:p>
        </w:tc>
        <w:tc>
          <w:tcPr>
            <w:tcW w:w="1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2,486,199</w:t>
            </w:r>
          </w:p>
        </w:tc>
        <w:tc>
          <w:tcPr>
            <w:tcW w:w="40" w:type="dxa"/>
            <w:vAlign w:val="bottom"/>
            <w:shd w:val="clear" w:color="auto" w:fill="CCEEFF"/>
          </w:tcPr>
          <w:p>
            <w:pPr>
              <w:spacing w:after="0"/>
              <w:rPr>
                <w:sz w:val="20"/>
                <w:szCs w:val="20"/>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1,268,665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862,383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1,268,665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862,383</w:t>
            </w:r>
          </w:p>
        </w:tc>
        <w:tc>
          <w:tcPr>
            <w:tcW w:w="4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461,538</w:t>
            </w:r>
          </w:p>
        </w:tc>
        <w:tc>
          <w:tcPr>
            <w:tcW w:w="40" w:type="dxa"/>
            <w:vAlign w:val="bottom"/>
            <w:shd w:val="clear" w:color="auto" w:fill="CCEEFF"/>
          </w:tcPr>
          <w:p>
            <w:pPr>
              <w:spacing w:after="0"/>
              <w:rPr>
                <w:sz w:val="18"/>
                <w:szCs w:val="18"/>
                <w:color w:val="auto"/>
              </w:rPr>
            </w:pP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w w:val="93"/>
              </w:rPr>
              <w:t>Redeemable convertible preferred stock warrants on an as-</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converted basis</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27,690</w:t>
            </w:r>
          </w:p>
        </w:tc>
        <w:tc>
          <w:tcPr>
            <w:tcW w:w="180" w:type="dxa"/>
            <w:vAlign w:val="bottom"/>
          </w:tcPr>
          <w:p>
            <w:pPr>
              <w:spacing w:after="0"/>
              <w:rPr>
                <w:sz w:val="20"/>
                <w:szCs w:val="20"/>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27,690</w:t>
            </w:r>
          </w:p>
        </w:tc>
        <w:tc>
          <w:tcPr>
            <w:tcW w:w="40" w:type="dxa"/>
            <w:vAlign w:val="bottom"/>
          </w:tcPr>
          <w:p>
            <w:pPr>
              <w:spacing w:after="0"/>
              <w:rPr>
                <w:sz w:val="20"/>
                <w:szCs w:val="20"/>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4440" w:type="dxa"/>
            <w:vAlign w:val="bottom"/>
          </w:tcPr>
          <w:p>
            <w:pPr>
              <w:ind w:left="1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1,450,201</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3,837,810</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1,450,201</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3,837,810</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i w:val="1"/>
          <w:iCs w:val="1"/>
          <w:color w:val="auto"/>
        </w:rPr>
        <w:t>This discussion contains certain forward-looking statements within the meaning of Section 27A of the Securities Act of 1933, as amended, and Section 21E of the Securities Exchange Act of 1934, as amended.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strategies,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are the leading provider of MRAM solutions. Our MRAM solutions offer the persistence of non-volatile memory, a type of memory that retains information even in the absence of power, with the speed and endurance of random access memory (RAM), and enable the protection of mission critical data particularly in the event of power interruption or failure. Our MRAM solutions allow our customers in the industrial, automotive and transportation, and enterprise storage markets to design high performance, power efficient and reliable systems without the need for bulky batteries or capacitors. We are the only provider of commercially available MRAM solutions, and over the past eight years we have shipped over 60 million MRAM units.</w:t>
      </w:r>
    </w:p>
    <w:p>
      <w:pPr>
        <w:spacing w:after="0" w:line="18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We drive our revenue from the sale of our MRAM-based products in discrete unit form, as embedded technology, and through licensing and royalties of our MRAM technology.</w:t>
      </w:r>
    </w:p>
    <w:p>
      <w:pPr>
        <w:spacing w:after="0" w:line="170"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work directly with our customers to have our MRAM devices designed into and qualified for their products. Although we maintain direct sales, support, and development relationships with our customers, once our products are designed into a customer’s product, we sell a majority of our products to those customers through distributors. We generated 68% and 80% for the three months ended June 30, 2017 and 2016, respectively, and 73% and 52% for the six months ended June 30, 2017 and 2016, respectively, of our revenue from products sold through distributors.</w:t>
      </w:r>
    </w:p>
    <w:p>
      <w:pPr>
        <w:spacing w:after="0" w:line="173"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We maintain a direct selling relationship, for strategic purposes, with several key customer accounts. Our direct sales personnel and representatives are organized into three primary regions: North America; Europe, Middle East and Africa (EMEA); and Asia-Pacific (APAC). In North America, our revenue was $1.6 million for the three months ended June 30, 2017 and 2016, and $2.9 million and $3.0 million for the six months ended June 30, 2017 and 2016, respectively. In EMEA, our revenue was $2.0 million and $1.7 million for the three months ended June 30, 2017 and 2016, respectively, and $3.4 million and $2.7 million for the six months ended June 30, 2017 and 2016, respectively. In APAC, our revenue was $5.3 million and $3.4 million for the three months ended June 30, 2017 and 2016, respectively, and $10.6 million and $7.2 million for the six months ended June 30, 2017 and 2016, respectively. We recognize revenue by geography based on the region in which our products are sold, and not to where the end products are shipped.</w:t>
      </w:r>
    </w:p>
    <w:p>
      <w:pPr>
        <w:spacing w:after="0" w:line="167"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We leverage both internal and outsourced capabilities to manufacture our MRAM products. We purchase industry-standard complementary metal-oxide semiconductor (“CMOS”) wafers from semiconductor foundries and complete the fabrication by inserting our magnetic-bit technology at our 200mm fabrication facility in Chandler, Arizona. We believe this allows us to streamline research and development, rapidly prototype new products, and bring new products to market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quickly and cost effectively. This strategy significantly reduces the capital investment that would otherwise be required to operate manufacturing facilities of our own. We intend to utilize leading semiconductor foundries, including GLOBALFOUNDRIES, to support high-volume production of our high density MRAM products on 300mm wafers at advanced process nodes.</w:t>
      </w:r>
    </w:p>
    <w:p>
      <w:pPr>
        <w:spacing w:after="0" w:line="18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the three and six months ended June 30, 2017, we continued to invest in research and development to support the development and production of our second generation of MRAM technology. We believe our continued investment will allow us to continue to develop and deploy products based on our Spin-Torque MRAM (“ST-MRAM”) technology. Our research and development expenses were $6.4 million and $6.1 million for the three months ended June 30, 2017 and 2016, respectively, and $12.8 million and $11.2 million for the six months ended June 30, 2017 and 2016, respectively. We expect that our research and development expenses will increase in the future as we continue to develop our MRAM technology internally and through our joint development agreement with GLOBALFOUNDRIES.</w:t>
      </w:r>
    </w:p>
    <w:p>
      <w:pPr>
        <w:spacing w:after="0" w:line="17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principal executive offices are located in Chandler, Arizona. The facility accommodates our principal sales, marketing and research and development. Also in Chandler, we lease office space, clean room space, and laboratory space for our 200mm production and research and development functions. Our primary product design personnel are located in our office in Austin, Texas.</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recorded revenue of $8.9 million and $6.7 million for the three months ended June 30, 2017 and 2016, respectively, and $16.8 million and $12.9 million for the six months ended June 30, 2017 and 2016, respectively; gross margin was 64.9% and 52.6% for the three months ended June 30, 2017 and 2016, respectively and 59.6% and 55.7% for the six months ended June 30, 2017 and 2016, respectively; and a net loss of $5.2 million and $5.4 million for the three months ended June 30, 2017 and 2016, respectively, and $11.3 million and $10.0 million for the six months ended June 30, 2017 and 2016, respectively. As of June 30, 2017, we had 89 employees, approximately half of whom are engaged in research and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monitor a variety of key financial metrics to help us evaluate growth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EBITDA, a non-GAAP financial measure. We define Adjusted EBITDA as net income or loss adjusted for interest expense, tax, depreciation and amortization, stock-based compensation expense, compensation expense related to the vesting of common stock held by GLOBALFOUNDRIES resulting from our joint development agreement.</w:t>
      </w:r>
    </w:p>
    <w:p>
      <w:pPr>
        <w:spacing w:after="0" w:line="178"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w:t>
      </w:r>
    </w:p>
    <w:p>
      <w:pPr>
        <w:spacing w:after="0" w:line="17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presents a reconciliation of net loss, the most directly comparable GAAP measure, to Adjusted EBITDA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(5,187)</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(5,416)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(11,273)</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(9,956)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Compensation expense related to vesting of GLOBALFOUNDRIES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(3,492)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(6,739)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right="219" w:firstLine="324"/>
        <w:spacing w:after="0" w:line="297" w:lineRule="auto"/>
        <w:rPr>
          <w:sz w:val="20"/>
          <w:szCs w:val="20"/>
          <w:color w:val="auto"/>
        </w:rPr>
      </w:pPr>
      <w:r>
        <w:rPr>
          <w:rFonts w:ascii="Arial" w:cs="Arial" w:eastAsia="Arial" w:hAnsi="Arial"/>
          <w:sz w:val="16"/>
          <w:szCs w:val="16"/>
          <w:i w:val="1"/>
          <w:iCs w:val="1"/>
          <w:color w:val="auto"/>
        </w:rPr>
        <w:t xml:space="preserve">Design wins. </w:t>
      </w:r>
      <w:r>
        <w:rPr>
          <w:rFonts w:ascii="Arial" w:cs="Arial" w:eastAsia="Arial" w:hAnsi="Arial"/>
          <w:sz w:val="16"/>
          <w:szCs w:val="16"/>
          <w:color w:val="auto"/>
        </w:rPr>
        <w:t>In order to continue to grow our revenue, we must continue to achieve design wins for our MRAM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We consider a design win to occur when an original equipment manufacturer (“OEM”) or contract manufacturer notifies us that it has selected one of our products to be incorporated into a product or system under development. Because the life cycles for our customers’ products can last for several years, if these products have successful commercial introductions, we expect to continue to generate revenues over an extended period of time for each successful design win.</w:t>
      </w:r>
    </w:p>
    <w:p>
      <w:pPr>
        <w:spacing w:after="0" w:line="158" w:lineRule="exact"/>
        <w:rPr>
          <w:sz w:val="20"/>
          <w:szCs w:val="20"/>
          <w:color w:val="auto"/>
        </w:rPr>
      </w:pPr>
    </w:p>
    <w:p>
      <w:pPr>
        <w:ind w:right="159" w:firstLine="324"/>
        <w:spacing w:after="0" w:line="255" w:lineRule="auto"/>
        <w:rPr>
          <w:sz w:val="20"/>
          <w:szCs w:val="20"/>
          <w:color w:val="auto"/>
        </w:rPr>
      </w:pPr>
      <w:r>
        <w:rPr>
          <w:rFonts w:ascii="Arial" w:cs="Arial" w:eastAsia="Arial" w:hAnsi="Arial"/>
          <w:sz w:val="18"/>
          <w:szCs w:val="18"/>
          <w:i w:val="1"/>
          <w:iCs w:val="1"/>
          <w:color w:val="auto"/>
        </w:rPr>
        <w:t>Customer acceptance of our technology and customer product success</w:t>
      </w:r>
      <w:r>
        <w:rPr>
          <w:rFonts w:ascii="Arial" w:cs="Arial" w:eastAsia="Arial" w:hAnsi="Arial"/>
          <w:sz w:val="18"/>
          <w:szCs w:val="18"/>
          <w:color w:val="auto"/>
        </w:rPr>
        <w:t>. In order for our customers to use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to redesign certain components of their existing designs. We have established relationships with several controller companies, including Broadcom (formerly LSI and Avago) and Microsemi (formerly PMC-Sierra), and IP core companies, including Cadence, Northwest Logic and Altera (now part of Intel), to accelerate the implementation of our MRAM solutions into our customers end products. Delays in our customers’ design cycles may have adverse effects on the demand, and therefore sales, of our products.</w:t>
      </w:r>
    </w:p>
    <w:p>
      <w:pPr>
        <w:spacing w:after="0" w:line="193" w:lineRule="exact"/>
        <w:rPr>
          <w:sz w:val="20"/>
          <w:szCs w:val="20"/>
          <w:color w:val="auto"/>
        </w:rPr>
      </w:pPr>
    </w:p>
    <w:p>
      <w:pPr>
        <w:ind w:right="39" w:firstLine="324"/>
        <w:spacing w:after="0" w:line="287" w:lineRule="auto"/>
        <w:rPr>
          <w:sz w:val="20"/>
          <w:szCs w:val="20"/>
          <w:color w:val="auto"/>
        </w:rPr>
      </w:pPr>
      <w:r>
        <w:rPr>
          <w:rFonts w:ascii="Arial" w:cs="Arial" w:eastAsia="Arial" w:hAnsi="Arial"/>
          <w:sz w:val="16"/>
          <w:szCs w:val="16"/>
          <w:i w:val="1"/>
          <w:iCs w:val="1"/>
          <w:color w:val="auto"/>
        </w:rPr>
        <w:t>Customer concentration</w:t>
      </w:r>
      <w:r>
        <w:rPr>
          <w:rFonts w:ascii="Arial" w:cs="Arial" w:eastAsia="Arial" w:hAnsi="Arial"/>
          <w:sz w:val="16"/>
          <w:szCs w:val="16"/>
          <w:color w:val="auto"/>
        </w:rPr>
        <w:t>. A relatively small number of end customers have historically accounted for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percentage of our revenue. Revenue, including through distributors, from NXP, STMicroelectronics, Novomatic Gaming Industries, GLOBALFOUNDRIES and Dell, collectively, accounted for approximately 38% and 35% of our total revenue in the three and six months ended June 30, 2017, respectively. None of these customers accounted for in excess of 10% of our total revenue in the three months ended June 30, 2016. One of these customers accounted for in excess of 10% of our total revenue in the six months ended June 30, 2017. Revenue, including through distributors, from Dell, Broadcom, STMicroelectronics, NXP, and Nikkiso, collectively, accounted for 20% and 34% of our total revenue in the three and six months ended June 30, 2016, respectively. None of these customers accounted for in excess of 10% of our total revenue in the three and six months ended June 30, 2016. It would be difficult to replace lost revenue resulting from the loss, reduction, cancellation or delay in purchase orders by any one of these customers. Consolidation among our customers may further concentrate our customer base and expose us to increased risks relating to increased customer concentration. In addition, any significant pricing pressure exerted by a significant customer could adversely affect our operating results.</w:t>
      </w:r>
    </w:p>
    <w:p>
      <w:pPr>
        <w:spacing w:after="0" w:line="169"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i w:val="1"/>
          <w:iCs w:val="1"/>
          <w:color w:val="auto"/>
        </w:rPr>
        <w:t xml:space="preserve">Pricing, product cost and gross margins of our products. </w:t>
      </w:r>
      <w:r>
        <w:rPr>
          <w:rFonts w:ascii="Arial" w:cs="Arial" w:eastAsia="Arial" w:hAnsi="Arial"/>
          <w:sz w:val="17"/>
          <w:szCs w:val="17"/>
          <w:color w:val="auto"/>
        </w:rPr>
        <w:t>Our gross margin has been, and will continue to be, affected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factors, including the timing of changes in pricing, shipment volumes, new product introductions, changes in product mix, changes in our purchase price of fabricated wafers, assembly and test service expenses, manufacturing yields and inventory write downs, if any. In general, newly introduced products, and products with higher densities and performance,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seek to offset the effect of declining average selling prices on existing products by reducing manufacturing expenses and introducing newer, higher value-added products. If we are unable to maintain overall average selling prices or to offset any declines in average selling prices with savings on product costs, our gross margin will decline.</w:t>
      </w:r>
    </w:p>
    <w:p>
      <w:pPr>
        <w:spacing w:after="0" w:line="178" w:lineRule="exact"/>
        <w:rPr>
          <w:sz w:val="20"/>
          <w:szCs w:val="20"/>
          <w:color w:val="auto"/>
        </w:rPr>
      </w:pPr>
    </w:p>
    <w:p>
      <w:pPr>
        <w:ind w:right="59" w:firstLine="324"/>
        <w:spacing w:after="0" w:line="302" w:lineRule="auto"/>
        <w:rPr>
          <w:sz w:val="20"/>
          <w:szCs w:val="20"/>
          <w:color w:val="auto"/>
        </w:rPr>
      </w:pPr>
      <w:r>
        <w:rPr>
          <w:rFonts w:ascii="Arial" w:cs="Arial" w:eastAsia="Arial" w:hAnsi="Arial"/>
          <w:sz w:val="16"/>
          <w:szCs w:val="16"/>
          <w:i w:val="1"/>
          <w:iCs w:val="1"/>
          <w:color w:val="auto"/>
        </w:rPr>
        <w:t xml:space="preserve">Gross margin impact of licensing revenue. </w:t>
      </w:r>
      <w:r>
        <w:rPr>
          <w:rFonts w:ascii="Arial" w:cs="Arial" w:eastAsia="Arial" w:hAnsi="Arial"/>
          <w:sz w:val="16"/>
          <w:szCs w:val="16"/>
          <w:color w:val="auto"/>
        </w:rPr>
        <w:t>Our licensing revenue, which we collect as licensing fees and royalty</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generates significantly higher gross margin than product revenue. Due to the high gross margin profile of this revenue stream, fluctuations in licensing revenue may have a greater impact on gross margin than a corresponding change in the demand for our products. Therefore, as licensing revenue fluctuates, we may see significant variations in gross margin.</w:t>
      </w:r>
    </w:p>
    <w:p>
      <w:pPr>
        <w:spacing w:after="0" w:line="154" w:lineRule="exact"/>
        <w:rPr>
          <w:sz w:val="20"/>
          <w:szCs w:val="20"/>
          <w:color w:val="auto"/>
        </w:rPr>
      </w:pPr>
    </w:p>
    <w:p>
      <w:pPr>
        <w:ind w:right="19" w:firstLine="324"/>
        <w:spacing w:after="0" w:line="272" w:lineRule="auto"/>
        <w:rPr>
          <w:sz w:val="20"/>
          <w:szCs w:val="20"/>
          <w:color w:val="auto"/>
        </w:rPr>
      </w:pPr>
      <w:r>
        <w:rPr>
          <w:rFonts w:ascii="Arial" w:cs="Arial" w:eastAsia="Arial" w:hAnsi="Arial"/>
          <w:sz w:val="17"/>
          <w:szCs w:val="17"/>
          <w:i w:val="1"/>
          <w:iCs w:val="1"/>
          <w:color w:val="auto"/>
        </w:rPr>
        <w:t xml:space="preserve">Technology, process, and product development investment. </w:t>
      </w:r>
      <w:r>
        <w:rPr>
          <w:rFonts w:ascii="Arial" w:cs="Arial" w:eastAsia="Arial" w:hAnsi="Arial"/>
          <w:sz w:val="17"/>
          <w:szCs w:val="17"/>
          <w:color w:val="auto"/>
        </w:rPr>
        <w:t>We invest heavily to develop our MRAM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core MRAM technology, the joint development agreement with GLOBALFOUNDRIES, and the design of new and innovative products based on MRAM, to provide solutions to our current and future customers. We anticipate that we will continue to investment in our research and development to achieve our technology and product roadmaps. Our product development is targeted to specific segments of the market where we believe the densities and performance of our products can provide the most benefit. We believe our close coordination with our customers regarding their future product requirements enhances the efficiency of our research and development expenditures.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derive our revenue from the sale of our MRAM-based products in discrete unit form, as embedded technology, and through licensing of and royalties on our MRAM technology. For sales through distributors, we defer recognition of revenue and the related expenses of our discrete MRAM products until the distributor has sold the products to its end customer. We recognize license fees when the applicable development milestones have been met in accordance with the terms of the licensing agreement. Our licensing revenue is largely dependent on a small number of transactions during a given year. We recognize revenue for royalties resulting from our licensing agreements in accordance with the terms of the licensing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300" w:firstLine="324"/>
        <w:spacing w:after="0" w:line="312" w:lineRule="auto"/>
        <w:rPr>
          <w:sz w:val="20"/>
          <w:szCs w:val="20"/>
          <w:color w:val="auto"/>
        </w:rPr>
      </w:pPr>
      <w:r>
        <w:rPr>
          <w:rFonts w:ascii="Arial" w:cs="Arial" w:eastAsia="Arial" w:hAnsi="Arial"/>
          <w:sz w:val="16"/>
          <w:szCs w:val="16"/>
          <w:color w:val="auto"/>
        </w:rPr>
        <w:t>Cost of sales primarily includes the cost of our products including costs to purchase wafers, costs paid for wafer fabrication, costs associated with the assembly and testing of our products, shipping costs and costs of our manufacturing personnel. Cost of sales also includes indirect costs, such as warranty, inventory valuation reserves and overhead costs.</w:t>
      </w:r>
    </w:p>
    <w:p>
      <w:pPr>
        <w:spacing w:after="0" w:line="14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Gross profit is revenue less cost of sales. Gross margin is gross profit expressed as a percentage of total revenue. We expect that our gross margin may fluctuate from period to period, primarily as a result of changes in average selling price, revenue mix among our products, product yields and manufacturing costs. In addition, we may reserve against the value at which we carry our inventory based upon the product’s life cycle and conditions in the markets in which we sell. Declines in average selling prices may be paired with improvements in our cost of sales, which may offset some of the gross margin reduction that could result from lower selling prices.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40" w:firstLine="324"/>
        <w:spacing w:after="0" w:line="257" w:lineRule="auto"/>
        <w:rPr>
          <w:sz w:val="20"/>
          <w:szCs w:val="20"/>
          <w:color w:val="auto"/>
        </w:rPr>
      </w:pPr>
      <w:r>
        <w:rPr>
          <w:rFonts w:ascii="Arial" w:cs="Arial" w:eastAsia="Arial" w:hAnsi="Arial"/>
          <w:sz w:val="18"/>
          <w:szCs w:val="18"/>
          <w:color w:val="auto"/>
        </w:rPr>
        <w:t>Our operating expenses consist of research and development, general and administrative and sales and marketing expenses. Personnel-related expenses, including salaries, benefits, bonuses and stock-based compensation, are the most significant component of each of our operating expense categories. In addition, we expect to increase research and development expenditures, hire additional personnel necessary to support our growth, and incur additional expenses associated with being a public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research and development expenses consist primarily of personnel-related expenses for the design and development of our products and technologies, test wafers required to characterize our technology, and expenses associated with our joint development agreement with GLOBALFOUNDRIES. Research and development expenses also include consulting services, circuit design costs, materials and laboratory supplies, fabrication and new packaging technology, and an allocation of related facilities and equipment costs. We expect our research and development expenses to increase as we hire additional personnel to develop new products and product enhancements. We recognize research and development expenses as they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Our general and administrative expenses consist primarily of personnel expenses, allocated facilities costs, expenses for outside professional services, and expenses for personnel and consultants engaged in executive, finance, legal, information technology and administrative activities. We expect to incur additional general and administrative expenses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sales and marketing expenses consist primarily of compensation for our sales, marketing, and business development personnel, including bonuses and commissions for our sales representatives. We expect our sales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marketing expenses to increase as we hire additional sales personnel and representatives and increase our marketing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Interest expense consists of cash and non-cash components. The non-cash component consists of interest expense recognized from the amortization of debt discounts derived from the issuance of warrants and debt issuance costs capitalized on our balance sheets as a reduction of the debt balance. The non-cash component also includes interest expense on our convertible promissory notes as well as the amortization of debt discounts from the bifurcation of an embedded derivative related to the notes. These notes were converted into shares of our common stock upon the completion of our initial public offering, (“IPO”) in October 2016. The cash component of interest expense is attributable to our borrowings under our loan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Other income, net consists primarily of the change in fair value of our convertible preferred stock warrant liability. Prior to the completion of our IPO, our convertible preferred stock warrants were exercisable into shares that were contingently redeemable. As such, these warrants were classified as a liability on our balance sheets at their estimated fair value and were marked to market at each reporting period. We continued to record adjustments to the estimated fair values of the convertible preferred stock warrants until they converted into common stock warrants upon the closing of the IPO.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In the second quarter of 2017, we repaid the outstanding balance of our revolving loan and term loan at which time the unamortized balance of the debt discount and a prepayment penalty for the term loan were recognized as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w:t>
            </w:r>
          </w:p>
        </w:tc>
        <w:tc>
          <w:tcPr>
            <w:tcW w:w="182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42"/>
        </w:trPr>
        <w:tc>
          <w:tcPr>
            <w:tcW w:w="3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4"/>
          </w:tcPr>
          <w:p>
            <w:pPr>
              <w:jc w:val="right"/>
              <w:ind w:right="253"/>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12,723</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Licensing and royalty revenue</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12,866</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3,159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Operating expenses: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11,231</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3,295</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10,581</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16,214</w:t>
            </w:r>
          </w:p>
        </w:tc>
        <w:tc>
          <w:tcPr>
            <w:tcW w:w="16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(9,052)</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Interest expense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(1,184)</w:t>
            </w: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8"/>
                <w:szCs w:val="18"/>
                <w:color w:val="auto"/>
              </w:rPr>
            </w:pPr>
          </w:p>
        </w:tc>
      </w:tr>
      <w:tr>
        <w:trPr>
          <w:trHeight w:val="217"/>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(11,273)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(9,956)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864"/>
        </w:trPr>
        <w:tc>
          <w:tcPr>
            <w:tcW w:w="3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left="373"/>
              <w:spacing w:after="0"/>
              <w:rPr>
                <w:sz w:val="20"/>
                <w:szCs w:val="20"/>
                <w:color w:val="auto"/>
              </w:rPr>
            </w:pPr>
            <w:r>
              <w:rPr>
                <w:rFonts w:ascii="Arial" w:cs="Arial" w:eastAsia="Arial" w:hAnsi="Arial"/>
                <w:sz w:val="18"/>
                <w:szCs w:val="18"/>
                <w:color w:val="auto"/>
                <w:w w:val="89"/>
              </w:rPr>
              <w:t>21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30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39" w:firstLine="324"/>
        <w:spacing w:after="0" w:line="277" w:lineRule="auto"/>
        <w:rPr>
          <w:sz w:val="20"/>
          <w:szCs w:val="20"/>
          <w:color w:val="auto"/>
        </w:rPr>
      </w:pPr>
      <w:r>
        <w:rPr>
          <w:rFonts w:ascii="Arial" w:cs="Arial" w:eastAsia="Arial" w:hAnsi="Arial"/>
          <w:sz w:val="18"/>
          <w:szCs w:val="18"/>
          <w:color w:val="auto"/>
        </w:rPr>
        <w:t>The following table sets forth the statements of operations data for each of the periods presented as a percentage of 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gridSpan w:val="9"/>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60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6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center"/>
              <w:ind w:right="16"/>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7"/>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9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CCEEFF"/>
              <w:bottom w:val="single" w:sz="8" w:color="CCEEFF"/>
            </w:tcBorders>
            <w:shd w:val="clear" w:color="auto" w:fill="CCEEFF"/>
          </w:tcPr>
          <w:p>
            <w:pPr>
              <w:jc w:val="center"/>
              <w:ind w:right="16"/>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CCEEFF"/>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432"/>
        </w:trPr>
        <w:tc>
          <w:tcPr>
            <w:tcW w:w="5640" w:type="dxa"/>
            <w:vAlign w:val="bottom"/>
            <w:gridSpan w:val="10"/>
          </w:tcPr>
          <w:p>
            <w:pPr>
              <w:ind w:left="320"/>
              <w:spacing w:after="0"/>
              <w:rPr>
                <w:sz w:val="20"/>
                <w:szCs w:val="20"/>
                <w:color w:val="auto"/>
              </w:rPr>
            </w:pPr>
            <w:r>
              <w:rPr>
                <w:rFonts w:ascii="Arial" w:cs="Arial" w:eastAsia="Arial" w:hAnsi="Arial"/>
                <w:sz w:val="18"/>
                <w:szCs w:val="18"/>
                <w:b w:val="1"/>
                <w:bCs w:val="1"/>
                <w:i w:val="1"/>
                <w:iCs w:val="1"/>
                <w:color w:val="auto"/>
                <w:w w:val="97"/>
              </w:rPr>
              <w:t>Comparison of the Three Months Ended June 30, 2017 and 2016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320"/>
              <w:spacing w:after="0"/>
              <w:rPr>
                <w:sz w:val="20"/>
                <w:szCs w:val="20"/>
                <w:color w:val="auto"/>
              </w:rPr>
            </w:pPr>
            <w:r>
              <w:rPr>
                <w:rFonts w:ascii="Arial" w:cs="Arial" w:eastAsia="Arial" w:hAnsi="Arial"/>
                <w:sz w:val="18"/>
                <w:szCs w:val="18"/>
                <w:i w:val="1"/>
                <w:iCs w:val="1"/>
                <w:color w:val="auto"/>
              </w:rPr>
              <w:t>Revenue</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gridSpan w:val="8"/>
          </w:tcPr>
          <w:p>
            <w:pPr>
              <w:jc w:val="right"/>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6"/>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center"/>
              <w:ind w:left="84"/>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9"/>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$ 8,062</w:t>
            </w: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$ 6,597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$ 1,465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863</w:t>
            </w: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1,292 %</w:t>
            </w:r>
          </w:p>
        </w:tc>
        <w:tc>
          <w:tcPr>
            <w:tcW w:w="0" w:type="dxa"/>
            <w:vAlign w:val="bottom"/>
          </w:tcPr>
          <w:p>
            <w:pPr>
              <w:spacing w:after="0"/>
              <w:rPr>
                <w:sz w:val="1"/>
                <w:szCs w:val="1"/>
                <w:color w:val="auto"/>
              </w:rPr>
            </w:pPr>
          </w:p>
        </w:tc>
      </w:tr>
      <w:tr>
        <w:trPr>
          <w:trHeight w:val="217"/>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$ 8,925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6"/>
              </w:rPr>
              <w:t>$ 6,659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$ 2,266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19" w:firstLine="243"/>
        <w:spacing w:after="0" w:line="302" w:lineRule="auto"/>
        <w:rPr>
          <w:sz w:val="20"/>
          <w:szCs w:val="20"/>
          <w:color w:val="auto"/>
        </w:rPr>
      </w:pPr>
      <w:r>
        <w:rPr>
          <w:rFonts w:ascii="Arial" w:cs="Arial" w:eastAsia="Arial" w:hAnsi="Arial"/>
          <w:sz w:val="16"/>
          <w:szCs w:val="16"/>
          <w:color w:val="auto"/>
        </w:rPr>
        <w:t>Total revenue increased by $2.3 million or 34%, from $6.7 million during the three months ended June 30, 2016, to $8.9 million during the three months ended June 30, 2017. Product sales increased by $1.5 million or 22%, from $6.6 million during the three months ended June 30, 2016, to $8.1 million during the three months ended June 30, 2017. The increase in product sales was due to $1.5 million increased sales volume and mix in our first generation MRAM products.</w:t>
      </w:r>
    </w:p>
    <w:p>
      <w:pPr>
        <w:spacing w:after="0" w:line="154" w:lineRule="exact"/>
        <w:rPr>
          <w:sz w:val="20"/>
          <w:szCs w:val="20"/>
          <w:color w:val="auto"/>
        </w:rPr>
      </w:pPr>
    </w:p>
    <w:p>
      <w:pPr>
        <w:ind w:right="59" w:firstLine="243"/>
        <w:spacing w:after="0" w:line="276" w:lineRule="auto"/>
        <w:rPr>
          <w:sz w:val="20"/>
          <w:szCs w:val="20"/>
          <w:color w:val="auto"/>
        </w:rPr>
      </w:pPr>
      <w:r>
        <w:rPr>
          <w:rFonts w:ascii="Arial" w:cs="Arial" w:eastAsia="Arial" w:hAnsi="Arial"/>
          <w:sz w:val="17"/>
          <w:szCs w:val="17"/>
          <w:color w:val="auto"/>
        </w:rPr>
        <w:t>Licensing and royalty revenue is a highly variable revenue item characterized by a small number of transactions annually with revenues based on size and terms of each transaction. Licensing and royalty revenue increased by $0.8 million, from $0.1 million during the three months ended June 30, 2016, to $0.9 million during the three months ended June 30, 2017. The increase was primarily due to milestones earned for the achievement of specified events during the three months ended June 30, 2017, primarily from GLOBALFOUNDRIES.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Three Months Ended</w:t>
            </w:r>
          </w:p>
        </w:tc>
        <w:tc>
          <w:tcPr>
            <w:tcW w:w="40" w:type="dxa"/>
            <w:vAlign w:val="bottom"/>
          </w:tcPr>
          <w:p>
            <w:pPr>
              <w:spacing w:after="0"/>
              <w:rPr>
                <w:sz w:val="14"/>
                <w:szCs w:val="14"/>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520" w:type="dxa"/>
            <w:vAlign w:val="bottom"/>
            <w:gridSpan w:val="5"/>
          </w:tcPr>
          <w:p>
            <w:pPr>
              <w:ind w:left="7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6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$ 3,133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$ 3,159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64.9 %</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52.6 %</w:t>
            </w: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right="199" w:firstLine="324"/>
        <w:spacing w:after="0" w:line="264" w:lineRule="auto"/>
        <w:rPr>
          <w:sz w:val="20"/>
          <w:szCs w:val="20"/>
          <w:color w:val="auto"/>
        </w:rPr>
      </w:pPr>
      <w:r>
        <w:rPr>
          <w:rFonts w:ascii="Arial" w:cs="Arial" w:eastAsia="Arial" w:hAnsi="Arial"/>
          <w:sz w:val="18"/>
          <w:szCs w:val="18"/>
          <w:color w:val="auto"/>
        </w:rPr>
        <w:t>Cost of sales decreased by $26,000, from $3.2 million during the three months ended June 30, 2016, to $3.1 million during the three months ended June 30, 2017. The decrease, despite the significant increase in product sales, was primarily due to increased yields in the three months ended June 30, 2017</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Gross margin increased from 52.6% during the three months ended June 30, 2016, to 64.9% during the three months ended June 30, 2017. The increase was primarily due increased sales, product mix and higher yields on our Gen 1 MRAM products and the $0.8 million increase in licensing and royalty revenue. The higher yields were largely due to a fix in a parallel test program at final test that previously was falsely rejecting good units. Upon remediation of this issue, the base yields improved. In addition, we were able to process a number of units that previously were falsely rejected, resulting in a one-time increase of two margin points. As a result of the fix in a parallel test program, we expect our gross margins to increase in future periods compared to historical gross margins, but not to the extent of the gross margin in the second quarter of 2017 which benefited from the one-time increase from the processing of a number of previously rejected units.</w:t>
      </w:r>
    </w:p>
    <w:p>
      <w:pPr>
        <w:spacing w:after="0" w:line="38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top w:val="single" w:sz="8" w:color="auto"/>
              <w:bottom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gridSpan w:val="8"/>
          </w:tcPr>
          <w:p>
            <w:pPr>
              <w:ind w:left="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$ 6,094</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2,793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1,213</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1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10,581</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$ 8,535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2,046</w:t>
            </w: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by $0.3 million or 5%, from $6.1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during the three months ended June 30, 2016, to $6.4 million during the three months ended June 30, 2017. The increase was due to a $0.3 million increase in expenses in our joint development agreement with GLOBALFOUNDRIES due to use of more technologically advanced materials, a $0.2 million increase in depreciation expense and rent expense related to the move to our new office and laboratory space in March 2017, and a $0.2 million increase in employee and contract labor related expenses due to increased headcount, partially offset by a $0.5 million decrease in the amount attributable to the vesting of shares of common stock issued to GLOBALFOUNDRIES due to revaluing shares monthly until product qualification was achieved in the third quarter of 2016.</w:t>
      </w:r>
    </w:p>
    <w:p>
      <w:pPr>
        <w:spacing w:after="0" w:line="17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$1.2 million or 77%, from $1.6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three months ended June 30, 2016, to $2.8 million during the three months ended June 30, 2017. The increase was primarily due to a $0.7 million increase in professional services incurred due to becoming a publicly traded company, such as accounting services, insurance, legal and investor relations, and a $0.5 million increase in personnel-related and contract labor costs due to an increase in headcount and an increase in stock-based compensation expense and bonuses.</w:t>
      </w:r>
    </w:p>
    <w:p>
      <w:pPr>
        <w:spacing w:after="0" w:line="15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by $0.5 million or 58%, from $0.9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three months ended June 30, 2016, to $1.4 million during the three months ended June 30, 2017. The increase was primarily attributable to an increase in personnel-related expenses as a result of increased headcount to drive sales.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   718</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(542)</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Interest expense decreased by $0.5 million or 75%, from $0.7 million during the three months ended June 30, 2016, to $0.2 million during the three months ended June 30, 2017. The decrease was primarily related to a $0.4 million decrease in the interest payable to GLOBALFOUNDRIES and our 2016 convertible promissory notes and a $0.1 million decrease due to consolidation of our prior facility with Ares Venture Finance into our 2017 Credit Facility with Silicon Valley Bank.</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$ 337</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(313)</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Other income, net was $24,000 during the three months ended June 30, 2017 compared to $0.3 million during the three months ended June 30, 2016. The change was primarily related to the fair value remeasurement of our warrant liabilities which were reclassified to equity upon the IPO in October 2016.</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Loss on extinguishment of debt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(246)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52"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Loss on extinguishment of debt was $0.2 million during the three months ended June 30, 2017 due to the payoff of our prior facility with Ares Venture Finance. There was no such loss during the three months ended June 30, 2016.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9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w w:val="93"/>
              </w:rPr>
              <w:t>Change</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8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6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$15,282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Licensing and royalty revenue</w:t>
            </w:r>
          </w:p>
        </w:tc>
        <w:tc>
          <w:tcPr>
            <w:tcW w:w="1660" w:type="dxa"/>
            <w:vAlign w:val="bottom"/>
            <w:gridSpan w:val="2"/>
          </w:tcPr>
          <w:p>
            <w:pPr>
              <w:jc w:val="right"/>
              <w:ind w:right="4"/>
              <w:spacing w:after="0"/>
              <w:rPr>
                <w:sz w:val="20"/>
                <w:szCs w:val="20"/>
                <w:color w:val="auto"/>
              </w:rPr>
            </w:pPr>
            <w:r>
              <w:rPr>
                <w:rFonts w:ascii="Arial" w:cs="Arial" w:eastAsia="Arial" w:hAnsi="Arial"/>
                <w:sz w:val="18"/>
                <w:szCs w:val="18"/>
                <w:color w:val="auto"/>
              </w:rPr>
              <w:t>1,523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1,380</w:t>
            </w: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965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16,805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12,866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$ 3,939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Total revenue increased by $3.9 million or 31%, from $12.9 million during the six months ended June 30, 2016, to $16.8 million during the six months ended June 30, 2017. Product sales increased by $2.6 million or 20%, from $12.7 million during the six months ended June 30, 2016, to $15.3 million during the six months ended June 30, 2017. The increase was primarily due to $2.0 million increased sales volume and mix in our first generation MRAM products and $0.6 million increase in sales of our Legacy products.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Licensing and royalty revenue is a highly variable revenue item characterized by a small number of transactions annually with revenues based on size and terms of each transaction. Licensing and royalty revenue increased by $1.4 million from $0.1 million during the six months ended June 30, 2016, to $1.5 million during the six months ended June 30, 2017. The increase was primarily due to $1.2 million in milestones earned for the achievement of specified events during the six months ended June 30, 2017, from GLOBALFOUNDRIES.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 and Gross Margin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w w:val="98"/>
              </w:rPr>
              <w:t>Amount</w:t>
            </w:r>
          </w:p>
        </w:tc>
        <w:tc>
          <w:tcPr>
            <w:tcW w:w="3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520" w:type="dxa"/>
            <w:vAlign w:val="bottom"/>
            <w:gridSpan w:val="5"/>
          </w:tcPr>
          <w:p>
            <w:pPr>
              <w:jc w:val="right"/>
              <w:ind w:right="348"/>
              <w:spacing w:after="0" w:line="142" w:lineRule="exact"/>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$ 6,796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9"/>
              </w:rPr>
              <w:t>$ 1,092</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Gross margin</w:t>
            </w:r>
          </w:p>
        </w:tc>
        <w:tc>
          <w:tcPr>
            <w:tcW w:w="2420" w:type="dxa"/>
            <w:vAlign w:val="bottom"/>
            <w:gridSpan w:val="2"/>
          </w:tcPr>
          <w:p>
            <w:pPr>
              <w:ind w:left="1840"/>
              <w:spacing w:after="0"/>
              <w:rPr>
                <w:sz w:val="20"/>
                <w:szCs w:val="20"/>
                <w:color w:val="auto"/>
              </w:rPr>
            </w:pPr>
            <w:r>
              <w:rPr>
                <w:rFonts w:ascii="Arial" w:cs="Arial" w:eastAsia="Arial" w:hAnsi="Arial"/>
                <w:sz w:val="18"/>
                <w:szCs w:val="18"/>
                <w:color w:val="auto"/>
                <w:w w:val="99"/>
              </w:rPr>
              <w:t>59.6 %</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55.7 %</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600" w:type="dxa"/>
            <w:vAlign w:val="bottom"/>
          </w:tcPr>
          <w:p>
            <w:pPr>
              <w:spacing w:after="0"/>
              <w:rPr>
                <w:sz w:val="24"/>
                <w:szCs w:val="24"/>
                <w:color w:val="auto"/>
              </w:rPr>
            </w:pPr>
          </w:p>
        </w:tc>
        <w:tc>
          <w:tcPr>
            <w:tcW w:w="2420" w:type="dxa"/>
            <w:vAlign w:val="bottom"/>
            <w:gridSpan w:val="2"/>
          </w:tcPr>
          <w:p>
            <w:pPr>
              <w:ind w:left="1840"/>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Cost of sales increased by $1.1 million or 19%, from $5.7 million during the six months ended June 30, 2016, to $6.8 million during the six months ended June 30, 2017. The increase was primarily due to increased sales volume offset in part by higher yields on our Gen 1 MRAM products.</w:t>
      </w:r>
    </w:p>
    <w:p>
      <w:pPr>
        <w:spacing w:after="0" w:line="18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Gross margin increased from 55.7% during the six months ended June 30, 2016, to 59.6% during the six months ended June 30, 2017. The increase was primarily due to increased sales, product mix and higher yields on our Gen 1 MRAM products. The increase in product yields was due to the reasons discussed above regarding our gross margin for the three months ended June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Pr>
          <w:p>
            <w:pPr>
              <w:spacing w:after="0"/>
              <w:rPr>
                <w:sz w:val="14"/>
                <w:szCs w:val="14"/>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w w:val="93"/>
              </w:rPr>
              <w:t>Change</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80" w:type="dxa"/>
            <w:vAlign w:val="bottom"/>
            <w:gridSpan w:val="6"/>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$12,816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$ 11,231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$1,585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tcPr>
          <w:p>
            <w:pPr>
              <w:jc w:val="right"/>
              <w:ind w:right="4"/>
              <w:spacing w:after="0"/>
              <w:rPr>
                <w:sz w:val="20"/>
                <w:szCs w:val="20"/>
                <w:color w:val="auto"/>
              </w:rPr>
            </w:pPr>
            <w:r>
              <w:rPr>
                <w:rFonts w:ascii="Arial" w:cs="Arial" w:eastAsia="Arial" w:hAnsi="Arial"/>
                <w:sz w:val="18"/>
                <w:szCs w:val="18"/>
                <w:color w:val="auto"/>
              </w:rPr>
              <w:t>5,638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3,295</w:t>
            </w:r>
          </w:p>
        </w:tc>
        <w:tc>
          <w:tcPr>
            <w:tcW w:w="1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2,219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1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20,673</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16,214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4,459</w:t>
            </w:r>
          </w:p>
        </w:tc>
        <w:tc>
          <w:tcPr>
            <w:tcW w:w="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by $1.6 million or 14%,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$11.2 million during the six months ended June 30, 2016, to $12.8 million during the six months ended June 30, 2017.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was primarily due to a $1.3 million increase in expenses incurred in our joint development agreement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GLOBALFOUNDRIES due to use of more technologically advanced materials, a $0.5 million increase in equipment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maintenance expenses related to the move to our new office and laboratory space in March 2017, and a $0.5 million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employee and contact labor related expenses due to an increase in headcount, bonuses and stock-based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partially offset by a $0.7 million decrease in the amount attributable to the vesting of shares of common stock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GLOBALFOUNDRIES due to revaluing shares monthly until product qualification was achieved in the third quarter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spending increased by $2.3 million or 71%, from $3.3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during the six months ended June 30, 2016, to $5.6 million during the six months ended June 30, 2017. The increase was primarily due to a $1.6 million increase in professional services incurred due to becoming a publicly traded company, such as accounting services, insurance, legal and investor relations, and a $0.8 million increase in personnel-related and contract labor costs due to an increase in headcount and in stock-based compensation expense and bonuses.</w:t>
      </w:r>
    </w:p>
    <w:p>
      <w:pPr>
        <w:spacing w:after="0" w:line="158"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$0.5 million or 31%, from $1.7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six months ended June 30, 2016, to $2.2 million during the six months ended June 30, 2017. The increase was attributable to a $0.5 million increase in personnel-related expenses as a result of higher headcount and an increase in salaries, bonuses and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jc w:val="right"/>
              <w:ind w:right="208"/>
              <w:spacing w:after="0" w:line="142" w:lineRule="exact"/>
              <w:rPr>
                <w:sz w:val="20"/>
                <w:szCs w:val="20"/>
                <w:color w:val="auto"/>
              </w:rPr>
            </w:pPr>
            <w:r>
              <w:rPr>
                <w:rFonts w:ascii="Arial" w:cs="Arial" w:eastAsia="Arial" w:hAnsi="Arial"/>
                <w:sz w:val="14"/>
                <w:szCs w:val="14"/>
                <w:b w:val="1"/>
                <w:bCs w:val="1"/>
                <w:color w:val="auto"/>
                <w:w w:val="93"/>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9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(778)</w:t>
            </w: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decreased by $0.8 million or 66%, from $1.2 million during the six months ended June 30, 2016, to $0.4 million during the six months ended June 30, 2017. The decrease was primarily related to a $0.7 million decrease in the interest payable to GLOBALFOUNDRIES and our 2016 convertible promissory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8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$ 280</w:t>
            </w: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(237)</w:t>
            </w: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Other income, net was $43,000 during the six months ended June 30, 2017 compared to $0.3 million during the six months ended June 30, 2016. The decrease was primarily related to the fair value remeasurement of our warrant liabilities which were reclassified to equity upon the IPO in October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w:t>
            </w:r>
          </w:p>
        </w:tc>
        <w:tc>
          <w:tcPr>
            <w:tcW w:w="140" w:type="dxa"/>
            <w:vAlign w:val="bottom"/>
          </w:tcPr>
          <w:p>
            <w:pPr>
              <w:spacing w:after="0"/>
              <w:rPr>
                <w:sz w:val="14"/>
                <w:szCs w:val="14"/>
                <w:color w:val="auto"/>
              </w:rPr>
            </w:pPr>
          </w:p>
        </w:tc>
        <w:tc>
          <w:tcPr>
            <w:tcW w:w="86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208"/>
              <w:spacing w:after="0" w:line="142" w:lineRule="exact"/>
              <w:rPr>
                <w:sz w:val="20"/>
                <w:szCs w:val="20"/>
                <w:color w:val="auto"/>
              </w:rPr>
            </w:pPr>
            <w:r>
              <w:rPr>
                <w:rFonts w:ascii="Arial" w:cs="Arial" w:eastAsia="Arial" w:hAnsi="Arial"/>
                <w:sz w:val="14"/>
                <w:szCs w:val="14"/>
                <w:b w:val="1"/>
                <w:bCs w:val="1"/>
                <w:color w:val="auto"/>
                <w:w w:val="94"/>
              </w:rPr>
              <w:t>Amount</w:t>
            </w:r>
          </w:p>
        </w:tc>
        <w:tc>
          <w:tcPr>
            <w:tcW w:w="32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 (246)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52"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Loss on extinguishment of debt was $0.2 million during the six months ended June 30, 2017 due to the payoff of our prior facility with Ares Venture Finance. There was no such loss during the six months ended June 30, 2016.</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generated significant losses since our inception and had an accumulated deficit of $107.7 million as of June 30, 2017. As of June 30, 2017, we had $21.2 million of cash and cash equivalents, compared to $29.7 million as of December 31, 2016.</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October 2016, we completed our IPO in which we sold 5,000,000 shares at a price of $8.00 per share for net proceeds of $33.9 million, net of underwriting discounts and commissions, and offering costs. Concurrent with the IPO, we issued 625,000 shares of our common stock in a private placement for net proceeds of $4.7 million, after deducting the placement agent fee.</w:t>
      </w:r>
    </w:p>
    <w:p>
      <w:pPr>
        <w:spacing w:after="0" w:line="187"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May 2017, we executed a Loan and Security Agreement with Silicon Valley Bank for a $12.0 million term loan. The term of the loan is three years, which would be extended by one year if we achieve a revenue target of $4.0 million for our Spin-Torque product. The loan bears interest at a floating rate equal to the prime rate minus 0.75% and is payable monthly. The outstanding balance of the loan is to be repaid monthly beginning on May 1, 2018 over the remaining term of the loan. The loan is secured by a first priority perfected security interest in our assets excluding any intellectual property.</w:t>
      </w:r>
    </w:p>
    <w:p>
      <w:pPr>
        <w:spacing w:after="0" w:line="15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believe that our existing cash and cash equivalents as of June 30, 2017, coupled with our anticipated growth and sales levels will be sufficient to meet our anticipated cash requirements through August 31,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If we need to raise additional capital to fund our operations, we may be required to seek additional equity or debt financing, and such additional financing may not be available to us on acceptable terms or at all. If we are unable to raise additional capital or generate sufficient cash from operations to adequately fund our operations, we will need to curtail planned activities to reduce costs and extend the time period over which our current resources will be able to fund operations. Doing so will likely harm our ability to execute on our business plan.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30" w:lineRule="exact"/>
        <w:rPr>
          <w:sz w:val="20"/>
          <w:szCs w:val="20"/>
          <w:color w:val="auto"/>
        </w:rPr>
      </w:pPr>
    </w:p>
    <w:p>
      <w:pPr>
        <w:ind w:left="5860"/>
        <w:spacing w:after="0"/>
        <w:rPr>
          <w:sz w:val="20"/>
          <w:szCs w:val="20"/>
          <w:color w:val="auto"/>
        </w:rPr>
      </w:pPr>
      <w:r>
        <w:rPr>
          <w:rFonts w:ascii="Arial" w:cs="Arial" w:eastAsia="Arial" w:hAnsi="Arial"/>
          <w:sz w:val="14"/>
          <w:szCs w:val="14"/>
          <w:b w:val="1"/>
          <w:bCs w:val="1"/>
          <w:color w:val="auto"/>
        </w:rPr>
        <w:t>Six Months Ended</w:t>
      </w:r>
    </w:p>
    <w:p>
      <w:pPr>
        <w:ind w:left="614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gridSpan w:val="2"/>
          </w:tcPr>
          <w:p>
            <w:pPr>
              <w:jc w:val="right"/>
              <w:ind w:right="294"/>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2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(11,290)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(4,650)</w:t>
            </w:r>
          </w:p>
        </w:tc>
        <w:tc>
          <w:tcPr>
            <w:tcW w:w="2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280" w:type="dxa"/>
            <w:vAlign w:val="bottom"/>
            <w:gridSpan w:val="2"/>
          </w:tcPr>
          <w:p>
            <w:pPr>
              <w:jc w:val="right"/>
              <w:ind w:right="28"/>
              <w:spacing w:after="0"/>
              <w:rPr>
                <w:sz w:val="20"/>
                <w:szCs w:val="20"/>
                <w:color w:val="auto"/>
              </w:rPr>
            </w:pPr>
            <w:r>
              <w:rPr>
                <w:rFonts w:ascii="Arial" w:cs="Arial" w:eastAsia="Arial" w:hAnsi="Arial"/>
                <w:sz w:val="18"/>
                <w:szCs w:val="18"/>
                <w:color w:val="auto"/>
              </w:rPr>
              <w:t>(1,704)</w:t>
            </w:r>
          </w:p>
        </w:tc>
        <w:tc>
          <w:tcPr>
            <w:tcW w:w="82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4,443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the six months ended June 30, 2017, cash used in operating activities was $11.3 million, which consisted of a net loss of $11.3 million, adjusted by non-cash charges of $2.4 million and a change of $2.4 million in our net operating assets and liabilities. The non-cash charges primarily consisted of stock-based compensation of $0.8 million, compensation expense related to vesting of common stock issued to GLOBALFOUNDRIES under our joint development agreement of $0.7 million, depreciation and amortization of $0.5 million, loss on extinguishment of debt of $0.2 million, and interest expense related to the amortization of debt issuance costs of $0.1 million. The change in our net operating assets and liabilities was primarily due to an increase in inventory of $1.6 million to meet demands of future sales and growing backlog, an increase of $0.5 million in accounts receivable due to timing of cash receipts for outstanding balances, a decrease of $0.2 million in deferred income on shipments to distributors, an increase of $0.1 million in the amount due from related parties, and a decrease of $0.2 million in amounts due to related parties in connection with the joint development agreement with GLOBALFOUNDRIES. These changes were partially offset by an increase in accounts payable and accrued liabilities of $0.2 million due to the timing of payments.</w:t>
      </w:r>
    </w:p>
    <w:p>
      <w:pPr>
        <w:spacing w:after="0" w:line="18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During the six months ended June 30, 2016, cash used in operating activities was $4.7 million, which consisted of a net loss of $10.0 million, adjusted by non-cash charges of $2.6 million and an increase of $2.7 million in our net operating assets and liabilities. The non-cash charges primarily consisted of compensation expense related to vesting of common stock issued to GLOBALFOUNDRIES under our joint development agreement of $1.4 million, non-cash interest expense of $0.8 million, depreciation and amortization of $0.4 million, a gain of $0.3 million from the fair value remeasurement of our derivative liability, and stock-based compensation of $0.2 million. The increase in our net operating assets and liabilities was primarily due to a net increase of $2.1 million in the related party amount due to GLOBALFOUNDRIES in connection with the joint development agreement, a decrease of $0.4 million in inventory and an increase of $1.3 million in accounts payable and accrued liabilities due to an increase in purchases and timing of payments. These changes were partially offset by an increase in accounts receivable of $0.8 million due to timing of cash receipts for outstanding balances and $0.5 million in prepaid expenses and other assets for advances made for the purchase of wafers.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Cash used in investing activities during the six months ended June 30, 2017, was $1.7 million, primarily for the purchase of manufacturing equipment and capitalized costs related to the move to our new office and laboratory space in Chandler, Arizona.</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Cash used in investing activities during the six months ended June 30, 2016, was $0.4 million, which consisted of capital expenditures primarily for the purchase of manufacturing equipment.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During the six months ended June 30, 2017, cash provided by financing activities was $4.4 million consisting of proceeds of $12.0 million in borrowings, and $0.9 million from stock option exercises and purchases of shares in employee stock purchase plan, offset in part by payments of long term debt of $8.4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During the six months ended June 30, 2016, cash provided by financing activities was $5.4 million consisting of proceeds from $6.5 million in borrowings partially offset in part by payments on deferred offering costs of $0.6 million, long-term debt of $0.4 million, and $0.1 million in payments on capital lease obligations.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as of June 30,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center"/>
              <w:ind w:left="65"/>
              <w:spacing w:after="0"/>
              <w:rPr>
                <w:sz w:val="20"/>
                <w:szCs w:val="20"/>
                <w:color w:val="auto"/>
              </w:rPr>
            </w:pPr>
            <w:r>
              <w:rPr>
                <w:rFonts w:ascii="Arial" w:cs="Arial" w:eastAsia="Arial" w:hAnsi="Arial"/>
                <w:sz w:val="14"/>
                <w:szCs w:val="14"/>
                <w:b w:val="1"/>
                <w:bCs w:val="1"/>
                <w:color w:val="auto"/>
                <w:w w:val="92"/>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3"/>
              </w:rPr>
              <w:t>Less Than</w:t>
            </w:r>
          </w:p>
        </w:tc>
        <w:tc>
          <w:tcPr>
            <w:tcW w:w="160" w:type="dxa"/>
            <w:vAlign w:val="bottom"/>
          </w:tcPr>
          <w:p>
            <w:pPr>
              <w:spacing w:after="0"/>
              <w:rPr>
                <w:sz w:val="10"/>
                <w:szCs w:val="10"/>
                <w:color w:val="auto"/>
              </w:rPr>
            </w:pPr>
          </w:p>
        </w:tc>
        <w:tc>
          <w:tcPr>
            <w:tcW w:w="620" w:type="dxa"/>
            <w:vAlign w:val="bottom"/>
          </w:tcPr>
          <w:p>
            <w:pPr>
              <w:jc w:val="right"/>
              <w:ind w:right="65"/>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20" w:type="dxa"/>
            <w:vAlign w:val="bottom"/>
          </w:tcPr>
          <w:p>
            <w:pPr>
              <w:jc w:val="right"/>
              <w:ind w:right="64"/>
              <w:spacing w:after="0" w:line="119" w:lineRule="exact"/>
              <w:rPr>
                <w:sz w:val="20"/>
                <w:szCs w:val="20"/>
                <w:color w:val="auto"/>
              </w:rPr>
            </w:pPr>
            <w:r>
              <w:rPr>
                <w:rFonts w:ascii="Arial" w:cs="Arial" w:eastAsia="Arial" w:hAnsi="Arial"/>
                <w:sz w:val="13"/>
                <w:szCs w:val="13"/>
                <w:b w:val="1"/>
                <w:bCs w:val="1"/>
                <w:color w:val="auto"/>
              </w:rPr>
              <w:t>3 to 5</w:t>
            </w:r>
          </w:p>
        </w:tc>
        <w:tc>
          <w:tcPr>
            <w:tcW w:w="16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1 Year</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Years</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5 Years</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Long-term debt, current and non-current, including interest</w:t>
            </w:r>
            <w:r>
              <w:rPr>
                <w:rFonts w:ascii="Arial" w:cs="Arial" w:eastAsia="Arial" w:hAnsi="Arial"/>
                <w:sz w:val="8"/>
                <w:szCs w:val="8"/>
                <w:color w:val="auto"/>
                <w:w w:val="99"/>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$ 8,533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13,732</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1,497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7"/>
        </w:trPr>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$ 2,588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$ 9,964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17,319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right="240" w:hanging="599"/>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interest charges have been calculated using a rate of 3.50%, the 2017 Credit Facility borrowing rate. The debt bears interest at a variable rate and interest charges in future periods may be higher.</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material changes in our contractual obligations from December 31, 2016, other than the refinancing of our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Facilities</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June 2015, we entered into a loan and security agreement with Ares Venture Finance for a term loan of $8.0 million and a $4.0 million revolving loan for working capital purposes and to repay our existing debt to another lender. In April 2017, we repaid the outstanding balance of our revolving loan of $1.1 million. In May 2017, we used a portion of the proceeds of the term loan executed with Silicon Valley Bank to pay off the outstanding principal balance of $6.2 million on the June 2015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Credit Facility</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May 4, 2017, we entered into a Loan and Security Agreement with Silicon Valley Bank (“2017 Credit Facility”) for a $12.0 million term loan. The term loan provides for interest at a floating rate equal to the prime rate minus 0.75%. The term loan provides for a period of interest-only payments through April 30, 2018, followed by fixed principal and interest payments based on either a 24-month amortization schedule or a 36-month amortization schedule if we meet certain sales milestones, and an additional payment of 6% of the Loan Amount when the loan is prepaid or repaid, whether at maturity or as a result of a prepayment or acceleration or otherwise.</w:t>
      </w:r>
    </w:p>
    <w:p>
      <w:pPr>
        <w:spacing w:after="0" w:line="17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Security for the 2017 Credit Facility includes all of our assets except for Intellectual Property. The 2017 Credit Facility contains customary covenants restricting our activities, including limitations on our ability to sell assets, engage in mergers and acquisitions, enter into transactions involving related parties, incur indebtedness or grant liens or negative pledges on our assets, make loans or make other investments. Under these covenants, we are prohibited from paying dividends with respect to our capital stock. The 2017 Credit Facility also contains a material adverse effect clause which provides that an event of default will occur if, among other triggers, an event occurs that could reasonably be expected to result in a material adverse effect on our business, operations or condition, or on our ability to perform our obligations under the term loan. We were in compliance with all covenants at June 30, 2017.</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entered into any off-balance sheet arrangements and do not have any holdings in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79" w:firstLine="324"/>
        <w:spacing w:after="0" w:line="271" w:lineRule="auto"/>
        <w:rPr>
          <w:sz w:val="20"/>
          <w:szCs w:val="20"/>
          <w:color w:val="auto"/>
        </w:rPr>
      </w:pPr>
      <w:r>
        <w:rPr>
          <w:rFonts w:ascii="Arial" w:cs="Arial" w:eastAsia="Arial" w:hAnsi="Arial"/>
          <w:sz w:val="17"/>
          <w:szCs w:val="17"/>
          <w:color w:val="auto"/>
        </w:rPr>
        <w:t>Our condensed financial statements have been prepared in accordance with generally accepted accounting principles in the United States, or U.S.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9" w:lineRule="exact"/>
        <w:rPr>
          <w:sz w:val="20"/>
          <w:szCs w:val="20"/>
          <w:color w:val="auto"/>
        </w:rPr>
      </w:pPr>
    </w:p>
    <w:p>
      <w:pPr>
        <w:ind w:right="219" w:firstLine="324"/>
        <w:spacing w:after="0" w:line="264" w:lineRule="auto"/>
        <w:rPr>
          <w:sz w:val="20"/>
          <w:szCs w:val="20"/>
          <w:color w:val="auto"/>
        </w:rPr>
      </w:pPr>
      <w:r>
        <w:rPr>
          <w:rFonts w:ascii="Arial" w:cs="Arial" w:eastAsia="Arial" w:hAnsi="Arial"/>
          <w:sz w:val="18"/>
          <w:szCs w:val="18"/>
          <w:color w:val="auto"/>
        </w:rPr>
        <w:t>There have been no material changes to our critical accounting policies and significant judgments and estimates as compared to the critical accounting policies and significant judgments and estimates disclosed in the Form 10-K filed with the SEC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19" w:firstLine="243"/>
        <w:spacing w:after="0" w:line="264" w:lineRule="auto"/>
        <w:rPr>
          <w:sz w:val="20"/>
          <w:szCs w:val="20"/>
          <w:color w:val="auto"/>
        </w:rPr>
      </w:pPr>
      <w:r>
        <w:rPr>
          <w:rFonts w:ascii="Arial" w:cs="Arial" w:eastAsia="Arial" w:hAnsi="Arial"/>
          <w:sz w:val="18"/>
          <w:szCs w:val="18"/>
          <w:color w:val="auto"/>
        </w:rPr>
        <w:t>We are exposed to market risks in the ordinary course of our business, including the effects of interest rate changes and foreign currency fluctuations. Information relating to quantitative and qualitative disclosures about these markets risks is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79" w:firstLine="324"/>
        <w:spacing w:after="0" w:line="255" w:lineRule="auto"/>
        <w:rPr>
          <w:sz w:val="20"/>
          <w:szCs w:val="20"/>
          <w:color w:val="auto"/>
        </w:rPr>
      </w:pPr>
      <w:r>
        <w:rPr>
          <w:rFonts w:ascii="Arial" w:cs="Arial" w:eastAsia="Arial" w:hAnsi="Arial"/>
          <w:sz w:val="18"/>
          <w:szCs w:val="18"/>
          <w:color w:val="auto"/>
        </w:rPr>
        <w:t>We are primarily exposed to interest rate risk from variable rate borrowings under our 2017 Credit Facility, and to a lesser extent, from our cash position.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A hypothetical 10% increase in our borrowing rates would not have a material impact on interest expense on our principal balances as of June 30, 2017 and December 31,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results of operations and cash flows are subject to fluctuations due to changes in foreign currency exchange rates.</w:t>
      </w:r>
    </w:p>
    <w:p>
      <w:pPr>
        <w:spacing w:after="0" w:line="248" w:lineRule="exact"/>
        <w:rPr>
          <w:sz w:val="20"/>
          <w:szCs w:val="20"/>
          <w:color w:val="auto"/>
        </w:rPr>
      </w:pPr>
    </w:p>
    <w:p>
      <w:pPr>
        <w:ind w:right="19" w:firstLine="324"/>
        <w:spacing w:after="0" w:line="273" w:lineRule="auto"/>
        <w:rPr>
          <w:sz w:val="20"/>
          <w:szCs w:val="20"/>
          <w:color w:val="auto"/>
        </w:rPr>
      </w:pPr>
      <w:r>
        <w:rPr>
          <w:rFonts w:ascii="Arial" w:cs="Arial" w:eastAsia="Arial" w:hAnsi="Arial"/>
          <w:sz w:val="17"/>
          <w:szCs w:val="17"/>
          <w:color w:val="auto"/>
        </w:rPr>
        <w:t>Substantially all of our revenue is denominated in United States dollars. Our expenses are generally denominated in United States dollars; however, we do incur expenses in the currencies of our subcontracted manufacturing suppliers, which are located in Europe and in Asia.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financial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have not hedged exposures denominated in foreign currencies or used any other derivative financial instruments.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Although we transact the substantial majority of our business in U.S. dollars, future fluctuations in the value of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dollar may affect the competitiveness of our products and thus may impact our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19" w:firstLine="324"/>
        <w:spacing w:after="0" w:line="276"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our disclosure controls and procedures (as defined in Rules 13a-15(e) and 15d-15(e) under the Securities Exchange Act of 1934, as amended) prior to the filing of this quarterly report. Based on that evaluation, our Chief Executive Officer and our Chief Financial Officer have concluded that, as of the end of the period covered by this quarterly report,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In connection with the audit of our financial statements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is scheduled for additional integration in 2017.</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management implemented a plan that contains the following elements to remediate the identified weaknesses:</w:t>
      </w:r>
    </w:p>
    <w:p>
      <w:pPr>
        <w:spacing w:after="0" w:line="237" w:lineRule="exact"/>
        <w:rPr>
          <w:sz w:val="20"/>
          <w:szCs w:val="20"/>
          <w:color w:val="auto"/>
        </w:rPr>
      </w:pPr>
    </w:p>
    <w:p>
      <w:pPr>
        <w:ind w:left="580" w:right="420" w:firstLine="26"/>
        <w:spacing w:after="0" w:line="277" w:lineRule="auto"/>
        <w:rPr>
          <w:sz w:val="20"/>
          <w:szCs w:val="20"/>
          <w:color w:val="auto"/>
        </w:rPr>
      </w:pPr>
      <w:r>
        <w:rPr>
          <w:rFonts w:ascii="Arial" w:cs="Arial" w:eastAsia="Arial" w:hAnsi="Arial"/>
          <w:sz w:val="18"/>
          <w:szCs w:val="18"/>
          <w:color w:val="auto"/>
        </w:rPr>
        <w:t>We have hired additional accounting and finance staff members to augment our current staff and to improve the effectiveness of our closing and financial reporting processes;</w:t>
      </w:r>
    </w:p>
    <w:p>
      <w:pPr>
        <w:spacing w:after="0" w:line="170" w:lineRule="exact"/>
        <w:rPr>
          <w:sz w:val="20"/>
          <w:szCs w:val="20"/>
          <w:color w:val="auto"/>
        </w:rPr>
      </w:pPr>
    </w:p>
    <w:p>
      <w:pPr>
        <w:ind w:left="580" w:right="180" w:firstLine="26"/>
        <w:spacing w:after="0" w:line="277" w:lineRule="auto"/>
        <w:rPr>
          <w:sz w:val="20"/>
          <w:szCs w:val="20"/>
          <w:color w:val="auto"/>
        </w:rPr>
      </w:pPr>
      <w:r>
        <w:rPr>
          <w:rFonts w:ascii="Arial" w:cs="Arial" w:eastAsia="Arial" w:hAnsi="Arial"/>
          <w:sz w:val="18"/>
          <w:szCs w:val="18"/>
          <w:color w:val="auto"/>
        </w:rPr>
        <w:t>We have completed the transition of our financials to SAP to facilitate the integration with other company data and systems;</w:t>
      </w:r>
    </w:p>
    <w:p>
      <w:pPr>
        <w:spacing w:after="0" w:line="170" w:lineRule="exact"/>
        <w:rPr>
          <w:sz w:val="20"/>
          <w:szCs w:val="20"/>
          <w:color w:val="auto"/>
        </w:rPr>
      </w:pPr>
    </w:p>
    <w:p>
      <w:pPr>
        <w:ind w:left="580" w:right="240" w:firstLine="29"/>
        <w:spacing w:after="0" w:line="277" w:lineRule="auto"/>
        <w:rPr>
          <w:sz w:val="20"/>
          <w:szCs w:val="20"/>
          <w:color w:val="auto"/>
        </w:rPr>
      </w:pPr>
      <w:r>
        <w:rPr>
          <w:rFonts w:ascii="Arial" w:cs="Arial" w:eastAsia="Arial" w:hAnsi="Arial"/>
          <w:sz w:val="18"/>
          <w:szCs w:val="18"/>
          <w:color w:val="auto"/>
        </w:rPr>
        <w:t>In May of 2016, we added an independent board member with significant semiconductor CFO experience to chair our audit committee;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have engaged external consultants to assist us with preparation of the financial statements; and</w:t>
      </w:r>
    </w:p>
    <w:p>
      <w:pPr>
        <w:spacing w:after="0" w:line="225" w:lineRule="exact"/>
        <w:rPr>
          <w:sz w:val="20"/>
          <w:szCs w:val="20"/>
          <w:color w:val="auto"/>
        </w:rPr>
      </w:pPr>
    </w:p>
    <w:p>
      <w:pPr>
        <w:ind w:left="580" w:right="460" w:firstLine="26"/>
        <w:spacing w:after="0" w:line="277" w:lineRule="auto"/>
        <w:rPr>
          <w:sz w:val="20"/>
          <w:szCs w:val="20"/>
          <w:color w:val="auto"/>
        </w:rPr>
      </w:pPr>
      <w:r>
        <w:rPr>
          <w:rFonts w:ascii="Arial" w:cs="Arial" w:eastAsia="Arial" w:hAnsi="Arial"/>
          <w:sz w:val="18"/>
          <w:szCs w:val="18"/>
          <w:color w:val="auto"/>
        </w:rPr>
        <w:t>We are formalizing our accounting policies and internal controls, including the information technology general controls, and strengthening supervisory reviews by our management;</w:t>
      </w:r>
    </w:p>
    <w:p>
      <w:pPr>
        <w:spacing w:after="0" w:line="170"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We expect to complete the last noted measure above as soon as practicable and will continue to implement measures to remedy our internal control deficiencies in order to meet the deadline imposed by Section 404 of the Sarbanes-Oxley Act of 2002. Our independent registered public accounting firm has not assessed the effectiveness of our internal control over financial reporting and, under the JOBS Act, will not be required to provide an attestation report on the effectiveness of our internal control over financial reporting so long as we qualify as an “emerging growth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during the quarter ended June 30, 2017,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 on the effectiveness of internal control.</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are not party to any material legal proceedings at this time. From time to time, we may become involved in various legal proceedings that arise in the ordinary course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could be harmed.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and Our Industry</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have incurred net losses since our inception. We incurred net losses of $16.7 million and $11.3 million for the year ended December 31, 2016 and the six months ended June 30, 2017, respectively. As of June 30, 2017, we had an accumulated deficit of $107.7 million. We expect to incur significant expenses related to the continued development and expansion of our business, including in connection with our efforts to develop and improve upon our products and technology, maintain and enhance our research and development and sales and marketing activities and hire additional personnel. Our ability to generate sufficient revenue and to transition to profitability and generate consistent positive cash flows is uncertain. In addition, as a public company, we will incur significant additional legal, accounting and other expenses that we did not incur as a private company. We do not know whether our revenue will grow rapidly enough to absorb these costs, and our limited operating history makes it difficult to assess the extent of these expenses, or their impact on our results of operations.</w:t>
      </w:r>
    </w:p>
    <w:p>
      <w:pPr>
        <w:spacing w:after="0" w:line="195" w:lineRule="exact"/>
        <w:rPr>
          <w:sz w:val="20"/>
          <w:szCs w:val="20"/>
          <w:color w:val="auto"/>
        </w:rPr>
      </w:pPr>
    </w:p>
    <w:p>
      <w:pPr>
        <w:jc w:val="both"/>
        <w:ind w:right="140" w:firstLine="324"/>
        <w:spacing w:after="0" w:line="257" w:lineRule="auto"/>
        <w:rPr>
          <w:sz w:val="20"/>
          <w:szCs w:val="20"/>
          <w:color w:val="auto"/>
        </w:rPr>
      </w:pPr>
      <w:r>
        <w:rPr>
          <w:rFonts w:ascii="Arial" w:cs="Arial" w:eastAsia="Arial" w:hAnsi="Arial"/>
          <w:sz w:val="18"/>
          <w:szCs w:val="18"/>
          <w:color w:val="auto"/>
        </w:rPr>
        <w:t>Further, our revenue may not increase or may decline for a number of possible reasons, many of which are outside our control, including a decline in demand for our products, increased competition, business conditions that adversely affect the semiconductor memory industry, including reduced demand for products in the end markets that we serve, or our failure to capitalize on growth opportunities. If we fail to generate sufficient revenue to support our operations, we may not be able to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We have been in existence as a stand-alone company since 2008, when Freescale Semiconductor, Inc. spun-out its MRAM business as Everspin. We have been shipping magnetoresistive random access memory “(MRAM”) products since our incorporation in 2008, and we have experienced a high rate of growth for our products. However, we may not be able to sustain the growth rate for sales of these products and our revenue could decline. We have also been developing our next-generation of Spin-Torque MRAM (“ST-MRAM”) products. Adoption of these products is important to the future growth of our business, but revenue associated with these products has not been material to date.</w:t>
      </w:r>
    </w:p>
    <w:p>
      <w:pPr>
        <w:spacing w:after="0" w:line="17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limited operating history and limited experience selling products, combined with the rapidly evolving and competitive nature of our market, makes it difficult to evaluate our current business and future prospects. In addition, we have limited insight into emerging trends that may adversely affect our business, financial condition, results of operations and prospects. We have encountered and will continue to encounter risks and difficulties frequently experienced by growing companies in rapidly changing industries, including unpredictable and volatile revenue and increased expenses as we continue to grow our business. The viability and demand for our products may be affected by many factors outside of our control, such as the factors affecting the growth of the industrial, automotive and transportation, and enterprise storage industries and changes in macroeconomic conditions. If we do not manage these risks and overcome these difficulties successfully, our business will suffer.</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i w:val="1"/>
          <w:iCs w:val="1"/>
          <w:color w:val="auto"/>
        </w:rPr>
        <w:t>We may be unable to match production with customer demand for a variety of reasons including our inability to accurately forecast customer demand or the capacity constraints of our suppliers, which could adversely affect our operating results.</w:t>
      </w:r>
    </w:p>
    <w:p>
      <w:pPr>
        <w:spacing w:after="0" w:line="18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if we underestimate customer demand or if sufficient manufacturing capacity is unavailable, we could lose sales opportunities and could lose market share or damage our customer relationships. We manufacture MRAM products at our 200mm facility we lease in Chandler, Arizona and use a single foundry, GLOBALFOUNDRIES Singapore Pte. Ltd.,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fund our business, which may not be available to us on favorable terms or at all.</w:t>
      </w:r>
    </w:p>
    <w:p>
      <w:pPr>
        <w:spacing w:after="0" w:line="248" w:lineRule="exact"/>
        <w:rPr>
          <w:sz w:val="20"/>
          <w:szCs w:val="20"/>
          <w:color w:val="auto"/>
        </w:rPr>
      </w:pPr>
    </w:p>
    <w:p>
      <w:pPr>
        <w:ind w:right="80" w:firstLine="401"/>
        <w:spacing w:after="0" w:line="271" w:lineRule="auto"/>
        <w:rPr>
          <w:sz w:val="20"/>
          <w:szCs w:val="20"/>
          <w:color w:val="auto"/>
        </w:rPr>
      </w:pPr>
      <w:r>
        <w:rPr>
          <w:rFonts w:ascii="Arial" w:cs="Arial" w:eastAsia="Arial" w:hAnsi="Arial"/>
          <w:sz w:val="17"/>
          <w:szCs w:val="17"/>
          <w:color w:val="auto"/>
        </w:rPr>
        <w:t>We believe that our existing cash and cash equivalents as of June 30, 2017, coupled with our anticipated growth and sales levels will be sufficient to meet our anticipated cash requirements through August 31, 2018. Our future capital requirements will depend on many factors, including our growth rate, the timing and extent of our spending to support research and development activities, the timing and cost of establishing additional sales and marketing capabilities, and the introduction of new products. We may be required to seek additional equity or debt financing, and we cannot assure you that any such additional financing will be available to us on acceptable terms or at all. If we are unable to raise additional capital or generate sufficient cash from operations to adequately fund our operations, we will need to curtail planned activities to reduce costs. Doing so will likely harm our ability to execute on our business plan.</w:t>
      </w:r>
    </w:p>
    <w:p>
      <w:pPr>
        <w:spacing w:after="0" w:line="179" w:lineRule="exact"/>
        <w:rPr>
          <w:sz w:val="20"/>
          <w:szCs w:val="20"/>
          <w:color w:val="auto"/>
        </w:rPr>
      </w:pPr>
    </w:p>
    <w:p>
      <w:pPr>
        <w:ind w:right="20" w:firstLine="401"/>
        <w:spacing w:after="0" w:line="297" w:lineRule="auto"/>
        <w:rPr>
          <w:sz w:val="20"/>
          <w:szCs w:val="20"/>
          <w:color w:val="auto"/>
        </w:rPr>
      </w:pPr>
      <w:r>
        <w:rPr>
          <w:rFonts w:ascii="Arial" w:cs="Arial" w:eastAsia="Arial" w:hAnsi="Arial"/>
          <w:sz w:val="16"/>
          <w:szCs w:val="16"/>
          <w:color w:val="auto"/>
        </w:rPr>
        <w:t>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58"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As we expand into new potential markets, we expect to face intense competition, including from our customers and potential customers, and may not be able to compete effectively, which could harm our business.</w:t>
      </w:r>
    </w:p>
    <w:p>
      <w:pPr>
        <w:spacing w:after="0" w:line="124" w:lineRule="exact"/>
        <w:rPr>
          <w:sz w:val="20"/>
          <w:szCs w:val="20"/>
          <w:color w:val="auto"/>
        </w:rPr>
      </w:pPr>
    </w:p>
    <w:p>
      <w:pPr>
        <w:ind w:right="80" w:firstLine="401"/>
        <w:spacing w:after="0" w:line="287" w:lineRule="auto"/>
        <w:rPr>
          <w:sz w:val="20"/>
          <w:szCs w:val="20"/>
          <w:color w:val="auto"/>
        </w:rPr>
      </w:pPr>
      <w:r>
        <w:rPr>
          <w:rFonts w:ascii="Arial" w:cs="Arial" w:eastAsia="Arial" w:hAnsi="Arial"/>
          <w:sz w:val="16"/>
          <w:szCs w:val="16"/>
          <w:color w:val="auto"/>
        </w:rPr>
        <w:t>We expect that our new and future generation MRAM products will be applicable to markets in which we are not currently operating. Selling into these markets, including higher density memory markets and the module business could put us into direct competition with our current or potential customers or other competitors with substantially more resources and experience than us.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or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our existing and potential customers. Some of our current and potential customers with their own internally developed solutions may choose not to purchase products from third-party suppliers like us.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manufacture, package, assemble and test our products, which exposes us to a number of risks, including reduced control over manufacturing and delivery timing and potential exposure to price fluctuations, which could result in a loss of revenue or reduced profitability.</w:t>
      </w:r>
    </w:p>
    <w:p>
      <w:pPr>
        <w:spacing w:after="0" w:line="181"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spacing w:after="0" w:line="178"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Relying on third-party manufacturing, assembly, packaging and testing presents a number of risks, including but not limited to:</w:t>
      </w:r>
    </w:p>
    <w:p>
      <w:pPr>
        <w:spacing w:after="0" w:line="184" w:lineRule="exact"/>
        <w:rPr>
          <w:sz w:val="20"/>
          <w:szCs w:val="20"/>
          <w:color w:val="auto"/>
        </w:rPr>
      </w:pPr>
    </w:p>
    <w:p>
      <w:pPr>
        <w:ind w:left="580" w:right="100"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capacity and materials shortages during periods of high demand;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control over delivery schedules, inventories and quality;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unavailability of, or potential delays in obtaining access to, key process technologies;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inability to achieve required production or test capacity and acceptable yields on a timely basis;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misappropriation of our intellectual property;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third party’s ability to perform its obligations due to bankruptcy or other financial constraints;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limited warranties on wafers or products supplied to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potential increases in prices.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currently do not have long-term supply contracts with our third-party contract manufacturers for our MRAM products, including NXP, United Microelectronics Corporation, Taiwan Semiconductor Manufacturing Company, Limited (“TSMC”), United Test and Assembly Center (“UTAC”), Advanced Semiconductor Engineering (“ASE”), and Amkor, and we typically negotiate pricing on a per-purchase order basis and in some cases on an annual basis. Therefore, they are not obligated to perform services or supply components to us for any specific period, in any specific quantities, or at any specific price, except as may be provided in a particular purchase order. During periods of high demand and tight inventories, our third-party foundries and packaging, assembly and testing contractors may allocate capacity to the production of other companies’ products while reducing deliveries to us, or significantly raise their prices. In particular, they may allocate capacity to other customers that are larger and better financed than us or that have long-term agreements, decreasing the capacity available to us. Shortages of capacity available to us may be caused by the actions of their other, large customers that may be difficult to predict, such as major product launches.</w:t>
      </w:r>
    </w:p>
    <w:p>
      <w:pPr>
        <w:spacing w:after="0" w:line="18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However, our manufacturing arrangement is also subject to both a minimum and maximum order quantity that while we believe currently addresses our projected foundry capacity needs, may not address our maximum foundry capacity requirements in the future. We may also be obligated to pay for unused capacity if our demand decreases in the future, or if our estimates prove inaccurate. GLOBALFOUNDRIES also has the ability to discontinue its manufacture of any of our wafers upon due notice and completion of the notice period. This could cause us to have to find another foundry to manufacture those wafers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57" w:lineRule="auto"/>
        <w:rPr>
          <w:sz w:val="20"/>
          <w:szCs w:val="20"/>
          <w:color w:val="auto"/>
        </w:rPr>
      </w:pPr>
      <w:r>
        <w:rPr>
          <w:rFonts w:ascii="Arial" w:cs="Arial" w:eastAsia="Arial" w:hAnsi="Arial"/>
          <w:sz w:val="18"/>
          <w:szCs w:val="18"/>
          <w:color w:val="auto"/>
        </w:rPr>
        <w:t>redesign our core technology and would mean that we may not have products to sell until such time. Any time spent engaging a new manufacturer or redesigning our core technology could be costly and time consuming and may allow potential competitors to take opportunities in the market place. Moreover, if we are unable to find another foundry to manufacture our products or if we have to redesign our core technology, this could cause material harm to our business and operating results.</w:t>
      </w:r>
    </w:p>
    <w:p>
      <w:pPr>
        <w:spacing w:after="0" w:line="188"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If we need other foundries or packaging, assembly and testing contractors, or if we are unable to obtain timely and adequate deliveries from our providers, we might not be able to cost-effectively and quickly retain other vendors to satisfy our requirements. Because the lead-time needed to establish a relationship with a new third-party supplier could be several quarters, there is no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spacing w:after="0" w:line="193" w:lineRule="exact"/>
        <w:rPr>
          <w:sz w:val="20"/>
          <w:szCs w:val="20"/>
          <w:color w:val="auto"/>
        </w:rPr>
      </w:pPr>
    </w:p>
    <w:p>
      <w:pPr>
        <w:ind w:right="59" w:firstLine="324"/>
        <w:spacing w:after="0" w:line="257" w:lineRule="auto"/>
        <w:rPr>
          <w:sz w:val="20"/>
          <w:szCs w:val="20"/>
          <w:color w:val="auto"/>
        </w:rPr>
      </w:pPr>
      <w:r>
        <w:rPr>
          <w:rFonts w:ascii="Arial" w:cs="Arial" w:eastAsia="Arial" w:hAnsi="Arial"/>
          <w:sz w:val="18"/>
          <w:szCs w:val="18"/>
          <w:color w:val="auto"/>
        </w:rPr>
        <w:t>If any of our current or future foundries or packaging, assembly and testing subcontractors significantly increases the costs of wafers or other materials or services, interrupts or reduces our supply, including for reasons outside of their control, or if any of our relationships with our suppliers is terminated, our operating results could be adversely affected. Such occurrences could also damage our customer relationships, result in lost revenue, cause a loss in market share or damage our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joint development agreement and strategic relationships involve numerous risks.</w:t>
      </w:r>
    </w:p>
    <w:p>
      <w:pPr>
        <w:spacing w:after="0" w:line="225" w:lineRule="exact"/>
        <w:rPr>
          <w:sz w:val="20"/>
          <w:szCs w:val="20"/>
          <w:color w:val="auto"/>
        </w:rPr>
      </w:pPr>
    </w:p>
    <w:p>
      <w:pPr>
        <w:ind w:right="339" w:firstLine="324"/>
        <w:spacing w:after="0" w:line="302" w:lineRule="auto"/>
        <w:rPr>
          <w:sz w:val="20"/>
          <w:szCs w:val="20"/>
          <w:color w:val="auto"/>
        </w:rPr>
      </w:pPr>
      <w:r>
        <w:rPr>
          <w:rFonts w:ascii="Arial" w:cs="Arial" w:eastAsia="Arial" w:hAnsi="Arial"/>
          <w:sz w:val="16"/>
          <w:szCs w:val="16"/>
          <w:color w:val="auto"/>
        </w:rPr>
        <w:t>We have entered into strategic relationships to manufacture products and develop new manufacturing process technologies and products. These relationships include our joint development agreement with GLOBALFOUNDRIES to develop advanced MTJ technology and ST-MRAM. These relationships are subject to various risks that could adversely affect the value of our investments and our results of operations. These risks include the following:</w:t>
      </w:r>
    </w:p>
    <w:p>
      <w:pPr>
        <w:spacing w:after="0" w:line="168" w:lineRule="exact"/>
        <w:rPr>
          <w:sz w:val="20"/>
          <w:szCs w:val="20"/>
          <w:color w:val="auto"/>
        </w:rPr>
      </w:pPr>
    </w:p>
    <w:p>
      <w:pPr>
        <w:ind w:left="580" w:right="99" w:firstLine="29"/>
        <w:spacing w:after="0" w:line="264" w:lineRule="auto"/>
        <w:rPr>
          <w:sz w:val="20"/>
          <w:szCs w:val="20"/>
          <w:color w:val="auto"/>
        </w:rPr>
      </w:pPr>
      <w:r>
        <w:rPr>
          <w:rFonts w:ascii="Arial" w:cs="Arial" w:eastAsia="Arial" w:hAnsi="Arial"/>
          <w:sz w:val="18"/>
          <w:szCs w:val="18"/>
          <w:color w:val="auto"/>
        </w:rPr>
        <w:t>our interests could diverge from those of our foundries, or we may not be able to agree with them on ongoing development, manufacturing and operational activities, or on the amount, timing, or nature of further investments in our joint development;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in transferring technology to a foundry;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and delays in getting to and/or ramping production at foundries;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control over the operations of foundries is limited;</w:t>
      </w:r>
    </w:p>
    <w:p>
      <w:pPr>
        <w:spacing w:after="0" w:line="225" w:lineRule="exact"/>
        <w:rPr>
          <w:sz w:val="20"/>
          <w:szCs w:val="20"/>
          <w:color w:val="auto"/>
        </w:rPr>
      </w:pPr>
    </w:p>
    <w:p>
      <w:pPr>
        <w:ind w:left="580" w:right="39" w:firstLine="29"/>
        <w:spacing w:after="0" w:line="277" w:lineRule="auto"/>
        <w:rPr>
          <w:sz w:val="20"/>
          <w:szCs w:val="20"/>
          <w:color w:val="auto"/>
        </w:rPr>
      </w:pPr>
      <w:r>
        <w:rPr>
          <w:rFonts w:ascii="Arial" w:cs="Arial" w:eastAsia="Arial" w:hAnsi="Arial"/>
          <w:sz w:val="18"/>
          <w:szCs w:val="18"/>
          <w:color w:val="auto"/>
        </w:rPr>
        <w:t>due to financial constraints, our joint development collaborators may be unable to meet their commitments to us and may pose credit risks for our transactions with them;</w:t>
      </w:r>
    </w:p>
    <w:p>
      <w:pPr>
        <w:spacing w:after="0" w:line="170" w:lineRule="exact"/>
        <w:rPr>
          <w:sz w:val="20"/>
          <w:szCs w:val="20"/>
          <w:color w:val="auto"/>
        </w:rPr>
      </w:pPr>
    </w:p>
    <w:p>
      <w:pPr>
        <w:ind w:left="580" w:right="99" w:firstLine="29"/>
        <w:spacing w:after="0" w:line="277" w:lineRule="auto"/>
        <w:rPr>
          <w:sz w:val="20"/>
          <w:szCs w:val="20"/>
          <w:color w:val="auto"/>
        </w:rPr>
      </w:pPr>
      <w:r>
        <w:rPr>
          <w:rFonts w:ascii="Arial" w:cs="Arial" w:eastAsia="Arial" w:hAnsi="Arial"/>
          <w:sz w:val="18"/>
          <w:szCs w:val="18"/>
          <w:color w:val="auto"/>
        </w:rPr>
        <w:t>due to differing business models or long-term business goals, our collaborators may decide not to join us in funding capital investment, which may result in higher levels of cash expenditures by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cash flows may be inadequate to fund increased capital requirements;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may experience difficulties or delays in collecting amounts due to us from our collaborators;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terms of our arrangements may turn out to be unfavorable;</w:t>
      </w:r>
    </w:p>
    <w:p>
      <w:pPr>
        <w:spacing w:after="0" w:line="225" w:lineRule="exact"/>
        <w:rPr>
          <w:sz w:val="20"/>
          <w:szCs w:val="20"/>
          <w:color w:val="auto"/>
        </w:rPr>
      </w:pPr>
    </w:p>
    <w:p>
      <w:pPr>
        <w:ind w:left="580" w:right="139" w:firstLine="29"/>
        <w:spacing w:after="0" w:line="277" w:lineRule="auto"/>
        <w:rPr>
          <w:sz w:val="20"/>
          <w:szCs w:val="20"/>
          <w:color w:val="auto"/>
        </w:rPr>
      </w:pPr>
      <w:r>
        <w:rPr>
          <w:rFonts w:ascii="Arial" w:cs="Arial" w:eastAsia="Arial" w:hAnsi="Arial"/>
          <w:sz w:val="18"/>
          <w:szCs w:val="18"/>
          <w:color w:val="auto"/>
        </w:rPr>
        <w:t>we are migrating toward a fabless model as 300mm production becomes required and this increases risks related to less control over our critical production processes;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tax, legal, or regulatory requirements may necessitate changes in our agreements.</w:t>
      </w:r>
    </w:p>
    <w:p>
      <w:pPr>
        <w:spacing w:after="0" w:line="225" w:lineRule="exact"/>
        <w:rPr>
          <w:sz w:val="20"/>
          <w:szCs w:val="20"/>
          <w:color w:val="auto"/>
        </w:rPr>
      </w:pPr>
    </w:p>
    <w:p>
      <w:pPr>
        <w:jc w:val="both"/>
        <w:ind w:right="99" w:firstLine="324"/>
        <w:spacing w:after="0" w:line="312" w:lineRule="auto"/>
        <w:rPr>
          <w:sz w:val="20"/>
          <w:szCs w:val="20"/>
          <w:color w:val="auto"/>
        </w:rPr>
      </w:pPr>
      <w:r>
        <w:rPr>
          <w:rFonts w:ascii="Arial" w:cs="Arial" w:eastAsia="Arial" w:hAnsi="Arial"/>
          <w:sz w:val="16"/>
          <w:szCs w:val="16"/>
          <w:color w:val="auto"/>
        </w:rPr>
        <w:t>Further, GLOBALFOUNDRIES may terminate the joint development agreement with us if we materially breach a term of the agreement, such as, but not limited to, by our failing to pay any undisputed sum which has been outstanding for 45 or more days from the date of invoice, and fail to remedy the breach within 60 days after receiving notice from</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GLOBALFOUNDRIES. If GLOBALFOUNDRIES terminates the joint development agreement, our ability to continue to develop our MRAM technology will be significantly impaired.</w:t>
      </w:r>
    </w:p>
    <w:p>
      <w:pPr>
        <w:spacing w:after="0" w:line="170"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If our strategic relationships are unsuccessful, our business, results of operations, or financial condition may be materially adversely affected.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market for semiconductor memory products is characterized by declines in average selling prices, which we expect to continue, and which could negatively affect our revenue and margins.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customers expect the average selling price of our products to decrease year-over-year and we expect this trend to continue. When such pricing declines occur, we may not be able to mitigate the effects by selling more or higher margin units, or by reducing our manufacturing costs. In such circumstances, our operating results could be materially and adversely affected. Our stand-alone and embedded MRAM products have experienced declining average selling prices over their life cycle. The rate of decline may be affected by a number of factors, including relative supply and demand, the level of competition, production costs and technological changes. As a result of the decreasing average selling prices of our products following their launch, our ability to increase or maintain our margins depends on our ability to introduce new or enhanced products with higher average selling prices and to reduce our per-unit cost of sales and our operating costs. We may not be able to reduce our costs as rapidly as companies that operate their own manufacturing, assembly and testing facilities, and our costs may even increase because we rely in part on third parties to manufacture, assemble and test our products, which could also reduce our gross margins. In addition, our new or enhanced products may not be as successful or enjoy as high margins as we expect. If we are unable to offset any reductions in average selling prices by introducing new products with higher average selling prices or reducing our costs, our revenue and margins will be negatively affected and may decrease.</w:t>
      </w:r>
    </w:p>
    <w:p>
      <w:pPr>
        <w:spacing w:after="0" w:line="17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semiconductor memory market is highly cyclical and has experienced severe downturns in the past, generally as a result of wide fluctuations in supply and demand, constant and rapid technological change, continuous new product introductions and price erosion. During downturns, periods of intense competition, or the presence of oversupply in the industry, the selling prices for our products may decline at a high rate over relatively short time periods as compared to historical rates of decline. We are unable to predict selling prices for any future periods and may experience unanticipated, sharp declines in selling prices for our products.</w:t>
      </w:r>
    </w:p>
    <w:p>
      <w:pPr>
        <w:spacing w:after="0" w:line="19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Unfavorable economic and market conditions, domestically and internationally, may adversely affect our business, financial condition, results of operations and cash flows.</w:t>
      </w:r>
    </w:p>
    <w:p>
      <w:pPr>
        <w:spacing w:after="0" w:line="17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significant customer sales both in the U.S. and internationally. We also rely on domestic and international suppliers, manufacturing partners and distributors. We are therefore susceptible to adverse U.S. and international economic and market conditions. If any of our manufacturing partners, customers, distributors or suppliers experience serious financial difficulties or cease operations, our business will be adversely affected. In addition, the adverse impact of an unfavorable economy may adversely impact customer spending, which may adversely impact demand for our products.</w:t>
      </w:r>
    </w:p>
    <w:p>
      <w:pPr>
        <w:spacing w:after="0" w:line="15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must continuously develop new and enhanced products, and if we are unable to successfully market our new and enhanced products for which we incur significant expenses to develop, our results of operations and financial condition will be materially adversely affected.</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To compete effectively in our markets, we must continually design, develop and introduce new and improved products with improved features in a cost-effective manner in response to changing technologies and market demand. This requires us to devote substantial financial and other resources to research and development. We are developing next-generation products, which we expect to be one of the drivers of our revenue growth in the future. However, we may not succeed in developing and marketing these new and enhanced products. We also face the risk that customers may not value or be willing to bear the cost of incorporating our new and enhanced products into their products, particularly if they believe their customers are satisfied with current solutions. Regardless of the improved features or superior performance of our new and enhanced products, customers may be unwilling to adopt our solutions due to design or pricing constraints, or because they do not want to rely on a single or limited supply source. Because of the extensive time and resources that we invest in developing new and enhanced products, if we are unable to sell customers new generations of our products, our revenue could decline and our business, financial condition, results of operations and cash flows would be negatively affected. For example, we generated limited revenue from sales of our ST-MRAM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products to date. While we expect revenue from our ST-MRAM products to increase, if we are unable to scale MRAM to gigabit densities to address applications currently served by DRAM,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spacing w:after="0" w:line="15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Our success and future revenue depend on our ability to secure design wins and on our customers’ ability to successfully sell the products that incorporate our solutions. Securing design wins is a lengthy, expensive and competitive process, and may not result in actual orders and sales, which could cause our revenue to decline.</w:t>
      </w:r>
    </w:p>
    <w:p>
      <w:pPr>
        <w:spacing w:after="0" w:line="16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sell to customers that incorporate MRAM into their products. A design win occurs after a customer has tested our product, verified that it meets the customer’s requirements and qualified our solutions for their products. We believe we are dependent on the adoption of our 256Mb and 1Gb MRAM products by our customers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 Any delay in the development of our 256Mb and 1Gb MRAM products, or failure of our customers to adopt our 256Mb and 1Gb MRAM products, could inhibit revenue growth or cause declines, which would significantly harm our business and prevent us from becoming profitable.</w:t>
      </w:r>
    </w:p>
    <w:p>
      <w:pPr>
        <w:spacing w:after="0" w:line="16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 current or prospective customer designs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 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spacing w:after="0" w:line="17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b w:val="1"/>
          <w:bCs w:val="1"/>
          <w:i w:val="1"/>
          <w:iCs w:val="1"/>
          <w:color w:val="auto"/>
        </w:rPr>
        <w:t>We rely on our relationships with OEMs and ODMs to enhance our solutions and market position, and our failure to continue to develop or maintain such relationships in the future would harm our ability to remain competitive.</w:t>
      </w:r>
    </w:p>
    <w:p>
      <w:pPr>
        <w:spacing w:after="0" w:line="124"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develop our products for leading OEMs and ODMs that serve a variety of end markets and are developing devices for automotive, transportation, industrial and storage applications. For each application, manufacturers create products that incorporate specialized semiconductor technology, which makers of memory products use as the basis for their products.</w:t>
      </w:r>
    </w:p>
    <w:p>
      <w:pPr>
        <w:ind w:right="120"/>
        <w:spacing w:after="0" w:line="286" w:lineRule="auto"/>
        <w:rPr>
          <w:sz w:val="20"/>
          <w:szCs w:val="20"/>
          <w:color w:val="auto"/>
        </w:rPr>
      </w:pPr>
      <w:r>
        <w:rPr>
          <w:rFonts w:ascii="Arial" w:cs="Arial" w:eastAsia="Arial" w:hAnsi="Arial"/>
          <w:sz w:val="16"/>
          <w:szCs w:val="16"/>
          <w:color w:val="auto"/>
        </w:rPr>
        <w:t>These manufacturers set the specifications for many of the key components to be used on each generation of their products and, in the case of memory components, generally qualify only a few vendors to provide memory components for their products. As each new generation of their products is released, vendors are validated in a similar fashion. We must work closely with OEMs and ODMs to ensure our products become qualified for use in their products. As a result, maintaining close relationships with leading OEMs and ODMs that are developing devices for automotive, transportation, industrial and storage applications is crucial to the long-term success of our business. We could lose these relationships for a variety of reasons, including our failure to qualify as a vendor, our failure to demonstrate the value of our new solutions, declines in product quality, or if OEMs or ODMs seek to work with vendors with broader product suites, greater production capacity or greater financial resources. If our relationships with key industry participants were to deteriorate or if our solutions were not qualified by our customers, our market position and revenue could be materially and adversely affected.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one or several of our customers or reduced orders or pricing from existing customers may have a significant adverse effect on our operations and financial results.</w:t>
      </w:r>
    </w:p>
    <w:p>
      <w:pPr>
        <w:spacing w:after="0" w:line="170"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We have derived and expect to continue to derive a significant portion of our revenues from a small group of customers during any particular period due in part to the concentration of market share in the semiconductor industry. Our five largest end customers together accounted for 35% of our total revenue for the six months ended June 30, 2017. One of these customers accounted for more than 10% of our revenue during the period. Our four largest end customers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together accounted for 32% of our total revenue for the year ended December 31, 2016, but none of these customers individually accounted for more than 10% of our total revenue during the period.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can fluctuate from period to period, which could cause our share price to fluctuate.</w:t>
      </w:r>
    </w:p>
    <w:p>
      <w:pPr>
        <w:spacing w:after="0" w:line="23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results of operations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receipt, reduction, delay or cancellation of orders by large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gain or loss of significant customers or distributors;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success of our launch of new or enhanced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and our customers’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level of growth or decline in the industrial, automotive and transportation, enterprise storage and other markets;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and extent of research and development and sales and marketing expenditures;</w:t>
      </w:r>
    </w:p>
    <w:p>
      <w:pPr>
        <w:spacing w:after="0" w:line="225"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amount and timing of operating expenses related to the maintenance and expansion of our business, operations and infrastructure;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our product mix;</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reduce the manufacturing costs of our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competitive pressures resulting in lower than expected average selling prices;</w:t>
      </w:r>
    </w:p>
    <w:p>
      <w:pPr>
        <w:spacing w:after="0" w:line="225" w:lineRule="exact"/>
        <w:rPr>
          <w:sz w:val="20"/>
          <w:szCs w:val="20"/>
          <w:color w:val="auto"/>
        </w:rPr>
      </w:pPr>
    </w:p>
    <w:p>
      <w:pPr>
        <w:ind w:left="580" w:right="400" w:firstLine="29"/>
        <w:spacing w:after="0" w:line="277" w:lineRule="auto"/>
        <w:rPr>
          <w:sz w:val="20"/>
          <w:szCs w:val="20"/>
          <w:color w:val="auto"/>
        </w:rPr>
      </w:pPr>
      <w:r>
        <w:rPr>
          <w:rFonts w:ascii="Arial" w:cs="Arial" w:eastAsia="Arial" w:hAnsi="Arial"/>
          <w:sz w:val="18"/>
          <w:szCs w:val="18"/>
          <w:color w:val="auto"/>
        </w:rPr>
        <w:t>fluctuations in sales by and inventory levels of OEMs and ODMs that incorporate our memory products in their products;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cyclical and seasonal fluctuations in our markets;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fluctuations in the manufacturing yields of our third-party manufacturers;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quality issues that arise from manufacturing issues at our third-party manufacturers;</w:t>
      </w:r>
    </w:p>
    <w:p>
      <w:pPr>
        <w:spacing w:after="0" w:line="225" w:lineRule="exact"/>
        <w:rPr>
          <w:sz w:val="20"/>
          <w:szCs w:val="20"/>
          <w:color w:val="auto"/>
        </w:rPr>
      </w:pPr>
    </w:p>
    <w:p>
      <w:pPr>
        <w:ind w:left="580" w:right="120" w:firstLine="29"/>
        <w:spacing w:after="0" w:line="264" w:lineRule="auto"/>
        <w:rPr>
          <w:sz w:val="20"/>
          <w:szCs w:val="20"/>
          <w:color w:val="auto"/>
        </w:rPr>
      </w:pPr>
      <w:r>
        <w:rPr>
          <w:rFonts w:ascii="Arial" w:cs="Arial" w:eastAsia="Arial" w:hAnsi="Arial"/>
          <w:sz w:val="18"/>
          <w:szCs w:val="18"/>
          <w:color w:val="auto"/>
        </w:rPr>
        <w:t>events that impact the availability of production capacity at our third-party subcontractors and other interruptions in the supply chain including due to geopolitical events, natural disasters, materials shortages, bankruptcy or other causes;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supply constraints for and changes in the cost of the other components incorporated into our customers’ products;</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timing of expenses related to the acquisition of technologies or businesses;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rates of return or price concessions in excess of those expected or forecasted;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the repair and replacement of defective products;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inventory write-downs or write-offs;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costs associated with litigation over intellectual property rights and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length and unpredictability of the purchasing and budgeting cycles of our customers;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key personnel or the inability to attract qualified engineers;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geopolitical events, such as war, threat of war or terrorist actions, or the occurrence of natural disasters.</w:t>
      </w:r>
    </w:p>
    <w:p>
      <w:pPr>
        <w:spacing w:after="0" w:line="22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The semiconductor memory industry is highly cyclical and our markets may experience significant cyclical fluctuations in demand as a result of changing economic conditions, budgeting and buying patterns of customers and other factors. As a result of these and other factors affecting demand for our products and our results of operations in any given period, the results of any prior quarterly or annual periods should not be relied upon as indicative of our future revenue or operating performance. Fluctuations in our revenue and operating results could also cause our stock price to decline.</w:t>
      </w:r>
    </w:p>
    <w:p>
      <w:pPr>
        <w:spacing w:after="0" w:line="15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sales of our customers’ products decline or if their products do not achieve market acceptance, our business and operating results could be adversely affected.</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Our revenue depends on our customers’ ability to commercialize their products successfully. The markets for our customers’ products are extremely competitive and are characterized by rapid technological change. Competition in our customers’ markets is based on a variety of factors including price, performance, product quality, marketing and distribution capability, customer support, name recognition and financial strength. As a result of rapid technological change, the markets for our customers’ products are characterized by frequent product introductions, short product life cycles, fluctuating demand and increasing product capabilities. As a result, our customers’ products may not achieve market success or may become obsolete. We cannot assure you that our customers will dedicate the resources necessary to promote and commercialize their products, successfully execute their business strategies for such products, or be able to manufacture such products in quantities sufficient to meet demand or cost-effectively manufacture products at a high volume. Our customers do not have contracts with us that require them to manufacture, distribute or sell any products. Moreover, our customers may develop internally, or in collaboration with our competitors, technology that they may utilize instead of the technology available to them through us. Our customers’ failure to achieve market success for their products, including as a result of general declines in our customers’ markets or industries, could negatively affect their willingness to utilize our products, which may result in a decrease in our revenue and negatively affect our business and operating results.</w:t>
      </w:r>
    </w:p>
    <w:p>
      <w:pPr>
        <w:spacing w:after="0" w:line="17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revenue also depends on the timely introduction, quality and market acceptance of our customers’ products that incorporate our solutions. Our customers’ products are often very complex and subject to design complexities that may result in design flaws, as well as potential defects, errors and bugs. We incur significant design and development costs in connection with designing our solutions for customers’ products. If our customers discover design flaws, defects, errors or bugs in their products, or if they experience changing market requirements, failed evaluations or field trials, or issues with other vendors, they may delay, change or cancel a project. If we have already incurred significant development costs, we may not be able to recoup those costs, which in turn would adversely affect our business and financial results.</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face competition and expect competition to increase in the future. If we fail to compete effectively, our revenue growth and results of operations will be materially and adversely affected.</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global semiconductor market in general, and the semiconductor memory market in particular, are highly competitive. We expect competition to increase and intensify as other semiconductor companies enter our markets, many of which have greater financial and other resources with which to pursue technology development, product design, manufacturing, marketing and sales and distribution of their products. Increased competition could result in price pressure, reduced profitability and loss of market share, any of which could materially and adversely affect our business, revenue and operating results. Currently, our competitors range from large, international companies offering a wide range of traditional memory technologies to companies specializing in other alternative, specialized emerging memory technologies. Our primary memory competitors include Cypress, Fujitsu, Integrated Silicon Solution, Macronix, Microchip, Micron, Renesas, Samsung, and Toshiba. The main competition for sensor products includes AMR, Crocus, GMR and Hall Effect. These technologies directly compete with our products and are supplied by Alps, Asahi Kasei</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Microdevices, Fairchild, Invensys (now Schneider), Kionix and Micronas. In addition, as the MRAM market opportunity grows, we expect new entrants such as Avalanche will enter this market and existing competitors, including leading semiconductor companies, may make significant investments to compete more effectively against our products. These competitors could develop technologies or architectures that make our products or technologies obsolete.</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ability to compete successfully depends on factors both within and outside of our control, including:</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functionality and performance of our products and those of our competitors;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relationships with our customers and other industry participants;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prices of our products and prices of our competitors’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develop innovative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competitors’ greater resources to make acquisitions;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obtain adequate capital to finance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retain high-level talent, including our management team and engineers; and</w:t>
      </w:r>
    </w:p>
    <w:p>
      <w:pPr>
        <w:spacing w:after="0" w:line="225" w:lineRule="exact"/>
        <w:rPr>
          <w:sz w:val="20"/>
          <w:szCs w:val="20"/>
          <w:color w:val="auto"/>
        </w:rPr>
      </w:pPr>
    </w:p>
    <w:p>
      <w:pPr>
        <w:ind w:left="580" w:right="40" w:firstLine="29"/>
        <w:spacing w:after="0" w:line="277" w:lineRule="auto"/>
        <w:rPr>
          <w:sz w:val="20"/>
          <w:szCs w:val="20"/>
          <w:color w:val="auto"/>
        </w:rPr>
      </w:pPr>
      <w:r>
        <w:rPr>
          <w:rFonts w:ascii="Arial" w:cs="Arial" w:eastAsia="Arial" w:hAnsi="Arial"/>
          <w:sz w:val="18"/>
          <w:szCs w:val="18"/>
          <w:color w:val="auto"/>
        </w:rPr>
        <w:t>the actions of our competitors, including merger and acquisition activity, launches of new products and other actions that could change the competitive landscape.</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Competition could result in pricing pressure, reduced revenue and loss of market share, any of which could materially and adversely affect our business, results of operations and prospects. 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customers require our products and our third-party contractors to undergo a lengthy and expensive qualification process. If we are unsuccessful or delayed in qualifying any of our products with a customer, our business and operating results would suffer.</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Prior to selecting and purchasing our products, our customers typically require that our products undergo extensive qualification processes, which involve testing of our products in the customers’ systems, as well as testing for reliability. This qualification process may continue for several months or years. However, obtaining the requisite qualifications for a memory product does not assure any sales of the product. Even after successful qualification and sales of a product to a customer, a subsequent revision in our third-party contractors’ manufacturing process or our selection of a new contract manufacturer may require a new qualification process, which may result in delays and excess or obsolete inventory. After our products are qualified and selected, it can and often does take several months or more before the customer commences volume production of systems that incorporate our products. Despite these uncertainties, we devote substantial resources, including design, engineering, sales, marketing and management efforts, to qualify our products with customers in anticipation of sales. If we are unsuccessful or delayed in qualifying any of our products with a customer, sales of those products may be precluded or delayed, which may impede our growth and harm our business.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costs may increase substantially if we or our third-party manufacturing contractors do not achieve satisfactory product yields or quality.</w:t>
      </w:r>
    </w:p>
    <w:p>
      <w:pPr>
        <w:spacing w:after="0" w:line="170"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fabrication process is extremely complicated and small changes in design, specifications or materials can result in material decreases in product yields or even the suspension of production. From time to time, we and/or the third-party foundries that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ST-MRAM products.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 downs in mechanical systems, equipment failures or calibration errors. Unacceptably low product yields or other product manufacturing problems could substantially increase overall production time and costs and adversely impact our operating results. Product yield losses will increase our costs and reduce our gross margin. In addition to significantly harming our results of operations and cash flow, poor yields may delay shipment of our products and harm our relationships with existing and potential customers.</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complexity of our products may lead to defects, which could negatively impact our reputation with customers and result in liability.</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Products as complex as ours may contain defects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We cannot assure you that problems will not be found in new products, both before and after commencement of commercial production, despite testing by us, our suppliers or our customers. Any such problems could result in:</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delays in development, manufacture and roll-out of new products;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additional development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or delays in, market acceptance;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technical and other resources from our other development efforts;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claims for damages by our customers or others against us;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loss of credibility with our current and prospective customers.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such event could have a material adverse effect on our business, financial condition and results of operations.</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expenses.</w:t>
      </w:r>
    </w:p>
    <w:p>
      <w:pPr>
        <w:spacing w:after="0" w:line="18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will depend on our third-party foundries as we transition to new processes. We cannot assure you that our third-party foundries will be able to effectively manage such transitions or that we will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spacing w:after="0" w:line="18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As smaller line width geometry manufacturing processes become more prevalent, we intend to move our future products to increasingly smaller geometries to reduce costs while integrating greater levels of functionality into our products. This transition will require us and our third-party foundries to migrate to new designs and manufacturing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processes for smaller geometry products. We may not be able to achieve smaller geometries with higher levels of design integration or to deliver new integrated products on a timely basis. We periodically evaluate the benefits, on a product-by-product basis, of migrating to smaller geometry process technologies to reduce our costs and increase performance. We are dependent on our relationships with our third-party foundries to transition to smaller geometry processes successfully. We cannot assure you that our third-party foundries will be able to effectively manage any such transition. If we or our third-party foundries experience significant delays in any such transition or fail to implement a transition, our business, financial condition and results of operations could be materially harmed.</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Changes to industry standards and technical requirements relevant to our products and markets could adversely affect our business, results of operations and prospects.</w:t>
      </w:r>
    </w:p>
    <w:p>
      <w:pPr>
        <w:spacing w:after="0" w:line="17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spacing w:after="0" w:line="16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ability to compete in the future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storage and other markets. As a result, we could be required to invest significant time and effort and to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protect our intellectual property could substantially harm our business.</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spacing w:after="0" w:line="17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addition to patents, we also rely on contractual protections with our customers, suppliers, distributors, employees and consultants, and we implement security measures designed to protect our trade secrets and know-how. However, we cannot assure you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188"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counterclaims against us. Our failure to secure, protect and enforce our intellectual property rights could materially harm our business.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against us and our customers’ patent and other intellectual property rights to technologies that are important to our business. We have in the past, and may in the future, face such claims.</w:t>
      </w:r>
    </w:p>
    <w:p>
      <w:pPr>
        <w:spacing w:after="0" w:line="19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cease the manufacture, use or sale of the infringing products, processes or technology;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substantial damages for infringement;</w:t>
      </w:r>
    </w:p>
    <w:p>
      <w:pPr>
        <w:spacing w:after="0" w:line="225" w:lineRule="exact"/>
        <w:rPr>
          <w:sz w:val="20"/>
          <w:szCs w:val="20"/>
          <w:color w:val="auto"/>
        </w:rPr>
      </w:pPr>
    </w:p>
    <w:p>
      <w:pPr>
        <w:ind w:left="580" w:right="640" w:firstLine="29"/>
        <w:spacing w:after="0" w:line="277" w:lineRule="auto"/>
        <w:rPr>
          <w:sz w:val="20"/>
          <w:szCs w:val="20"/>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70" w:lineRule="exact"/>
        <w:rPr>
          <w:sz w:val="20"/>
          <w:szCs w:val="20"/>
          <w:color w:val="auto"/>
        </w:rPr>
      </w:pPr>
    </w:p>
    <w:p>
      <w:pPr>
        <w:ind w:left="580" w:right="80" w:firstLine="29"/>
        <w:spacing w:after="0" w:line="277" w:lineRule="auto"/>
        <w:rPr>
          <w:sz w:val="20"/>
          <w:szCs w:val="20"/>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170" w:lineRule="exact"/>
        <w:rPr>
          <w:sz w:val="20"/>
          <w:szCs w:val="20"/>
          <w:color w:val="auto"/>
        </w:rPr>
      </w:pPr>
    </w:p>
    <w:p>
      <w:pPr>
        <w:ind w:left="580" w:right="300" w:firstLine="29"/>
        <w:spacing w:after="0" w:line="277" w:lineRule="auto"/>
        <w:rPr>
          <w:sz w:val="20"/>
          <w:szCs w:val="20"/>
          <w:color w:val="auto"/>
        </w:rPr>
      </w:pPr>
      <w:r>
        <w:rPr>
          <w:rFonts w:ascii="Arial" w:cs="Arial" w:eastAsia="Arial" w:hAnsi="Arial"/>
          <w:sz w:val="18"/>
          <w:szCs w:val="18"/>
          <w:color w:val="auto"/>
        </w:rPr>
        <w:t>cross-license our technology to a competitor to resolve an infringement claim, which could weaken our ability to compete with that competitor; or</w:t>
      </w:r>
    </w:p>
    <w:p>
      <w:pPr>
        <w:spacing w:after="0" w:line="170" w:lineRule="exact"/>
        <w:rPr>
          <w:sz w:val="20"/>
          <w:szCs w:val="20"/>
          <w:color w:val="auto"/>
        </w:rPr>
      </w:pPr>
    </w:p>
    <w:p>
      <w:pPr>
        <w:ind w:left="580" w:right="20" w:firstLine="29"/>
        <w:spacing w:after="0" w:line="277" w:lineRule="auto"/>
        <w:rPr>
          <w:sz w:val="20"/>
          <w:szCs w:val="20"/>
          <w:color w:val="auto"/>
        </w:rPr>
      </w:pPr>
      <w:r>
        <w:rPr>
          <w:rFonts w:ascii="Arial" w:cs="Arial" w:eastAsia="Arial" w:hAnsi="Arial"/>
          <w:sz w:val="18"/>
          <w:szCs w:val="18"/>
          <w:color w:val="auto"/>
        </w:rPr>
        <w:t>pay substantial damages to our customers to discontinue their use of or to replace infringing technology sold to them with non-infringing technology, if available.</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make significant investments in new technologies and products that may not achieve technological feasibility or profitability or that may limit our revenue growth.</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have made and will continue to make significant investments in research and development of new technologies and products, including new and more technically advanced versions of our MRAM technology.</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Investments in new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new product investments for a number of years, if at all. Moreover, new technologies and products may not be profitable, and even if they are profitable, operating margins for new products and businesses may not be as high as the margins we have experienced historically or originally anticipated. Our inability to capitalize on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realize substantial revenue from our significant investments in research and development could harm our operating results and distract management, harming our business.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attract and retain key employees, and our failure to do so could harm our ability to grow our business and execute our business strategies.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key employees are at-will employees and although we issued refresh equity awards to our personnel in connection with our initial public offering, and repriced options in mid-December 2016 to reflect our then current stock price, there can be no assurance that these awards will be effective to retain our key employees. If we lose the services of any key senior management member or employee, we may not be able to locate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spacing w:after="0" w:line="18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We may not be able to effectively manage our growth, and we may need to incur significant expenditures to address the additional operational and control requirements of our growth, either of which could harm our business and operating results.</w:t>
      </w:r>
    </w:p>
    <w:p>
      <w:pPr>
        <w:spacing w:after="0" w:line="18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As we continue to expand our business, we expect our headcount and overall size of our operations to grow significantly. To effectively manage our growth, we must continue to expand our operational, engineering and financial systems, procedures and controls and to improve our accounting and other internal management systems, such as our new ERP system that we have recently implemented. This may require substantial managerial and financial resources, and our efforts in this regard may not be successful. Our current systems, procedures and controls may not be adequate to support our future operations. If we fail to adequately manage our growth, or to improve our operational, financial and management information systems, or fail to effectively motivate or manage our new and future employees, the quality of our products and the management of our operations could suffer, which could adversely affect our operating results.</w:t>
      </w:r>
    </w:p>
    <w:p>
      <w:pPr>
        <w:spacing w:after="0" w:line="166"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We may engage in acquisitions of, or investments in, other companies, each of which may divert our management’s attention, result in additional dilution to stockholders or use resources that are necessary to operate our business.</w:t>
      </w:r>
    </w:p>
    <w:p>
      <w:pPr>
        <w:spacing w:after="0" w:line="10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may in the future seek to acquire or invest in businesses, products or technologies that we believe could complement or expand our business, enhance our technical capabilities or otherwise offer growth opportunities. However, our term loan and revolving credit facility prohibits our ability to merge with or acquire any other entity. Even if we were allowed to pursue such acquisitions or investments, they could create risks for us, including:</w:t>
      </w:r>
    </w:p>
    <w:p>
      <w:pPr>
        <w:spacing w:after="0" w:line="187" w:lineRule="exact"/>
        <w:rPr>
          <w:sz w:val="20"/>
          <w:szCs w:val="20"/>
          <w:color w:val="auto"/>
        </w:rPr>
      </w:pPr>
    </w:p>
    <w:p>
      <w:pPr>
        <w:ind w:left="580" w:right="300" w:firstLine="29"/>
        <w:spacing w:after="0" w:line="312" w:lineRule="auto"/>
        <w:rPr>
          <w:sz w:val="20"/>
          <w:szCs w:val="20"/>
          <w:color w:val="auto"/>
        </w:rPr>
      </w:pPr>
      <w:r>
        <w:rPr>
          <w:rFonts w:ascii="Arial" w:cs="Arial" w:eastAsia="Arial" w:hAnsi="Arial"/>
          <w:sz w:val="16"/>
          <w:szCs w:val="16"/>
          <w:color w:val="auto"/>
        </w:rPr>
        <w:t>difficulties in assimilating acquired personnel, operations and technologies or realizing synergies expected in connection with an acquisition, particularly with acquisitions of companies with large and widespread operations, complex products or that operate in markets in which we historically have had limited experience;</w:t>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unanticipated costs or liabilities, including possible litigation, associated with the acquisition;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incurrence of acquisition-related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diversion of management’s attention from other business concerns;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resources that are needed in other parts of our business;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use of substantial portions of our available cash to consummate an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 significant portion of the purchase price of companies we acquire may be allocated to acquired goodwill, which must be assessed for impairment at least annually. If such acquisitions do not yield expected returns, we may be required to take charges to our earnings based on this impairment assessment process, which could harm our results of operations.</w:t>
      </w:r>
    </w:p>
    <w:p>
      <w:pPr>
        <w:spacing w:after="0" w:line="14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be unable to complete acquisitions at all or on commercially reasonable terms, which could limit our future growth. Acquisitions could also result in dilutive issuances of equity securities or the incurrence of additional debt, which could adversely affect our operating results and result in a decline in our stock price and further restrict our ability to pursue business opportunities, including potential acquisitions. In addition, if an acquired business fails to meet our expectations, our operating results may suffer.</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maintain operations outside of the United States and intend to expand our international operations, which exposes us to significant risks.</w:t>
      </w:r>
    </w:p>
    <w:p>
      <w:pPr>
        <w:spacing w:after="0" w:line="170"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have limited operations in Europe and Asia. We intend to expand our operations internationally. The success of our business depends, in large part, on our ability to operate successfully from geographically disparate locations and to further expand our international operations and sales. Operating in international markets 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Among the risks we believe are most likely to affect us are: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inefficiencies and costs associated with staffing and managing foreign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longer and more difficult customer qualification and credit checks;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greater difficulty collecting accounts receivable and longer payment cycles;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need for various local approvals to operate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difficulties in entering some foreign markets without larger-scale local operations;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compliance with local laws and regulations;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unexpected changes in regulatory requirements, including the elimination of tax holidays;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adverse tax consequences as a result of repatriating cash generated from foreign operations to the United States;</w:t>
      </w:r>
    </w:p>
    <w:p>
      <w:pPr>
        <w:spacing w:after="0" w:line="248" w:lineRule="exact"/>
        <w:rPr>
          <w:sz w:val="20"/>
          <w:szCs w:val="20"/>
          <w:color w:val="auto"/>
        </w:rPr>
      </w:pPr>
    </w:p>
    <w:p>
      <w:pPr>
        <w:ind w:left="580" w:right="600" w:firstLine="29"/>
        <w:spacing w:after="0" w:line="277" w:lineRule="auto"/>
        <w:rPr>
          <w:sz w:val="20"/>
          <w:szCs w:val="20"/>
          <w:color w:val="auto"/>
        </w:rPr>
      </w:pPr>
      <w:r>
        <w:rPr>
          <w:rFonts w:ascii="Arial" w:cs="Arial" w:eastAsia="Arial" w:hAnsi="Arial"/>
          <w:sz w:val="18"/>
          <w:szCs w:val="18"/>
          <w:color w:val="auto"/>
        </w:rPr>
        <w:t>adverse tax consequences, including potential additional tax exposure if we are deemed to have established a permanent establishment outside of the United States;</w:t>
      </w:r>
    </w:p>
    <w:p>
      <w:pPr>
        <w:spacing w:after="0" w:line="170" w:lineRule="exact"/>
        <w:rPr>
          <w:sz w:val="20"/>
          <w:szCs w:val="20"/>
          <w:color w:val="auto"/>
        </w:rPr>
      </w:pPr>
    </w:p>
    <w:p>
      <w:pPr>
        <w:ind w:left="580" w:right="220" w:firstLine="29"/>
        <w:spacing w:after="0" w:line="277" w:lineRule="auto"/>
        <w:rPr>
          <w:sz w:val="20"/>
          <w:szCs w:val="20"/>
          <w:color w:val="auto"/>
        </w:rPr>
      </w:pPr>
      <w:r>
        <w:rPr>
          <w:rFonts w:ascii="Arial" w:cs="Arial" w:eastAsia="Arial" w:hAnsi="Arial"/>
          <w:sz w:val="18"/>
          <w:szCs w:val="18"/>
          <w:color w:val="auto"/>
        </w:rPr>
        <w:t>the effectiveness of our policies and procedures designed to ensure compliance with the Foreign Corrupt Practices Act of 1977 and similar regulations;</w:t>
      </w:r>
    </w:p>
    <w:p>
      <w:pPr>
        <w:spacing w:after="0" w:line="170"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new and different sources of competition;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political and economic instability, and terrorism.</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failure to manage any of these risks successfully could harm our operations and reduce our revenue.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spacing w:after="0" w:line="17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Some of the facilities of our suppliers are located near known earthquake fault zones, and the occurrence of an earthquake or other catastrophic disaster could damage our facilities, which could cause us to curtail our operations.</w:t>
      </w:r>
    </w:p>
    <w:p>
      <w:pPr>
        <w:spacing w:after="0" w:line="10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disaster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credit facility may restrict our ability to pursue our business strategies.</w:t>
      </w:r>
    </w:p>
    <w:p>
      <w:pPr>
        <w:spacing w:after="0" w:line="22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Borrowings under our existing credit facility are secured by substantially all of our assets, except for intellectual property. Our term loan facility prohibits our ability to, among other things: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dispose of or sell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consolidate or merge with other entities;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incur additional indebtedness;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create liens on our assets;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pay dividends;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make investments;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enter into transactions with affiliates; and</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redeem subordinated indebtedness.</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These restrictions are subject to certain exceptions. In addition, our existing credit facility requires that we meet certain operating covenants, such as maintaining insurance on the collateral and meeting certain financial covenants, such as a minimum liquidity ratio. The operating restrictions and covenants in the term loan facility,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credit facility, which could cause all of the outstanding indebtedness thereunder to either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become immediately due and payable or increase by five percent of the interest rate charged during the period of the unremedied breach.</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losses to offset future taxable income may be subject to certain limitations.</w:t>
      </w:r>
    </w:p>
    <w:p>
      <w:pPr>
        <w:spacing w:after="0" w:line="23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We may experience an ownership change in the future, and our ability to utilize our NOLs and tax credits could be further limited by Section 382 of the Code. Future changes in our stock ownership, many of which are outside of our control, could result in an ownership change under Section 382 of the Code. Our net operating losses and tax credits could also be impaired under state laws. As a result, we might not be able to utilize a material portion of our state NOLs and tax credits.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will incur significantly increased costs and devote substantial management time as a result of operating as a public company.</w:t>
      </w:r>
    </w:p>
    <w:p>
      <w:pPr>
        <w:spacing w:after="0" w:line="170"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As a public company since October 2016, we are incurring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of 2010, or the Dodd-Frank Act, as well as rules and regulations subsequently implemented by the SEC and the NASDAQ Stock Market, including the establishment and maintenance of effective disclosure and internal controls and the establishment corporate governance practices. Compliance with these requirements has increased our legal and financial compliance costs and is making some activities more time consuming and costly.</w:t>
      </w:r>
    </w:p>
    <w:p>
      <w:pPr>
        <w:spacing w:after="0" w:line="1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If we fail to retain finance personnel and strengthen our financial reporting systems and infrastructure, we may not be able to timely and accurately report our financial results or comply with the requirements of being a public company, including compliance with the Sarbanes-Oxley Act and SEC reporting requirements.</w:t>
      </w:r>
    </w:p>
    <w:p>
      <w:pPr>
        <w:spacing w:after="0" w:line="1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have hired additional accounting and finance staff members to augment our current staff and to improve the effectiveness of our closing and financial reporting processes. Any inability to retain such personnel would have an adverse impact on our ability to accurately and timely prepare our financial statements. We may be unable to locate and hire qualified professionals with requisite technical and public company experience when and as needed. In addition, new employees will require time and training to learn our business and operating processes and procedures. If our finance and accounting organization is unable for any reason to respond adequately to the increased demands as a result of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the trading price of our common stock to decline and could harm our business, operating results and financial condition.</w:t>
      </w:r>
    </w:p>
    <w:p>
      <w:pPr>
        <w:spacing w:after="0" w:line="178" w:lineRule="exact"/>
        <w:rPr>
          <w:sz w:val="20"/>
          <w:szCs w:val="20"/>
          <w:color w:val="auto"/>
        </w:rPr>
      </w:pPr>
    </w:p>
    <w:p>
      <w:pPr>
        <w:ind w:right="260" w:firstLine="324"/>
        <w:spacing w:after="0" w:line="279" w:lineRule="auto"/>
        <w:rPr>
          <w:sz w:val="20"/>
          <w:szCs w:val="20"/>
          <w:color w:val="auto"/>
        </w:rPr>
      </w:pPr>
      <w:r>
        <w:rPr>
          <w:rFonts w:ascii="Arial" w:cs="Arial" w:eastAsia="Arial" w:hAnsi="Arial"/>
          <w:sz w:val="17"/>
          <w:szCs w:val="17"/>
          <w:color w:val="auto"/>
        </w:rPr>
        <w:t>If we fail to strengthen our financial reporting systems, infrastructure and internal control over financial reporting to meet the demands placed upon us as a public company, including the requirements of the Sarbanes-Oxley Act, we may be unable to report our financial results timely and accurately and prevent fraud. We expect to incur significant expense and devote substantial management effort toward ensuring compliance with Section 404.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Interruptions in our information technology systems could adversely affect our business.</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to operate our business. Any significant disruption to our systems or networks, including, but not limited to, new system implementations, computer viruses, security breaches, facility issues, natural disasters, terrorism, war, telecommunication failures or energy blackouts, could have a material adverse impact on our operations, sales and financial results. Such disruption could result in a loss of our intellectual property or the release of sensitive competitive information or supplier, customer or employee personal data. Any loss of such information could harm our competitive position, result in a loss of customer confidence, and cause us to incur significant costs to remedy the damages caused by any such disruptions or security breaches. Additionally, any failure to properly manage the collection, handling, transfer or disposal of personal data of employees and customers may result in regulatory penalties, enforcement actions, remediation obligations, litigation, fines and other sanctions.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experience attacks on our data, attempts to breach our security and attempts to introduce malicious software into our IT systems.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Third-party service providers, such as wafer foundries, assembly and test contractors, distributors and other vendors have access to certain portions of our and our customers’ sensitive data. In the event that these service providers do not properly safeguard the data that they hold, security breaches and loss of data could result. Any such loss of data by our third-party service providers could negatively impact our business, operations and financial results, as well as our relationship with our customers.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If we fail to remediate a material weakness in our internal control over financial reporting,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71" w:lineRule="exact"/>
        <w:rPr>
          <w:sz w:val="20"/>
          <w:szCs w:val="20"/>
          <w:color w:val="auto"/>
        </w:rPr>
      </w:pPr>
    </w:p>
    <w:p>
      <w:pPr>
        <w:ind w:right="20" w:firstLine="324"/>
        <w:spacing w:after="0" w:line="218" w:lineRule="exact"/>
        <w:rPr>
          <w:sz w:val="20"/>
          <w:szCs w:val="20"/>
          <w:color w:val="auto"/>
        </w:rPr>
      </w:pPr>
      <w:r>
        <w:rPr>
          <w:rFonts w:ascii="Arial" w:cs="Arial" w:eastAsia="Arial" w:hAnsi="Arial"/>
          <w:sz w:val="18"/>
          <w:szCs w:val="18"/>
          <w:color w:val="auto"/>
        </w:rPr>
        <w:t>As a result of being a public company, we will be required, under Section 404 of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and interim financial statements will not be detected or prevented on a timely basis.</w:t>
      </w:r>
    </w:p>
    <w:p>
      <w:pPr>
        <w:spacing w:after="0" w:line="20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connection with the audit of our financial statements as of and for the years ended December 31, 2016, 2015 and 2014, we identified material weaknesses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2014 and 2015, relating to the design and operation of our financial reporting processes. We have concluded that this material weakness was due to the fact that we did not yet have the appropriate resources with the appropriate level of experience and technical expertise to oversee our closing and financial reporting processes. Our management also determined that we had an additional material weakness in our internal control over financial reporting as of December 31, 2016, relating to information technology general and application controls. We have concluded that this material weakness is due to the current configuration of our ERP system, which has undergone additional integration in 2017.</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and to perform the evaluation needed to comply with Section 404. We may not be able to complete our remediation, evaluation and testing in a timely fashion. During the evaluation and testing process, if we identify one or more material weaknesses in our internal control over financial reporting, such as the one we identified as described above, we will be unable to conclude that our internal controls are effective. The effectiveness of our controls and procedures may be limited by a variety of factors, including:</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faulty human judgment and simple errors, omissions or mistakes;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fraudulent action of an individual or collusion of two or more people;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inappropriate management override of procedures; and;</w:t>
      </w:r>
    </w:p>
    <w:p>
      <w:pPr>
        <w:spacing w:after="0" w:line="225" w:lineRule="exact"/>
        <w:rPr>
          <w:sz w:val="20"/>
          <w:szCs w:val="20"/>
          <w:color w:val="auto"/>
        </w:rPr>
      </w:pPr>
    </w:p>
    <w:p>
      <w:pPr>
        <w:ind w:left="580" w:right="460" w:firstLine="29"/>
        <w:spacing w:after="0" w:line="277" w:lineRule="auto"/>
        <w:rPr>
          <w:sz w:val="20"/>
          <w:szCs w:val="20"/>
          <w:color w:val="auto"/>
        </w:rPr>
      </w:pPr>
      <w:r>
        <w:rPr>
          <w:rFonts w:ascii="Arial" w:cs="Arial" w:eastAsia="Arial" w:hAnsi="Arial"/>
          <w:sz w:val="18"/>
          <w:szCs w:val="18"/>
          <w:color w:val="auto"/>
        </w:rPr>
        <w:t>the possibility that any enhancements to controls and procedures may still not be adequate to assure timely and accurate financial control.</w:t>
      </w:r>
    </w:p>
    <w:p>
      <w:pPr>
        <w:spacing w:after="0" w:line="170"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auditors are unable to express an opinion on the effectiveness of our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internal controls, we could lose investor confidence in the accuracy and completeness of our financial reports, which could cause the price of our common stock to decline.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issuance of new accounting standards or future interpretations of existing accounting standards could adversely affect our operating results.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prepare our financial statements in accordance with accounting principles generally accepted in the United States of America, or GAAP. A change in those principles could have a significant effect on our reported results and might affect our reporting of transactions completed before a change is announced. GAAP is issued and subject to interpretation by the Financial Accounting Standards Board, the SEC and various other bodies formed to promulgate and interpret accounting principles. A change in these principles or interpretations could have a significant effect on our reported financial results, and could affect the reporting of transactions completed before the announcement of a change. The issuance of new accounting standards or future interpretations of existing accounting standards, or changes in our business practices or estimates, could result in future changes in our revenue recognition or other accounting policies that could have a material adverse effect on our results of operations.</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7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Pursuant to the Dodd-Frank Act, the SEC has adopted requirements for companies that use certain minerals and metals, known as conflict minerals, in their products, whether or not these products are manufactured by third parties. These requirements will require companies to perform diligence and disclose and report whether or not such minerals originate from the Democratic Republic of Congo and adjoining countries. The implementation of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will incur additional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be sustained.</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Prior to the initial public offering of our common stock in October 2016, there was no public market for our common stock. Although our stock is currently traded on the NASDAQ Stock Market, an active trading market may not be sustained. The lack of an active market may impair the value of your shares and your ability to sell your shares at the time you wish to sell them. An inactive market may also impair our ability to both raise capital by selling shares and acquire other complementary products, technologies or businesses by using our shares as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the price of our common stock will fluctuate substantially.</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may fluctuate substantially due to many factors, including: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introduction of new products or product enhancements by us or others in our industry;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disputes or other developments with respect to our or others’ intellectual property rights;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product liability claims or other litigation;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quarterly variations in our results of operations or those of others in our industry;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sales of large blocks of our common stock, including sales by our executive officers and directors;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changes in earnings estimates or recommendations by securities analysts; and</w:t>
      </w:r>
    </w:p>
    <w:p>
      <w:pPr>
        <w:spacing w:after="0" w:line="23" w:lineRule="exact"/>
        <w:rPr>
          <w:sz w:val="20"/>
          <w:szCs w:val="20"/>
          <w:color w:val="auto"/>
        </w:rPr>
      </w:pPr>
    </w:p>
    <w:p>
      <w:pPr>
        <w:ind w:left="580" w:right="700" w:firstLine="29"/>
        <w:spacing w:after="0" w:line="261" w:lineRule="auto"/>
        <w:rPr>
          <w:sz w:val="20"/>
          <w:szCs w:val="20"/>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8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These fluctuations may be even more pronounced in the trading market for our common stock.</w:t>
      </w:r>
    </w:p>
    <w:p>
      <w:pPr>
        <w:spacing w:after="0" w:line="171"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and other factors may make the price of our stock volatile and subject to unexpected fluctuation.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7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trading market for our common stock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our company or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our company or fail to publish reports covering us regularly, we could lose visibility in the market, which in turn could cause our stock price or trading volume to decline.</w:t>
      </w:r>
    </w:p>
    <w:p>
      <w:pPr>
        <w:spacing w:after="0" w:line="19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(1) we will not be required to comply with the auditor attestation requirements of Section 404(b) of the Sarbanes-Oxley Act, (2) we will be exempt from any rules that may be adopted by the Public Company Accounting Oversight Board requiring mandatory audit firm rotations or a supplement to the auditor’s report on financial statements, (3) we will be subject to reduced disclosure obligations regarding executive compensation in our periodic reports and proxy statements, and (4) we will not be required to hold nonbinding advisory votes on executive compensation or stockholder approval of any golden parachute payments not previously approved.</w:t>
      </w:r>
    </w:p>
    <w:p>
      <w:pPr>
        <w:spacing w:after="0" w:line="166"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may remain an “emerging growth company” until as late as December 31, 2021, the fiscal year-end following the fifth anniversary of the completion of our initial public offering, though we may cease to be an “emerging growth company” earlier under certain circumstances, including (1) if the market value of our common stock that is held by nonaffiliates exceeds $700 million as of any June 30, in which case we would cease to be an “emerging growth company” as of the following December 31, or (2) if our gross revenue exceeds $1.07 billion in any fiscal year.</w:t>
      </w:r>
    </w:p>
    <w:p>
      <w:pPr>
        <w:spacing w:after="0" w:line="17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Investors may find our common stock less attractive if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officers, directors and principal stockholders each holding more than 5% of our common stock, collectively, control a significant percentage of our outstanding common stock.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93"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47"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182" w:lineRule="exact"/>
        <w:rPr>
          <w:sz w:val="20"/>
          <w:szCs w:val="20"/>
          <w:color w:val="auto"/>
        </w:rPr>
      </w:pPr>
    </w:p>
    <w:p>
      <w:pPr>
        <w:ind w:left="580" w:right="60" w:firstLine="29"/>
        <w:spacing w:after="0" w:line="264" w:lineRule="auto"/>
        <w:rPr>
          <w:sz w:val="20"/>
          <w:szCs w:val="20"/>
          <w:color w:val="auto"/>
        </w:rPr>
      </w:pPr>
      <w:r>
        <w:rPr>
          <w:rFonts w:ascii="Arial" w:cs="Arial" w:eastAsia="Arial" w:hAnsi="Arial"/>
          <w:sz w:val="18"/>
          <w:szCs w:val="18"/>
          <w:color w:val="auto"/>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1" w:lineRule="exact"/>
        <w:rPr>
          <w:sz w:val="20"/>
          <w:szCs w:val="20"/>
          <w:color w:val="auto"/>
        </w:rPr>
      </w:pPr>
    </w:p>
    <w:p>
      <w:pPr>
        <w:ind w:left="580" w:right="80" w:firstLine="29"/>
        <w:spacing w:after="0" w:line="259" w:lineRule="auto"/>
        <w:rPr>
          <w:sz w:val="20"/>
          <w:szCs w:val="20"/>
          <w:color w:val="auto"/>
        </w:rPr>
      </w:pPr>
      <w:r>
        <w:rPr>
          <w:rFonts w:ascii="Arial" w:cs="Arial" w:eastAsia="Arial" w:hAnsi="Arial"/>
          <w:sz w:val="18"/>
          <w:szCs w:val="18"/>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the chief executive officer or the president;</w:t>
      </w:r>
    </w:p>
    <w:p>
      <w:pPr>
        <w:spacing w:after="0" w:line="187" w:lineRule="exact"/>
        <w:rPr>
          <w:sz w:val="20"/>
          <w:szCs w:val="20"/>
          <w:color w:val="auto"/>
        </w:rPr>
      </w:pPr>
    </w:p>
    <w:p>
      <w:pPr>
        <w:ind w:left="580" w:right="320" w:firstLine="29"/>
        <w:spacing w:after="0" w:line="277" w:lineRule="auto"/>
        <w:rPr>
          <w:sz w:val="20"/>
          <w:szCs w:val="20"/>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0" w:right="60" w:firstLine="29"/>
        <w:spacing w:after="0" w:line="257" w:lineRule="auto"/>
        <w:rPr>
          <w:sz w:val="20"/>
          <w:szCs w:val="20"/>
          <w:color w:val="auto"/>
        </w:rPr>
      </w:pPr>
      <w:r>
        <w:rPr>
          <w:rFonts w:ascii="Arial" w:cs="Arial" w:eastAsia="Arial" w:hAnsi="Arial"/>
          <w:sz w:val="18"/>
          <w:szCs w:val="18"/>
          <w:color w:val="auto"/>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removal of directors, special meetings, actions by written consent and cumulative voting and (b) to amend or repeal our bylaws, although our bylaws may be amended by a simple majority vote of our board of directors;</w:t>
      </w:r>
    </w:p>
    <w:p>
      <w:pPr>
        <w:spacing w:after="0" w:line="188" w:lineRule="exact"/>
        <w:rPr>
          <w:sz w:val="20"/>
          <w:szCs w:val="20"/>
          <w:color w:val="auto"/>
        </w:rPr>
      </w:pPr>
    </w:p>
    <w:p>
      <w:pPr>
        <w:ind w:left="580" w:right="100" w:firstLine="29"/>
        <w:spacing w:after="0" w:line="259" w:lineRule="auto"/>
        <w:rPr>
          <w:sz w:val="20"/>
          <w:szCs w:val="20"/>
          <w:color w:val="auto"/>
        </w:rPr>
      </w:pPr>
      <w:r>
        <w:rPr>
          <w:rFonts w:ascii="Arial" w:cs="Arial" w:eastAsia="Arial" w:hAnsi="Arial"/>
          <w:sz w:val="18"/>
          <w:szCs w:val="18"/>
          <w:color w:val="auto"/>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87" w:lineRule="exact"/>
        <w:rPr>
          <w:sz w:val="20"/>
          <w:szCs w:val="20"/>
          <w:color w:val="auto"/>
        </w:rPr>
      </w:pPr>
    </w:p>
    <w:p>
      <w:pPr>
        <w:jc w:val="both"/>
        <w:ind w:left="580" w:right="40" w:firstLine="29"/>
        <w:spacing w:after="0" w:line="286" w:lineRule="auto"/>
        <w:rPr>
          <w:sz w:val="20"/>
          <w:szCs w:val="20"/>
          <w:color w:val="auto"/>
        </w:rPr>
      </w:pPr>
      <w:r>
        <w:rPr>
          <w:rFonts w:ascii="Arial" w:cs="Arial" w:eastAsia="Arial" w:hAnsi="Arial"/>
          <w:sz w:val="17"/>
          <w:szCs w:val="17"/>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6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Securities and Use of Proceeds</w:t>
      </w:r>
    </w:p>
    <w:p>
      <w:pPr>
        <w:spacing w:after="0" w:line="225" w:lineRule="exact"/>
        <w:rPr>
          <w:sz w:val="20"/>
          <w:szCs w:val="20"/>
          <w:color w:val="auto"/>
        </w:rPr>
      </w:pPr>
    </w:p>
    <w:p>
      <w:pPr>
        <w:ind w:left="320" w:right="5780" w:hanging="317"/>
        <w:spacing w:after="0" w:line="501" w:lineRule="auto"/>
        <w:tabs>
          <w:tab w:leader="none" w:pos="251"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 xml:space="preserve">Recent Sales of Unregistered Securities </w:t>
      </w:r>
      <w:r>
        <w:rPr>
          <w:rFonts w:ascii="Arial" w:cs="Arial" w:eastAsia="Arial" w:hAnsi="Arial"/>
          <w:sz w:val="18"/>
          <w:szCs w:val="18"/>
          <w:color w:val="auto"/>
        </w:rPr>
        <w:t>None.</w:t>
      </w:r>
    </w:p>
    <w:p>
      <w:pPr>
        <w:ind w:left="260" w:hanging="257"/>
        <w:spacing w:after="0"/>
        <w:tabs>
          <w:tab w:leader="none" w:pos="260" w:val="left"/>
        </w:tabs>
        <w:numPr>
          <w:ilvl w:val="0"/>
          <w:numId w:val="6"/>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Use of Proceeds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Shares of our common stock began trading on the NASDAQ Global Select Market on October 7, 2016. The shares were registered under the Securities Act on registration statement on Form S-1 (Registration No. 333-213569) declared effective October 7, 2016.</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7, 2016. As of June 30, 2017, we had used approximately $22.6 million of the proceeds from our IPO.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On February 24, 2017, Everspin and Scott Sewell, at that time Everspin’s Vice President, Worldwide Sales and Marketing, entered into a transition and separation agreement providing that Mr. Sewell’s last date of employment with Everspin would be April 30, 2017, or such earlier date his employment is terminated by either him or Everspin. The agreement provides that: (a) Mr. Sewell would work approximately 80% of a regular schedule during the period from the date of the agreement until his employment terminated; (b) during this period his base salary would remain the same; and (c) if Mr. Sewell signed a liability release in favor of Everspin and allowed the release to become effective, Mr. Sewell would continue to be entitled to the severance benefits to which he was entitled under his Executive Employment Agreement with Everspin dated April 25, 2016.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exhibits listed in the accompanying Exhibit Index are incorporated by reference as part of this Quarterly Report</w:t>
      </w:r>
      <w:r>
        <w:rPr>
          <w:rFonts w:ascii="Arial" w:cs="Arial" w:eastAsia="Arial" w:hAnsi="Arial"/>
          <w:sz w:val="14"/>
          <w:szCs w:val="14"/>
          <w:color w:val="auto"/>
        </w:rPr>
        <w:t>.</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p>
        </w:tc>
        <w:tc>
          <w:tcPr>
            <w:tcW w:w="6020" w:type="dxa"/>
            <w:vAlign w:val="bottom"/>
            <w:gridSpan w:val="2"/>
          </w:tcPr>
          <w:p>
            <w:pPr>
              <w:ind w:left="218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11, 2017</w:t>
            </w:r>
          </w:p>
        </w:tc>
        <w:tc>
          <w:tcPr>
            <w:tcW w:w="6020" w:type="dxa"/>
            <w:vAlign w:val="bottom"/>
            <w:gridSpan w:val="2"/>
          </w:tcPr>
          <w:p>
            <w:pPr>
              <w:ind w:left="2180"/>
              <w:spacing w:after="0"/>
              <w:rPr>
                <w:sz w:val="20"/>
                <w:szCs w:val="20"/>
                <w:color w:val="auto"/>
              </w:rPr>
            </w:pPr>
            <w:r>
              <w:rPr>
                <w:rFonts w:ascii="Arial" w:cs="Arial" w:eastAsia="Arial" w:hAnsi="Arial"/>
                <w:sz w:val="18"/>
                <w:szCs w:val="18"/>
                <w:color w:val="auto"/>
              </w:rPr>
              <w:t>By: /s/ Phillip LoPresti</w:t>
            </w:r>
          </w:p>
        </w:tc>
      </w:tr>
      <w:tr>
        <w:trPr>
          <w:trHeight w:val="195"/>
        </w:trPr>
        <w:tc>
          <w:tcPr>
            <w:tcW w:w="3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Phillip LoPresti</w:t>
            </w:r>
          </w:p>
        </w:tc>
      </w:tr>
      <w:tr>
        <w:trPr>
          <w:trHeight w:val="216"/>
        </w:trPr>
        <w:tc>
          <w:tcPr>
            <w:tcW w:w="3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3040" w:type="dxa"/>
            <w:vAlign w:val="bottom"/>
          </w:tcPr>
          <w:p>
            <w:pPr>
              <w:spacing w:after="0"/>
              <w:rPr>
                <w:sz w:val="24"/>
                <w:szCs w:val="24"/>
                <w:color w:val="auto"/>
              </w:rPr>
            </w:pPr>
          </w:p>
        </w:tc>
        <w:tc>
          <w:tcPr>
            <w:tcW w:w="6020" w:type="dxa"/>
            <w:vAlign w:val="bottom"/>
            <w:gridSpan w:val="2"/>
          </w:tcPr>
          <w:p>
            <w:pPr>
              <w:ind w:left="2180"/>
              <w:spacing w:after="0"/>
              <w:rPr>
                <w:sz w:val="20"/>
                <w:szCs w:val="20"/>
                <w:color w:val="auto"/>
              </w:rPr>
            </w:pPr>
            <w:r>
              <w:rPr>
                <w:rFonts w:ascii="Arial" w:cs="Arial" w:eastAsia="Arial" w:hAnsi="Arial"/>
                <w:sz w:val="18"/>
                <w:szCs w:val="18"/>
                <w:color w:val="auto"/>
              </w:rPr>
              <w:t>Everspin Technologies,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11, 2017</w:t>
            </w:r>
          </w:p>
        </w:tc>
        <w:tc>
          <w:tcPr>
            <w:tcW w:w="6020" w:type="dxa"/>
            <w:vAlign w:val="bottom"/>
            <w:gridSpan w:val="2"/>
          </w:tcPr>
          <w:p>
            <w:pPr>
              <w:ind w:left="2180"/>
              <w:spacing w:after="0"/>
              <w:rPr>
                <w:sz w:val="20"/>
                <w:szCs w:val="20"/>
                <w:color w:val="auto"/>
              </w:rPr>
            </w:pPr>
            <w:r>
              <w:rPr>
                <w:rFonts w:ascii="Arial" w:cs="Arial" w:eastAsia="Arial" w:hAnsi="Arial"/>
                <w:sz w:val="18"/>
                <w:szCs w:val="18"/>
                <w:color w:val="auto"/>
              </w:rPr>
              <w:t>By: /s/ Jeffrey Winzeler</w:t>
            </w:r>
          </w:p>
        </w:tc>
      </w:tr>
      <w:tr>
        <w:trPr>
          <w:trHeight w:val="195"/>
        </w:trPr>
        <w:tc>
          <w:tcPr>
            <w:tcW w:w="30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Winzeler</w:t>
            </w:r>
          </w:p>
        </w:tc>
      </w:tr>
      <w:tr>
        <w:trPr>
          <w:trHeight w:val="216"/>
        </w:trPr>
        <w:tc>
          <w:tcPr>
            <w:tcW w:w="3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0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878"/>
        </w:trPr>
        <w:tc>
          <w:tcPr>
            <w:tcW w:w="3040" w:type="dxa"/>
            <w:vAlign w:val="bottom"/>
          </w:tcPr>
          <w:p>
            <w:pPr>
              <w:spacing w:after="0"/>
              <w:rPr>
                <w:sz w:val="24"/>
                <w:szCs w:val="24"/>
                <w:color w:val="auto"/>
              </w:rPr>
            </w:pPr>
          </w:p>
        </w:tc>
        <w:tc>
          <w:tcPr>
            <w:tcW w:w="2460" w:type="dxa"/>
            <w:vAlign w:val="bottom"/>
          </w:tcPr>
          <w:p>
            <w:pPr>
              <w:ind w:left="1400"/>
              <w:spacing w:after="0"/>
              <w:rPr>
                <w:sz w:val="20"/>
                <w:szCs w:val="20"/>
                <w:color w:val="auto"/>
              </w:rPr>
            </w:pPr>
            <w:r>
              <w:rPr>
                <w:rFonts w:ascii="Arial" w:cs="Arial" w:eastAsia="Arial" w:hAnsi="Arial"/>
                <w:sz w:val="18"/>
                <w:szCs w:val="18"/>
                <w:color w:val="auto"/>
              </w:rPr>
              <w:t>53</w:t>
            </w:r>
          </w:p>
        </w:tc>
        <w:tc>
          <w:tcPr>
            <w:tcW w:w="3560" w:type="dxa"/>
            <w:vAlign w:val="bottom"/>
          </w:tcPr>
          <w:p>
            <w:pPr>
              <w:spacing w:after="0"/>
              <w:rPr>
                <w:sz w:val="24"/>
                <w:szCs w:val="24"/>
                <w:color w:val="auto"/>
              </w:rPr>
            </w:pPr>
          </w:p>
        </w:tc>
      </w:tr>
      <w:tr>
        <w:trPr>
          <w:trHeight w:val="129"/>
        </w:trPr>
        <w:tc>
          <w:tcPr>
            <w:tcW w:w="304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35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62"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20" w:type="dxa"/>
            <w:vAlign w:val="bottom"/>
            <w:gridSpan w:val="6"/>
          </w:tcPr>
          <w:p>
            <w:pPr>
              <w:ind w:left="280"/>
              <w:spacing w:after="0"/>
              <w:rPr>
                <w:sz w:val="20"/>
                <w:szCs w:val="20"/>
                <w:color w:val="auto"/>
              </w:rPr>
            </w:pPr>
            <w:r>
              <w:rPr>
                <w:rFonts w:ascii="Arial" w:cs="Arial" w:eastAsia="Arial" w:hAnsi="Arial"/>
                <w:sz w:val="14"/>
                <w:szCs w:val="14"/>
                <w:b w:val="1"/>
                <w:bCs w:val="1"/>
                <w:color w:val="auto"/>
              </w:rPr>
              <w:t>Incorporation By Reference</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4100" w:type="dxa"/>
            <w:vAlign w:val="bottom"/>
            <w:tcBorders>
              <w:bottom w:val="single" w:sz="8" w:color="auto"/>
            </w:tcBorders>
          </w:tcPr>
          <w:p>
            <w:pPr>
              <w:jc w:val="right"/>
              <w:ind w:right="1628"/>
              <w:spacing w:after="0"/>
              <w:rPr>
                <w:sz w:val="20"/>
                <w:szCs w:val="20"/>
                <w:color w:val="auto"/>
              </w:rPr>
            </w:pPr>
            <w:r>
              <w:rPr>
                <w:rFonts w:ascii="Arial" w:cs="Arial" w:eastAsia="Arial" w:hAnsi="Arial"/>
                <w:sz w:val="14"/>
                <w:szCs w:val="14"/>
                <w:b w:val="1"/>
                <w:bCs w:val="1"/>
                <w:color w:val="auto"/>
              </w:rPr>
              <w:t>Description</w:t>
            </w:r>
          </w:p>
        </w:tc>
        <w:tc>
          <w:tcPr>
            <w:tcW w:w="84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SEC File No.</w:t>
            </w:r>
          </w:p>
        </w:tc>
        <w:tc>
          <w:tcPr>
            <w:tcW w:w="14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140" w:type="dxa"/>
            <w:vAlign w:val="bottom"/>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317"/>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Amended and Restated Certificate of Incorporation.</w:t>
            </w:r>
          </w:p>
        </w:tc>
        <w:tc>
          <w:tcPr>
            <w:tcW w:w="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10/13/2016</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Bylaws.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87"/>
              </w:rPr>
              <w:t>3.6</w:t>
            </w:r>
          </w:p>
        </w:tc>
        <w:tc>
          <w:tcPr>
            <w:tcW w:w="140" w:type="dxa"/>
            <w:vAlign w:val="bottom"/>
          </w:tcPr>
          <w:p>
            <w:pPr>
              <w:spacing w:after="0"/>
              <w:rPr>
                <w:sz w:val="17"/>
                <w:szCs w:val="17"/>
                <w:color w:val="auto"/>
              </w:rPr>
            </w:pPr>
          </w:p>
        </w:tc>
        <w:tc>
          <w:tcPr>
            <w:tcW w:w="860" w:type="dxa"/>
            <w:vAlign w:val="bottom"/>
          </w:tcPr>
          <w:p>
            <w:pPr>
              <w:jc w:val="center"/>
              <w:spacing w:after="0" w:line="202" w:lineRule="exact"/>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4.1</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Form of Common Stock Certificate of the Company.</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4.2</w:t>
            </w:r>
          </w:p>
        </w:tc>
        <w:tc>
          <w:tcPr>
            <w:tcW w:w="5080" w:type="dxa"/>
            <w:vAlign w:val="bottom"/>
            <w:gridSpan w:val="3"/>
            <w:vMerge w:val="restart"/>
          </w:tcPr>
          <w:p>
            <w:pPr>
              <w:ind w:left="140"/>
              <w:spacing w:after="0"/>
              <w:rPr>
                <w:sz w:val="20"/>
                <w:szCs w:val="20"/>
                <w:color w:val="auto"/>
              </w:rPr>
            </w:pPr>
            <w:r>
              <w:rPr>
                <w:rFonts w:ascii="Arial" w:cs="Arial" w:eastAsia="Arial" w:hAnsi="Arial"/>
                <w:sz w:val="18"/>
                <w:szCs w:val="18"/>
                <w:color w:val="auto"/>
              </w:rPr>
              <w:t>Reference is made to Exhibits 3.1 and 3.2.</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S-1</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213569</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9/09/2016</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5080" w:type="dxa"/>
            <w:vAlign w:val="bottom"/>
            <w:gridSpan w:val="3"/>
            <w:vMerge w:val="continue"/>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Loan and Security Agreement, dated as of May 4, 2017,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by and between the Company and Silicon Valley Bank.</w:t>
            </w:r>
          </w:p>
        </w:tc>
        <w:tc>
          <w:tcPr>
            <w:tcW w:w="6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5/9/2017</w:t>
            </w: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Executive Employment Agreement, dated April 26,</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2017 between the Company and Annie Flaig</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Severance Agreement, dated February 15, 2017 between</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the Company and Scott Sewell</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Executive Employment Agreement for Dr. Jon</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Slaughter, dated April 25, 2016</w:t>
            </w:r>
          </w:p>
        </w:tc>
        <w:tc>
          <w:tcPr>
            <w:tcW w:w="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10-K</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001-37900</w:t>
            </w:r>
          </w:p>
        </w:tc>
        <w:tc>
          <w:tcPr>
            <w:tcW w:w="1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3/29/2017</w:t>
            </w:r>
          </w:p>
        </w:tc>
        <w:tc>
          <w:tcPr>
            <w:tcW w:w="0" w:type="dxa"/>
            <w:vAlign w:val="bottom"/>
          </w:tcPr>
          <w:p>
            <w:pPr>
              <w:spacing w:after="0"/>
              <w:rPr>
                <w:sz w:val="1"/>
                <w:szCs w:val="1"/>
                <w:color w:val="auto"/>
              </w:rPr>
            </w:pPr>
          </w:p>
        </w:tc>
      </w:tr>
      <w:tr>
        <w:trPr>
          <w:trHeight w:val="323"/>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Certification of Principal Executive Officer Pursuant to</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Rules 13a-14(a) and 15d-14(a) under the Securities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Exchange Act of 1934, as Adopted Pursuant to Section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302 of the Sarbanes-Oxley Act of 2002.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31.2*</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Certification of Principal Financial Officer Pursuant to</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Rules 13a-14(a) and 15d-14(a) under the Securities</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Exchange Act of 1934, as Adopted Pursuant to Section</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302 of the Sarbanes-Oxley Act of 2002.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rPr>
              <w:t>32.1**</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Certification of Principal Executive Officer and</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Principal Financial Officer Pursuant to 18 U.S.C.</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Section 1350, as Adopted Pursuant to Section 906 of the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Sarbanes-Oxley Act of 2002.</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line="202" w:lineRule="exact"/>
              <w:rPr>
                <w:sz w:val="20"/>
                <w:szCs w:val="20"/>
                <w:color w:val="auto"/>
              </w:rPr>
            </w:pPr>
            <w:r>
              <w:rPr>
                <w:rFonts w:ascii="Arial" w:cs="Arial" w:eastAsia="Arial" w:hAnsi="Arial"/>
                <w:sz w:val="18"/>
                <w:szCs w:val="18"/>
                <w:color w:val="auto"/>
              </w:rPr>
              <w:t>101.INS</w:t>
            </w: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XBRL Instance Document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0"/>
              </w:rPr>
              <w:t>101.SCH</w:t>
            </w: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XBRL Taxonomy Extension Schema Document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spacing w:after="0" w:line="189" w:lineRule="exact"/>
              <w:rPr>
                <w:sz w:val="20"/>
                <w:szCs w:val="20"/>
                <w:color w:val="auto"/>
              </w:rPr>
            </w:pPr>
            <w:r>
              <w:rPr>
                <w:rFonts w:ascii="Arial" w:cs="Arial" w:eastAsia="Arial" w:hAnsi="Arial"/>
                <w:sz w:val="18"/>
                <w:szCs w:val="18"/>
                <w:color w:val="auto"/>
                <w:w w:val="97"/>
              </w:rPr>
              <w:t>101.CAL</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XBRL Taxonomy Extension Calculation Linkbase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0" w:type="dxa"/>
            <w:vAlign w:val="bottom"/>
          </w:tcPr>
          <w:p>
            <w:pPr>
              <w:jc w:val="center"/>
              <w:spacing w:after="0" w:line="189" w:lineRule="exact"/>
              <w:rPr>
                <w:sz w:val="20"/>
                <w:szCs w:val="20"/>
                <w:color w:val="auto"/>
              </w:rPr>
            </w:pPr>
            <w:r>
              <w:rPr>
                <w:rFonts w:ascii="Arial" w:cs="Arial" w:eastAsia="Arial" w:hAnsi="Arial"/>
                <w:sz w:val="18"/>
                <w:szCs w:val="18"/>
                <w:color w:val="auto"/>
                <w:w w:val="92"/>
              </w:rPr>
              <w:t>101.DEF</w:t>
            </w:r>
          </w:p>
        </w:tc>
        <w:tc>
          <w:tcPr>
            <w:tcW w:w="5080" w:type="dxa"/>
            <w:vAlign w:val="bottom"/>
            <w:gridSpan w:val="3"/>
          </w:tcPr>
          <w:p>
            <w:pPr>
              <w:ind w:left="140"/>
              <w:spacing w:after="0" w:line="189" w:lineRule="exact"/>
              <w:rPr>
                <w:sz w:val="20"/>
                <w:szCs w:val="20"/>
                <w:color w:val="auto"/>
              </w:rPr>
            </w:pPr>
            <w:r>
              <w:rPr>
                <w:rFonts w:ascii="Arial" w:cs="Arial" w:eastAsia="Arial" w:hAnsi="Arial"/>
                <w:sz w:val="18"/>
                <w:szCs w:val="18"/>
                <w:color w:val="auto"/>
              </w:rPr>
              <w:t>XBRL Taxonomy Extension Definition Linkbase</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508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Document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508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5"/>
        </w:trPr>
        <w:tc>
          <w:tcPr>
            <w:tcW w:w="700" w:type="dxa"/>
            <w:vAlign w:val="bottom"/>
          </w:tcPr>
          <w:p>
            <w:pPr>
              <w:spacing w:after="0"/>
              <w:rPr>
                <w:sz w:val="24"/>
                <w:szCs w:val="24"/>
                <w:color w:val="auto"/>
              </w:rPr>
            </w:pPr>
          </w:p>
        </w:tc>
        <w:tc>
          <w:tcPr>
            <w:tcW w:w="4240" w:type="dxa"/>
            <w:vAlign w:val="bottom"/>
            <w:gridSpan w:val="2"/>
          </w:tcPr>
          <w:p>
            <w:pPr>
              <w:jc w:val="right"/>
              <w:ind w:right="248"/>
              <w:spacing w:after="0"/>
              <w:rPr>
                <w:sz w:val="20"/>
                <w:szCs w:val="20"/>
                <w:color w:val="auto"/>
              </w:rPr>
            </w:pPr>
            <w:r>
              <w:rPr>
                <w:rFonts w:ascii="Arial" w:cs="Arial" w:eastAsia="Arial" w:hAnsi="Arial"/>
                <w:sz w:val="18"/>
                <w:szCs w:val="18"/>
                <w:color w:val="auto"/>
              </w:rPr>
              <w:t>54</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40" w:right="4499" w:hanging="836"/>
        <w:spacing w:after="0" w:line="246" w:lineRule="auto"/>
        <w:tabs>
          <w:tab w:leader="none" w:pos="820" w:val="left"/>
        </w:tabs>
        <w:rPr>
          <w:sz w:val="20"/>
          <w:szCs w:val="20"/>
          <w:color w:val="auto"/>
        </w:rPr>
      </w:pPr>
      <w:r>
        <w:rPr>
          <w:rFonts w:ascii="Arial" w:cs="Arial" w:eastAsia="Arial" w:hAnsi="Arial"/>
          <w:sz w:val="18"/>
          <w:szCs w:val="18"/>
          <w:color w:val="auto"/>
        </w:rPr>
        <w:t>101.PRE</w:t>
        <w:tab/>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2470150" cy="685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70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jc w:val="center"/>
        <w:spacing w:after="0" w:line="203" w:lineRule="auto"/>
        <w:rPr>
          <w:sz w:val="20"/>
          <w:szCs w:val="20"/>
          <w:color w:val="auto"/>
        </w:rPr>
      </w:pPr>
      <w:r>
        <w:rPr>
          <w:rFonts w:ascii="Arial" w:cs="Arial" w:eastAsia="Arial" w:hAnsi="Arial"/>
          <w:sz w:val="18"/>
          <w:szCs w:val="18"/>
          <w:b w:val="1"/>
          <w:bCs w:val="1"/>
          <w:color w:val="auto"/>
        </w:rPr>
        <w:t>for</w:t>
      </w:r>
    </w:p>
    <w:p>
      <w:pPr>
        <w:jc w:val="center"/>
        <w:spacing w:after="0"/>
        <w:rPr>
          <w:sz w:val="20"/>
          <w:szCs w:val="20"/>
          <w:color w:val="auto"/>
        </w:rPr>
      </w:pPr>
      <w:r>
        <w:rPr>
          <w:rFonts w:ascii="Arial" w:cs="Arial" w:eastAsia="Arial" w:hAnsi="Arial"/>
          <w:sz w:val="18"/>
          <w:szCs w:val="18"/>
          <w:b w:val="1"/>
          <w:bCs w:val="1"/>
          <w:color w:val="auto"/>
        </w:rPr>
        <w:t>Annie Flaig</w:t>
      </w:r>
    </w:p>
    <w:p>
      <w:pPr>
        <w:spacing w:after="0" w:line="16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This Executive Employment Agreement (“</w:t>
      </w:r>
      <w:r>
        <w:rPr>
          <w:rFonts w:ascii="Arial" w:cs="Arial" w:eastAsia="Arial" w:hAnsi="Arial"/>
          <w:sz w:val="18"/>
          <w:szCs w:val="18"/>
          <w:b w:val="1"/>
          <w:bCs w:val="1"/>
          <w:color w:val="auto"/>
        </w:rPr>
        <w:t>Agreement</w:t>
      </w:r>
      <w:r>
        <w:rPr>
          <w:rFonts w:ascii="Arial" w:cs="Arial" w:eastAsia="Arial" w:hAnsi="Arial"/>
          <w:sz w:val="18"/>
          <w:szCs w:val="18"/>
          <w:color w:val="auto"/>
        </w:rPr>
        <w:t>”), made between Everspin Technologies,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Annie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Flaig </w:t>
      </w:r>
      <w:r>
        <w:rPr>
          <w:rFonts w:ascii="Arial" w:cs="Arial" w:eastAsia="Arial" w:hAnsi="Arial"/>
          <w:sz w:val="18"/>
          <w:szCs w:val="18"/>
          <w:color w:val="auto"/>
        </w:rPr>
        <w:t>(“</w:t>
      </w:r>
      <w:r>
        <w:rPr>
          <w:rFonts w:ascii="Arial" w:cs="Arial" w:eastAsia="Arial" w:hAnsi="Arial"/>
          <w:sz w:val="18"/>
          <w:szCs w:val="18"/>
          <w:b w:val="1"/>
          <w:bCs w:val="1"/>
          <w:color w:val="auto"/>
        </w:rPr>
        <w:t>Executive</w:t>
      </w:r>
      <w:r>
        <w:rPr>
          <w:rFonts w:ascii="Arial" w:cs="Arial" w:eastAsia="Arial" w:hAnsi="Arial"/>
          <w:sz w:val="18"/>
          <w:szCs w:val="18"/>
          <w:color w:val="auto"/>
        </w:rPr>
        <w:t>”)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is effective as of</w:t>
      </w:r>
      <w:r>
        <w:rPr>
          <w:rFonts w:ascii="Arial" w:cs="Arial" w:eastAsia="Arial" w:hAnsi="Arial"/>
          <w:sz w:val="18"/>
          <w:szCs w:val="18"/>
          <w:b w:val="1"/>
          <w:bCs w:val="1"/>
          <w:color w:val="auto"/>
        </w:rPr>
        <w:t xml:space="preserve"> April 26, 2017</w:t>
      </w:r>
      <w:r>
        <w:rPr>
          <w:rFonts w:ascii="Arial" w:cs="Arial" w:eastAsia="Arial" w:hAnsi="Arial"/>
          <w:sz w:val="18"/>
          <w:szCs w:val="18"/>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employ Executive and Executive wishes to accept such employment.</w:t>
      </w:r>
    </w:p>
    <w:p>
      <w:pPr>
        <w:spacing w:after="0" w:line="18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covenants contained herein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is hereby acknowledged, the Parties hereto agree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Employment by the Company.</w:t>
      </w:r>
    </w:p>
    <w:p>
      <w:pPr>
        <w:spacing w:after="0" w:line="185" w:lineRule="exact"/>
        <w:rPr>
          <w:sz w:val="20"/>
          <w:szCs w:val="20"/>
          <w:color w:val="auto"/>
        </w:rPr>
      </w:pPr>
    </w:p>
    <w:p>
      <w:pPr>
        <w:jc w:val="both"/>
        <w:ind w:firstLine="1297"/>
        <w:spacing w:after="0" w:line="220" w:lineRule="auto"/>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Executive shall serve as the Company’s</w:t>
      </w:r>
      <w:r>
        <w:rPr>
          <w:rFonts w:ascii="Arial" w:cs="Arial" w:eastAsia="Arial" w:hAnsi="Arial"/>
          <w:sz w:val="18"/>
          <w:szCs w:val="18"/>
          <w:b w:val="1"/>
          <w:bCs w:val="1"/>
          <w:color w:val="auto"/>
        </w:rPr>
        <w:t xml:space="preserve"> Senior Vice President of Worldwide Sales</w:t>
      </w:r>
      <w:r>
        <w:rPr>
          <w:rFonts w:ascii="Arial" w:cs="Arial" w:eastAsia="Arial" w:hAnsi="Arial"/>
          <w:sz w:val="18"/>
          <w:szCs w:val="18"/>
          <w:color w:val="auto"/>
        </w:rPr>
        <w:t>. During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spacing w:after="0" w:line="159" w:lineRule="exact"/>
        <w:rPr>
          <w:sz w:val="20"/>
          <w:szCs w:val="20"/>
          <w:color w:val="auto"/>
        </w:rPr>
      </w:pPr>
    </w:p>
    <w:p>
      <w:pPr>
        <w:jc w:val="both"/>
        <w:ind w:firstLine="1297"/>
        <w:spacing w:after="0" w:line="217" w:lineRule="auto"/>
        <w:rPr>
          <w:sz w:val="20"/>
          <w:szCs w:val="20"/>
          <w:color w:val="auto"/>
        </w:rPr>
      </w:pPr>
      <w:r>
        <w:rPr>
          <w:rFonts w:ascii="Arial" w:cs="Arial" w:eastAsia="Arial" w:hAnsi="Arial"/>
          <w:sz w:val="18"/>
          <w:szCs w:val="18"/>
          <w:b w:val="1"/>
          <w:bCs w:val="1"/>
          <w:color w:val="auto"/>
        </w:rPr>
        <w:t xml:space="preserve">Duties and Location. </w:t>
      </w:r>
      <w:r>
        <w:rPr>
          <w:rFonts w:ascii="Arial" w:cs="Arial" w:eastAsia="Arial" w:hAnsi="Arial"/>
          <w:sz w:val="18"/>
          <w:szCs w:val="18"/>
          <w:color w:val="auto"/>
        </w:rPr>
        <w:t>Executive shall perform such duties as are required by the Company’s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to whom Executive will report. Executive’s primary work location shall be the Company’s offices in Austin, Texas; however, Executive is expected to travel frequently and shall perform her duties in other locations as reasonably necessary. Subject to Paragraph 6.2 below, the Company may modify Executive’s job title and duties as it deems necessary and appropriate in light of the Company’s needs and interests from time to time.</w:t>
      </w:r>
    </w:p>
    <w:p>
      <w:pPr>
        <w:spacing w:after="0" w:line="158" w:lineRule="exact"/>
        <w:rPr>
          <w:sz w:val="20"/>
          <w:szCs w:val="20"/>
          <w:color w:val="auto"/>
        </w:rPr>
      </w:pPr>
    </w:p>
    <w:p>
      <w:pPr>
        <w:jc w:val="both"/>
        <w:ind w:firstLine="1297"/>
        <w:spacing w:after="0" w:line="226" w:lineRule="auto"/>
        <w:rPr>
          <w:sz w:val="20"/>
          <w:szCs w:val="20"/>
          <w:color w:val="auto"/>
        </w:rPr>
      </w:pPr>
      <w:r>
        <w:rPr>
          <w:rFonts w:ascii="Arial" w:cs="Arial" w:eastAsia="Arial" w:hAnsi="Arial"/>
          <w:sz w:val="18"/>
          <w:szCs w:val="18"/>
          <w:b w:val="1"/>
          <w:bCs w:val="1"/>
          <w:color w:val="auto"/>
        </w:rPr>
        <w:t xml:space="preserve">Policies and Procedures. </w:t>
      </w:r>
      <w:r>
        <w:rPr>
          <w:rFonts w:ascii="Arial" w:cs="Arial" w:eastAsia="Arial" w:hAnsi="Arial"/>
          <w:sz w:val="18"/>
          <w:szCs w:val="18"/>
          <w:color w:val="auto"/>
        </w:rPr>
        <w:t>The employment relationship between the Parties shall be governed by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policies and practices of the Company, except that when the terms of this Agreement differ from or are in conflict with the Company’s general employment policies or practices, this Agreement shall control.</w:t>
      </w:r>
    </w:p>
    <w:p>
      <w:pPr>
        <w:spacing w:after="0" w:line="158"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8"/>
          <w:szCs w:val="18"/>
          <w:b w:val="1"/>
          <w:bCs w:val="1"/>
          <w:color w:val="auto"/>
        </w:rPr>
        <w:t xml:space="preserve">Start Date. </w:t>
      </w:r>
      <w:r>
        <w:rPr>
          <w:rFonts w:ascii="Arial" w:cs="Arial" w:eastAsia="Arial" w:hAnsi="Arial"/>
          <w:sz w:val="18"/>
          <w:szCs w:val="18"/>
          <w:color w:val="auto"/>
        </w:rPr>
        <w:t>The employment relationship between the Parties will begin on or around April 24, 2017 (the actual start</w:t>
      </w:r>
      <w:r>
        <w:rPr>
          <w:rFonts w:ascii="Arial" w:cs="Arial" w:eastAsia="Arial" w:hAnsi="Arial"/>
          <w:sz w:val="18"/>
          <w:szCs w:val="18"/>
          <w:b w:val="1"/>
          <w:bCs w:val="1"/>
          <w:color w:val="auto"/>
        </w:rPr>
        <w:t xml:space="preserve"> </w:t>
      </w:r>
      <w:r>
        <w:rPr>
          <w:rFonts w:ascii="Arial" w:cs="Arial" w:eastAsia="Arial" w:hAnsi="Arial"/>
          <w:sz w:val="18"/>
          <w:szCs w:val="18"/>
          <w:color w:val="auto"/>
        </w:rPr>
        <w:t>date being the “</w:t>
      </w:r>
      <w:r>
        <w:rPr>
          <w:rFonts w:ascii="Arial" w:cs="Arial" w:eastAsia="Arial" w:hAnsi="Arial"/>
          <w:sz w:val="18"/>
          <w:szCs w:val="18"/>
          <w:b w:val="1"/>
          <w:bCs w:val="1"/>
          <w:color w:val="auto"/>
        </w:rPr>
        <w:t>Employment Start Date</w:t>
      </w:r>
      <w:r>
        <w:rPr>
          <w:rFonts w:ascii="Arial" w:cs="Arial" w:eastAsia="Arial" w:hAnsi="Arial"/>
          <w:sz w:val="18"/>
          <w:szCs w:val="18"/>
          <w:color w:val="auto"/>
        </w:rPr>
        <w: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Compensation.</w:t>
      </w:r>
    </w:p>
    <w:p>
      <w:pPr>
        <w:spacing w:after="0" w:line="185" w:lineRule="exact"/>
        <w:rPr>
          <w:sz w:val="20"/>
          <w:szCs w:val="20"/>
          <w:color w:val="auto"/>
        </w:rPr>
      </w:pPr>
    </w:p>
    <w:p>
      <w:pPr>
        <w:jc w:val="both"/>
        <w:ind w:firstLine="1297"/>
        <w:spacing w:after="0" w:line="220" w:lineRule="auto"/>
        <w:rPr>
          <w:sz w:val="20"/>
          <w:szCs w:val="20"/>
          <w:color w:val="auto"/>
        </w:rPr>
      </w:pPr>
      <w:r>
        <w:rPr>
          <w:rFonts w:ascii="Arial" w:cs="Arial" w:eastAsia="Arial" w:hAnsi="Arial"/>
          <w:sz w:val="18"/>
          <w:szCs w:val="18"/>
          <w:b w:val="1"/>
          <w:bCs w:val="1"/>
          <w:color w:val="auto"/>
        </w:rPr>
        <w:t xml:space="preserve">Salary. </w:t>
      </w:r>
      <w:r>
        <w:rPr>
          <w:rFonts w:ascii="Arial" w:cs="Arial" w:eastAsia="Arial" w:hAnsi="Arial"/>
          <w:sz w:val="18"/>
          <w:szCs w:val="18"/>
          <w:color w:val="auto"/>
        </w:rPr>
        <w:t>For services to be rendered hereunder, Executive shall receive a base salary at the rate of two hundred fifty</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dollars (</w:t>
      </w:r>
      <w:r>
        <w:rPr>
          <w:rFonts w:ascii="Arial" w:cs="Arial" w:eastAsia="Arial" w:hAnsi="Arial"/>
          <w:sz w:val="18"/>
          <w:szCs w:val="18"/>
          <w:b w:val="1"/>
          <w:bCs w:val="1"/>
          <w:color w:val="auto"/>
        </w:rPr>
        <w:t>$</w:t>
      </w:r>
      <w:r>
        <w:rPr>
          <w:rFonts w:ascii="Arial" w:cs="Arial" w:eastAsia="Arial" w:hAnsi="Arial"/>
          <w:sz w:val="18"/>
          <w:szCs w:val="18"/>
          <w:color w:val="auto"/>
        </w:rPr>
        <w:t>250,000) per year (the “</w:t>
      </w:r>
      <w:r>
        <w:rPr>
          <w:rFonts w:ascii="Arial" w:cs="Arial" w:eastAsia="Arial" w:hAnsi="Arial"/>
          <w:sz w:val="18"/>
          <w:szCs w:val="18"/>
          <w:b w:val="1"/>
          <w:bCs w:val="1"/>
          <w:color w:val="auto"/>
        </w:rPr>
        <w:t>Base Salary</w:t>
      </w:r>
      <w:r>
        <w:rPr>
          <w:rFonts w:ascii="Arial" w:cs="Arial" w:eastAsia="Arial" w:hAnsi="Arial"/>
          <w:sz w:val="18"/>
          <w:szCs w:val="18"/>
          <w:color w:val="auto"/>
        </w:rPr>
        <w:t xml:space="preserve">”), subject to standard payroll deductions and withholdings and payable in accordance with the Company’s regular payroll schedule. Executive’s Base Salary shall be reviewed by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for possible adjustment annually.</w:t>
      </w:r>
    </w:p>
    <w:p>
      <w:pPr>
        <w:spacing w:after="0" w:line="159"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16"/>
          <w:szCs w:val="16"/>
          <w:b w:val="1"/>
          <w:bCs w:val="1"/>
          <w:color w:val="auto"/>
        </w:rPr>
        <w:t xml:space="preserve">Bonus. </w:t>
      </w:r>
      <w:r>
        <w:rPr>
          <w:rFonts w:ascii="Arial" w:cs="Arial" w:eastAsia="Arial" w:hAnsi="Arial"/>
          <w:sz w:val="16"/>
          <w:szCs w:val="16"/>
          <w:color w:val="auto"/>
        </w:rPr>
        <w:t>Executive will be eligible for an annual discretionary bonus with a target of two hundred fifty thousand dollars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($250,000). Executive will work with other members of management and the Board to develop a bonus plan for the fiscal year starting January 1, 2018. Whether Executive receives a bonus for any given year, and the amount of any such annual bonus, will be determined by the Board in its sole discretion based upon the Company’s and Executive’s achievement of objectives and milestones to be determined by the Board in consultation with Executive;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Executive’s 2017 annual bonus will be guaranteed to be at least two hundred fifty thousand dollars ($250,000), prorated for the period from the Employment Start Date to December 31, 2017,</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56" w:name="page57"/>
    <w:bookmarkEnd w:id="56"/>
    <w:p>
      <w:pPr>
        <w:jc w:val="both"/>
        <w:ind w:left="1"/>
        <w:spacing w:after="0" w:line="220" w:lineRule="auto"/>
        <w:rPr>
          <w:sz w:val="20"/>
          <w:szCs w:val="20"/>
          <w:color w:val="auto"/>
        </w:rPr>
      </w:pPr>
      <w:r>
        <w:rPr>
          <w:rFonts w:ascii="Arial" w:cs="Arial" w:eastAsia="Arial" w:hAnsi="Arial"/>
          <w:sz w:val="18"/>
          <w:szCs w:val="18"/>
          <w:color w:val="auto"/>
        </w:rPr>
        <w:t>and will be paid monthly, subject to standard deductions and withholdings (the “</w:t>
      </w:r>
      <w:r>
        <w:rPr>
          <w:rFonts w:ascii="Arial" w:cs="Arial" w:eastAsia="Arial" w:hAnsi="Arial"/>
          <w:sz w:val="18"/>
          <w:szCs w:val="18"/>
          <w:b w:val="1"/>
          <w:bCs w:val="1"/>
          <w:color w:val="auto"/>
        </w:rPr>
        <w:t>Initial Bonus</w:t>
      </w:r>
      <w:r>
        <w:rPr>
          <w:rFonts w:ascii="Arial" w:cs="Arial" w:eastAsia="Arial" w:hAnsi="Arial"/>
          <w:sz w:val="18"/>
          <w:szCs w:val="18"/>
          <w:color w:val="auto"/>
        </w:rPr>
        <w:t>”). Executive must be an active employee on the date any bonus is paid in order to earn any such bonus, unless Executive’s employment terminates without Cause or for Good Reason, in which case Executive will be eligible for, and will earn, a prorated bonus for the period of Executive’s employment with the Company, including any Initial Bonus payments due under this Section.</w:t>
      </w:r>
    </w:p>
    <w:p>
      <w:pPr>
        <w:spacing w:after="0" w:line="160" w:lineRule="exact"/>
        <w:rPr>
          <w:sz w:val="20"/>
          <w:szCs w:val="20"/>
          <w:color w:val="auto"/>
        </w:rPr>
      </w:pPr>
    </w:p>
    <w:p>
      <w:pPr>
        <w:jc w:val="both"/>
        <w:ind w:left="1" w:firstLine="1297"/>
        <w:spacing w:after="0" w:line="226" w:lineRule="auto"/>
        <w:rPr>
          <w:sz w:val="20"/>
          <w:szCs w:val="20"/>
          <w:color w:val="auto"/>
        </w:rPr>
      </w:pPr>
      <w:r>
        <w:rPr>
          <w:rFonts w:ascii="Arial" w:cs="Arial" w:eastAsia="Arial" w:hAnsi="Arial"/>
          <w:sz w:val="18"/>
          <w:szCs w:val="18"/>
          <w:b w:val="1"/>
          <w:bCs w:val="1"/>
          <w:color w:val="auto"/>
        </w:rPr>
        <w:t xml:space="preserve">Standard Company Benefits. </w:t>
      </w:r>
      <w:r>
        <w:rPr>
          <w:rFonts w:ascii="Arial" w:cs="Arial" w:eastAsia="Arial" w:hAnsi="Arial"/>
          <w:sz w:val="18"/>
          <w:szCs w:val="18"/>
          <w:color w:val="auto"/>
        </w:rPr>
        <w:t>Executive shall be entitled to participate in all employee benefit programs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is eligible under the terms and conditions of the benefit plans that may be in effect from time to time. The Company reserves the right to cancel or change the benefit plans or programs it offers to its employees at any time.</w:t>
      </w:r>
    </w:p>
    <w:p>
      <w:pPr>
        <w:spacing w:after="0" w:line="158" w:lineRule="exact"/>
        <w:rPr>
          <w:sz w:val="20"/>
          <w:szCs w:val="20"/>
          <w:color w:val="auto"/>
        </w:rPr>
      </w:pPr>
    </w:p>
    <w:p>
      <w:pPr>
        <w:jc w:val="both"/>
        <w:ind w:left="1" w:firstLine="1297"/>
        <w:spacing w:after="0" w:line="239" w:lineRule="auto"/>
        <w:rPr>
          <w:sz w:val="20"/>
          <w:szCs w:val="20"/>
          <w:color w:val="auto"/>
        </w:rPr>
      </w:pPr>
      <w:r>
        <w:rPr>
          <w:rFonts w:ascii="Arial" w:cs="Arial" w:eastAsia="Arial" w:hAnsi="Arial"/>
          <w:sz w:val="17"/>
          <w:szCs w:val="17"/>
          <w:b w:val="1"/>
          <w:bCs w:val="1"/>
          <w:color w:val="auto"/>
        </w:rPr>
        <w:t xml:space="preserve">Expenses. </w:t>
      </w:r>
      <w:r>
        <w:rPr>
          <w:rFonts w:ascii="Arial" w:cs="Arial" w:eastAsia="Arial" w:hAnsi="Arial"/>
          <w:sz w:val="17"/>
          <w:szCs w:val="17"/>
          <w:color w:val="auto"/>
        </w:rPr>
        <w:t>The Company will reimburse Executive for reasonable travel, entertainment or other expenses incurred by</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in furtherance or in connection with the performance of Executive’s duties hereunder, in accordance with the Company’s expense reimbursement policy and requirements of the Internal Revenue Service as in effect from time to time. .</w:t>
      </w:r>
    </w:p>
    <w:p>
      <w:pPr>
        <w:spacing w:after="0" w:line="159" w:lineRule="exact"/>
        <w:rPr>
          <w:sz w:val="20"/>
          <w:szCs w:val="20"/>
          <w:color w:val="auto"/>
        </w:rPr>
      </w:pPr>
    </w:p>
    <w:p>
      <w:pPr>
        <w:jc w:val="both"/>
        <w:ind w:left="1" w:firstLine="1297"/>
        <w:spacing w:after="0" w:line="230" w:lineRule="auto"/>
        <w:rPr>
          <w:sz w:val="20"/>
          <w:szCs w:val="20"/>
          <w:color w:val="auto"/>
        </w:rPr>
      </w:pPr>
      <w:r>
        <w:rPr>
          <w:rFonts w:ascii="Arial" w:cs="Arial" w:eastAsia="Arial" w:hAnsi="Arial"/>
          <w:sz w:val="17"/>
          <w:szCs w:val="17"/>
          <w:b w:val="1"/>
          <w:bCs w:val="1"/>
          <w:color w:val="auto"/>
        </w:rPr>
        <w:t xml:space="preserve">Equity. </w:t>
      </w:r>
      <w:r>
        <w:rPr>
          <w:rFonts w:ascii="Arial" w:cs="Arial" w:eastAsia="Arial" w:hAnsi="Arial"/>
          <w:sz w:val="17"/>
          <w:szCs w:val="17"/>
          <w:color w:val="auto"/>
        </w:rPr>
        <w:t>The Company will recommend that the Board grant to Executive options to purchase one hundred twenty</w:t>
      </w:r>
      <w:r>
        <w:rPr>
          <w:rFonts w:ascii="Arial" w:cs="Arial" w:eastAsia="Arial" w:hAnsi="Arial"/>
          <w:sz w:val="17"/>
          <w:szCs w:val="17"/>
          <w:b w:val="1"/>
          <w:bCs w:val="1"/>
          <w:color w:val="auto"/>
        </w:rPr>
        <w:t xml:space="preserve"> </w:t>
      </w:r>
      <w:r>
        <w:rPr>
          <w:rFonts w:ascii="Arial" w:cs="Arial" w:eastAsia="Arial" w:hAnsi="Arial"/>
          <w:sz w:val="17"/>
          <w:szCs w:val="17"/>
          <w:color w:val="auto"/>
        </w:rPr>
        <w:t>thousand (120,000) shares of the Company’s Common Stock (the “</w:t>
      </w:r>
      <w:r>
        <w:rPr>
          <w:rFonts w:ascii="Arial" w:cs="Arial" w:eastAsia="Arial" w:hAnsi="Arial"/>
          <w:sz w:val="17"/>
          <w:szCs w:val="17"/>
          <w:b w:val="1"/>
          <w:bCs w:val="1"/>
          <w:color w:val="auto"/>
        </w:rPr>
        <w:t>Options</w:t>
      </w:r>
      <w:r>
        <w:rPr>
          <w:rFonts w:ascii="Arial" w:cs="Arial" w:eastAsia="Arial" w:hAnsi="Arial"/>
          <w:sz w:val="17"/>
          <w:szCs w:val="17"/>
          <w:color w:val="auto"/>
        </w:rPr>
        <w:t>”), the terms of which shall be governed in all respects by the governing plan documents, grant notices and stock option agreements. Executive shall be eligible to receive further stock grants and/or stock option awards in the sole discretion of the Board. Company agrees the effective date of the Grant shall be as soon as reasonably practicable following the first Board of Directors meeting after Executive commences employment.</w:t>
      </w:r>
    </w:p>
    <w:p>
      <w:pPr>
        <w:spacing w:after="0" w:line="157" w:lineRule="exact"/>
        <w:rPr>
          <w:sz w:val="20"/>
          <w:szCs w:val="20"/>
          <w:color w:val="auto"/>
        </w:rPr>
      </w:pPr>
    </w:p>
    <w:p>
      <w:pPr>
        <w:jc w:val="both"/>
        <w:ind w:left="1" w:firstLine="1297"/>
        <w:spacing w:after="0" w:line="261" w:lineRule="auto"/>
        <w:rPr>
          <w:sz w:val="20"/>
          <w:szCs w:val="20"/>
          <w:color w:val="auto"/>
        </w:rPr>
      </w:pPr>
      <w:r>
        <w:rPr>
          <w:rFonts w:ascii="Arial" w:cs="Arial" w:eastAsia="Arial" w:hAnsi="Arial"/>
          <w:sz w:val="16"/>
          <w:szCs w:val="16"/>
          <w:b w:val="1"/>
          <w:bCs w:val="1"/>
          <w:color w:val="auto"/>
        </w:rPr>
        <w:t xml:space="preserve">Sign On Bonus. </w:t>
      </w:r>
      <w:r>
        <w:rPr>
          <w:rFonts w:ascii="Arial" w:cs="Arial" w:eastAsia="Arial" w:hAnsi="Arial"/>
          <w:sz w:val="16"/>
          <w:szCs w:val="16"/>
          <w:color w:val="auto"/>
        </w:rPr>
        <w:t>Executive shall receive a one-time sign on bonus of fifty thousand dollars ($50,000), which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must pay back if Executive resigns without Good Reason within twelve (12) months of the Employment Start Date. The sign on bonus contemplated herein shall be paid at the same time as Executive’s first paycheck, to be paid on the Company’s regular payroll schedule.</w:t>
      </w:r>
    </w:p>
    <w:p>
      <w:pPr>
        <w:spacing w:after="0" w:line="143"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Termination of Employment; Severance.</w:t>
      </w:r>
    </w:p>
    <w:p>
      <w:pPr>
        <w:spacing w:after="0" w:line="185" w:lineRule="exact"/>
        <w:rPr>
          <w:sz w:val="20"/>
          <w:szCs w:val="20"/>
          <w:color w:val="auto"/>
        </w:rPr>
      </w:pPr>
    </w:p>
    <w:p>
      <w:pPr>
        <w:jc w:val="both"/>
        <w:ind w:left="1" w:firstLine="1297"/>
        <w:spacing w:after="0" w:line="237" w:lineRule="auto"/>
        <w:rPr>
          <w:sz w:val="20"/>
          <w:szCs w:val="20"/>
          <w:color w:val="auto"/>
        </w:rPr>
      </w:pPr>
      <w:r>
        <w:rPr>
          <w:rFonts w:ascii="Arial" w:cs="Arial" w:eastAsia="Arial" w:hAnsi="Arial"/>
          <w:sz w:val="18"/>
          <w:szCs w:val="18"/>
          <w:b w:val="1"/>
          <w:bCs w:val="1"/>
          <w:color w:val="auto"/>
        </w:rPr>
        <w:t xml:space="preserve">At-Will Employment. </w:t>
      </w:r>
      <w:r>
        <w:rPr>
          <w:rFonts w:ascii="Arial" w:cs="Arial" w:eastAsia="Arial" w:hAnsi="Arial"/>
          <w:sz w:val="18"/>
          <w:szCs w:val="18"/>
          <w:color w:val="auto"/>
        </w:rPr>
        <w:t>Executive’s employment relationship is at-will. Either Executive or the Company may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the employment relationship at any time, with or without Cause or advance notice.</w:t>
      </w:r>
    </w:p>
    <w:p>
      <w:pPr>
        <w:spacing w:after="0" w:line="158" w:lineRule="exact"/>
        <w:rPr>
          <w:sz w:val="20"/>
          <w:szCs w:val="20"/>
          <w:color w:val="auto"/>
        </w:rPr>
      </w:pPr>
    </w:p>
    <w:p>
      <w:pPr>
        <w:ind w:left="1301"/>
        <w:spacing w:after="0"/>
        <w:rPr>
          <w:sz w:val="20"/>
          <w:szCs w:val="20"/>
          <w:color w:val="auto"/>
        </w:rPr>
      </w:pPr>
      <w:r>
        <w:rPr>
          <w:rFonts w:ascii="Arial" w:cs="Arial" w:eastAsia="Arial" w:hAnsi="Arial"/>
          <w:sz w:val="18"/>
          <w:szCs w:val="18"/>
          <w:b w:val="1"/>
          <w:bCs w:val="1"/>
          <w:color w:val="auto"/>
        </w:rPr>
        <w:t>Termination Without Cause; Resignation for Good Reason.</w:t>
      </w:r>
    </w:p>
    <w:p>
      <w:pPr>
        <w:spacing w:after="0" w:line="189" w:lineRule="exact"/>
        <w:rPr>
          <w:sz w:val="20"/>
          <w:szCs w:val="20"/>
          <w:color w:val="auto"/>
        </w:rPr>
      </w:pPr>
    </w:p>
    <w:p>
      <w:pPr>
        <w:jc w:val="both"/>
        <w:ind w:left="1" w:firstLine="1945"/>
        <w:spacing w:after="0" w:line="235" w:lineRule="auto"/>
        <w:rPr>
          <w:sz w:val="20"/>
          <w:szCs w:val="20"/>
          <w:color w:val="auto"/>
        </w:rPr>
      </w:pPr>
      <w:r>
        <w:rPr>
          <w:rFonts w:ascii="Arial" w:cs="Arial" w:eastAsia="Arial" w:hAnsi="Arial"/>
          <w:sz w:val="18"/>
          <w:szCs w:val="18"/>
          <w:color w:val="auto"/>
        </w:rPr>
        <w:t>The Company may terminate Executive’s employment with the Company at any time without Cause (as defined below). Further, Executive may resign at any time for Good Reason (as defined below).</w:t>
      </w:r>
    </w:p>
    <w:p>
      <w:pPr>
        <w:spacing w:after="0" w:line="162" w:lineRule="exact"/>
        <w:rPr>
          <w:sz w:val="20"/>
          <w:szCs w:val="20"/>
          <w:color w:val="auto"/>
        </w:rPr>
      </w:pPr>
    </w:p>
    <w:p>
      <w:pPr>
        <w:jc w:val="both"/>
        <w:ind w:left="1" w:firstLine="1945"/>
        <w:spacing w:after="0" w:line="216" w:lineRule="auto"/>
        <w:rPr>
          <w:sz w:val="20"/>
          <w:szCs w:val="20"/>
          <w:color w:val="auto"/>
        </w:rPr>
      </w:pPr>
      <w:r>
        <w:rPr>
          <w:rFonts w:ascii="Arial" w:cs="Arial" w:eastAsia="Arial" w:hAnsi="Arial"/>
          <w:sz w:val="18"/>
          <w:szCs w:val="18"/>
          <w:color w:val="auto"/>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Arial" w:cs="Arial" w:eastAsia="Arial" w:hAnsi="Arial"/>
          <w:sz w:val="18"/>
          <w:szCs w:val="18"/>
          <w:b w:val="1"/>
          <w:bCs w:val="1"/>
          <w:color w:val="auto"/>
        </w:rPr>
        <w:t>Separation from Service</w:t>
      </w:r>
      <w:r>
        <w:rPr>
          <w:rFonts w:ascii="Arial" w:cs="Arial" w:eastAsia="Arial" w:hAnsi="Arial"/>
          <w:sz w:val="18"/>
          <w:szCs w:val="18"/>
          <w:color w:val="auto"/>
        </w:rPr>
        <w:t>”), and provided Executive remains in compliance with all contractual obligations to the Company, then the Company shall provide Executive with the following severance benefits, subject to the terms and conditions set forth in Section 4:</w:t>
      </w:r>
    </w:p>
    <w:p>
      <w:pPr>
        <w:spacing w:after="0" w:line="162" w:lineRule="exact"/>
        <w:rPr>
          <w:sz w:val="20"/>
          <w:szCs w:val="20"/>
          <w:color w:val="auto"/>
        </w:rPr>
      </w:pPr>
    </w:p>
    <w:p>
      <w:pPr>
        <w:ind w:left="2601"/>
        <w:spacing w:after="0"/>
        <w:rPr>
          <w:sz w:val="20"/>
          <w:szCs w:val="20"/>
          <w:color w:val="auto"/>
        </w:rPr>
      </w:pPr>
      <w:r>
        <w:rPr>
          <w:rFonts w:ascii="Arial" w:cs="Arial" w:eastAsia="Arial" w:hAnsi="Arial"/>
          <w:sz w:val="16"/>
          <w:szCs w:val="16"/>
          <w:color w:val="auto"/>
        </w:rPr>
        <w:t>The Company shall pay Executive severance in the form of continuation of Executive’s Base Salary for</w:t>
      </w:r>
    </w:p>
    <w:p>
      <w:pPr>
        <w:spacing w:after="0" w:line="8" w:lineRule="exact"/>
        <w:rPr>
          <w:sz w:val="20"/>
          <w:szCs w:val="20"/>
          <w:color w:val="auto"/>
        </w:rPr>
      </w:pPr>
    </w:p>
    <w:p>
      <w:pPr>
        <w:jc w:val="both"/>
        <w:ind w:left="1" w:hanging="1"/>
        <w:spacing w:after="0" w:line="222" w:lineRule="auto"/>
        <w:tabs>
          <w:tab w:leader="none" w:pos="238"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six (6) months after the date of Executive’s Separation from Service, plus an additional one-time payment of fifty thousand dollars ($50,000), or (ii) twelve (12) months after the date of Executive’s Separation from Service, if Executive’s termination without Cause or resignation for Good Reason occurs within twelve (12) months of the Employment Start Date. These salary continuation payments will be paid on the Company’s regular payroll schedule, subject to standard deductions and withholdings, over the six (6) or twelve (12) month period, as applicable, following Executive’s Separation from Service;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no payments will be made prior to the 60th day following Executive’s Separation from Service. On the 60th day following Executive’s Separation from Service, the Company will pay Executive in a lump sum the salary continuation payments that Executive would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18"/>
          <w:szCs w:val="18"/>
          <w:color w:val="auto"/>
        </w:rPr>
        <w:t>have received on or prior to such date under the original schedule with the balance of the cash severance being paid as originally scheduled.</w:t>
      </w:r>
    </w:p>
    <w:p>
      <w:pPr>
        <w:spacing w:after="0" w:line="162" w:lineRule="exact"/>
        <w:rPr>
          <w:sz w:val="20"/>
          <w:szCs w:val="20"/>
          <w:color w:val="auto"/>
        </w:rPr>
      </w:pPr>
    </w:p>
    <w:p>
      <w:pPr>
        <w:jc w:val="both"/>
        <w:ind w:firstLine="2593"/>
        <w:spacing w:after="0" w:line="220" w:lineRule="auto"/>
        <w:rPr>
          <w:sz w:val="20"/>
          <w:szCs w:val="20"/>
          <w:color w:val="auto"/>
        </w:rPr>
      </w:pPr>
      <w:r>
        <w:rPr>
          <w:rFonts w:ascii="Arial" w:cs="Arial" w:eastAsia="Arial" w:hAnsi="Arial"/>
          <w:sz w:val="17"/>
          <w:szCs w:val="17"/>
          <w:color w:val="auto"/>
        </w:rPr>
        <w:t>Provided that Executive timely elects continued coverage under COBRA, the Company shall pay Executive’s COBRA premiums to continue Executive’s coverage (including coverage for eligible dependents, if applicable) (“</w:t>
      </w:r>
      <w:r>
        <w:rPr>
          <w:rFonts w:ascii="Arial" w:cs="Arial" w:eastAsia="Arial" w:hAnsi="Arial"/>
          <w:sz w:val="17"/>
          <w:szCs w:val="17"/>
          <w:b w:val="1"/>
          <w:bCs w:val="1"/>
          <w:color w:val="auto"/>
        </w:rPr>
        <w:t>COBRA</w:t>
      </w:r>
      <w:r>
        <w:rPr>
          <w:rFonts w:ascii="Arial" w:cs="Arial" w:eastAsia="Arial" w:hAnsi="Arial"/>
          <w:sz w:val="17"/>
          <w:szCs w:val="17"/>
          <w:color w:val="auto"/>
        </w:rPr>
        <w:t xml:space="preserve"> </w:t>
      </w:r>
      <w:r>
        <w:rPr>
          <w:rFonts w:ascii="Arial" w:cs="Arial" w:eastAsia="Arial" w:hAnsi="Arial"/>
          <w:sz w:val="17"/>
          <w:szCs w:val="17"/>
          <w:b w:val="1"/>
          <w:bCs w:val="1"/>
          <w:color w:val="auto"/>
        </w:rPr>
        <w:t>Premiums</w:t>
      </w:r>
      <w:r>
        <w:rPr>
          <w:rFonts w:ascii="Arial" w:cs="Arial" w:eastAsia="Arial" w:hAnsi="Arial"/>
          <w:sz w:val="17"/>
          <w:szCs w:val="17"/>
          <w:color w:val="auto"/>
        </w:rPr>
        <w:t>”) through the period (the “</w:t>
      </w:r>
      <w:r>
        <w:rPr>
          <w:rFonts w:ascii="Arial" w:cs="Arial" w:eastAsia="Arial" w:hAnsi="Arial"/>
          <w:sz w:val="17"/>
          <w:szCs w:val="17"/>
          <w:b w:val="1"/>
          <w:bCs w:val="1"/>
          <w:color w:val="auto"/>
        </w:rPr>
        <w:t>COBRA Premium Period</w:t>
      </w:r>
      <w:r>
        <w:rPr>
          <w:rFonts w:ascii="Arial" w:cs="Arial" w:eastAsia="Arial" w:hAnsi="Arial"/>
          <w:sz w:val="17"/>
          <w:szCs w:val="17"/>
          <w:color w:val="auto"/>
        </w:rPr>
        <w:t>”) starting on the Executive’s Separation from Service and ending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earliest to occur of: (i) six (6) months following Executive’s Separation from Service (or twelve (12) months following Executive’s Separation from Service if Executive’s termination without Cause or resignation for Good Reason occurs within twelve (12) months of the Employment Start Date);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remaining in the COBRA Premium Period, a fully taxable cash payment equal to the applicable COBRA premiums for that month, subject to applicable tax withholdings, which Executive may, but is not obligated to, use toward the cost of COBRA premiums.</w:t>
      </w:r>
    </w:p>
    <w:p>
      <w:pPr>
        <w:spacing w:after="0" w:line="169" w:lineRule="exact"/>
        <w:rPr>
          <w:sz w:val="20"/>
          <w:szCs w:val="20"/>
          <w:color w:val="auto"/>
        </w:rPr>
      </w:pPr>
    </w:p>
    <w:p>
      <w:pPr>
        <w:jc w:val="both"/>
        <w:ind w:firstLine="2593"/>
        <w:spacing w:after="0" w:line="223" w:lineRule="auto"/>
        <w:rPr>
          <w:sz w:val="20"/>
          <w:szCs w:val="20"/>
          <w:color w:val="auto"/>
        </w:rPr>
      </w:pPr>
      <w:r>
        <w:rPr>
          <w:rFonts w:ascii="Arial" w:cs="Arial" w:eastAsia="Arial" w:hAnsi="Arial"/>
          <w:sz w:val="17"/>
          <w:szCs w:val="17"/>
          <w:color w:val="auto"/>
        </w:rPr>
        <w:t xml:space="preserve">The vesting of Executive’s Options shall be accelerated such that the shares subject to the Options that would have vested in the six (6) month period following Executive’s Separation from Service shall be deemed immediately vested and exercisable as of Executive’s last day of employment; </w:t>
      </w:r>
      <w:r>
        <w:rPr>
          <w:rFonts w:ascii="Arial" w:cs="Arial" w:eastAsia="Arial" w:hAnsi="Arial"/>
          <w:sz w:val="17"/>
          <w:szCs w:val="17"/>
          <w:i w:val="1"/>
          <w:iCs w:val="1"/>
          <w:color w:val="auto"/>
        </w:rPr>
        <w:t>provided, however, that</w:t>
      </w:r>
      <w:r>
        <w:rPr>
          <w:rFonts w:ascii="Arial" w:cs="Arial" w:eastAsia="Arial" w:hAnsi="Arial"/>
          <w:sz w:val="17"/>
          <w:szCs w:val="17"/>
          <w:color w:val="auto"/>
        </w:rPr>
        <w:t xml:space="preserve"> (i) if Executive’s termination without Cause or resignation for Good Reason occurs within twelve (12) months of the Employment Start Date, the vesting of Executive’s Options shall be accelerated such that the shares subject to the Options that would have vested in the twelve (12) month period following Executive’s Separation from Service shall be deemed immediately vested and exercisable as of Executive’s last day of employment, and (ii) if Executive’s termination without Cause or resignation for Good Reason occurs within twelve (12) months following the effective date of a Change of Control (as defined below), then the Company will accelerate the vesting of the Options such that 100% of the shares subject to the Options will vest and be immediately exercisable.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Termination for Cause; Resignation Without Good Reason; Death or Disability.</w:t>
      </w:r>
    </w:p>
    <w:p>
      <w:pPr>
        <w:spacing w:after="0" w:line="189" w:lineRule="exact"/>
        <w:rPr>
          <w:sz w:val="20"/>
          <w:szCs w:val="20"/>
          <w:color w:val="auto"/>
        </w:rPr>
      </w:pPr>
    </w:p>
    <w:p>
      <w:pPr>
        <w:jc w:val="both"/>
        <w:ind w:firstLine="1945"/>
        <w:spacing w:after="0" w:line="224" w:lineRule="auto"/>
        <w:rPr>
          <w:sz w:val="20"/>
          <w:szCs w:val="20"/>
          <w:color w:val="auto"/>
        </w:rPr>
      </w:pPr>
      <w:r>
        <w:rPr>
          <w:rFonts w:ascii="Arial" w:cs="Arial" w:eastAsia="Arial" w:hAnsi="Arial"/>
          <w:sz w:val="18"/>
          <w:szCs w:val="18"/>
          <w:color w:val="auto"/>
        </w:rPr>
        <w:t>The Company may terminate Executive’s employment with the Company at any time for Cause. Further, Executive may resign at any time without Good Reason. Executive’s employment with the Company may also be terminated due to Executive’s death or disability.</w:t>
      </w:r>
    </w:p>
    <w:p>
      <w:pPr>
        <w:spacing w:after="0" w:line="163" w:lineRule="exact"/>
        <w:rPr>
          <w:sz w:val="20"/>
          <w:szCs w:val="20"/>
          <w:color w:val="auto"/>
        </w:rPr>
      </w:pPr>
    </w:p>
    <w:p>
      <w:pPr>
        <w:jc w:val="both"/>
        <w:ind w:firstLine="1945"/>
        <w:spacing w:after="0" w:line="226" w:lineRule="auto"/>
        <w:rPr>
          <w:sz w:val="20"/>
          <w:szCs w:val="20"/>
          <w:color w:val="auto"/>
        </w:rPr>
      </w:pPr>
      <w:r>
        <w:rPr>
          <w:rFonts w:ascii="Arial" w:cs="Arial" w:eastAsia="Arial" w:hAnsi="Arial"/>
          <w:sz w:val="17"/>
          <w:szCs w:val="17"/>
          <w:color w:val="auto"/>
        </w:rPr>
        <w:t>If Executive resigns without Good Reason, or the Company terminates Executive’s employment for Cause, or upon Executive’s death or disability, then (i) Executive will no longer vest in the Options, (ii) all payments of compensation by the Company to Executive hereunder will terminate immediately (except as to amounts already earned), and (c) Executive will not be entitled to any severance benefits, including (without limitation) the Severance, COBRA Premiums, Special Cash Payments or Accelerated Vesting. In addition, Executive shall resign from all positions and terminate any relationships as an employee, advisor, officer or director with the Company and any of its affiliates, each effective on the date of termination.</w:t>
      </w:r>
    </w:p>
    <w:p>
      <w:pPr>
        <w:spacing w:after="0" w:line="161"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 xml:space="preserve">Conditions to Receipt of Severance Benefits. </w:t>
      </w:r>
      <w:r>
        <w:rPr>
          <w:rFonts w:ascii="Arial" w:cs="Arial" w:eastAsia="Arial" w:hAnsi="Arial"/>
          <w:sz w:val="18"/>
          <w:szCs w:val="18"/>
          <w:color w:val="auto"/>
        </w:rPr>
        <w:t>Executive’s receipt of the severance benefits described in Section 3.2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upon Executive signing and not revoking a separation agreement and release of claims in a form reasonably satisfactory to the Company (the “</w:t>
      </w:r>
      <w:r>
        <w:rPr>
          <w:rFonts w:ascii="Arial" w:cs="Arial" w:eastAsia="Arial" w:hAnsi="Arial"/>
          <w:sz w:val="18"/>
          <w:szCs w:val="18"/>
          <w:b w:val="1"/>
          <w:bCs w:val="1"/>
          <w:color w:val="auto"/>
        </w:rPr>
        <w:t>Separation Agreement</w:t>
      </w:r>
      <w:r>
        <w:rPr>
          <w:rFonts w:ascii="Arial" w:cs="Arial" w:eastAsia="Arial" w:hAnsi="Arial"/>
          <w:sz w:val="18"/>
          <w:szCs w:val="18"/>
          <w:color w:val="auto"/>
        </w:rPr>
        <w:t>”). No severance benefits will be paid or provided until the Separation Agreement becomes effective. Executive shall also resign from all positions and terminate any relationships as an employee, advisor, officer or director with the Company and any of its affiliates, each effective on the date of termination.</w:t>
      </w:r>
    </w:p>
    <w:p>
      <w:pPr>
        <w:spacing w:after="0" w:line="158" w:lineRule="exact"/>
        <w:rPr>
          <w:sz w:val="20"/>
          <w:szCs w:val="20"/>
          <w:color w:val="auto"/>
        </w:rPr>
      </w:pPr>
    </w:p>
    <w:p>
      <w:pPr>
        <w:jc w:val="both"/>
        <w:ind w:firstLine="648"/>
        <w:spacing w:after="0" w:line="188" w:lineRule="exact"/>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It is intended that all of the severance benefits and other payments payable under this Agreement satisfy,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greatest extent possible, the exemptions from the application of Internal Revenue Code Section 409A provided under Treasury Regulations 1.409A</w:t>
      </w:r>
      <w:r>
        <w:rPr>
          <w:rFonts w:ascii="MS PGothic" w:cs="MS PGothic" w:eastAsia="MS PGothic" w:hAnsi="MS PGothic"/>
          <w:sz w:val="18"/>
          <w:szCs w:val="18"/>
          <w:color w:val="auto"/>
        </w:rPr>
        <w:t>‑</w:t>
      </w:r>
      <w:r>
        <w:rPr>
          <w:rFonts w:ascii="Arial" w:cs="Arial" w:eastAsia="Arial" w:hAnsi="Arial"/>
          <w:sz w:val="18"/>
          <w:szCs w:val="18"/>
          <w:color w:val="auto"/>
        </w:rPr>
        <w:t>1(b)(4), 1.409A</w:t>
      </w:r>
      <w:r>
        <w:rPr>
          <w:rFonts w:ascii="MS PGothic" w:cs="MS PGothic" w:eastAsia="MS PGothic" w:hAnsi="MS PGothic"/>
          <w:sz w:val="18"/>
          <w:szCs w:val="18"/>
          <w:color w:val="auto"/>
        </w:rPr>
        <w:t>‑</w:t>
      </w:r>
      <w:r>
        <w:rPr>
          <w:rFonts w:ascii="Arial" w:cs="Arial" w:eastAsia="Arial" w:hAnsi="Arial"/>
          <w:sz w:val="18"/>
          <w:szCs w:val="18"/>
          <w:color w:val="auto"/>
        </w:rPr>
        <w:t>1(b)(5) and 1.409A</w:t>
      </w:r>
      <w:r>
        <w:rPr>
          <w:rFonts w:ascii="MS PGothic" w:cs="MS PGothic" w:eastAsia="MS PGothic" w:hAnsi="MS PGothic"/>
          <w:sz w:val="18"/>
          <w:szCs w:val="18"/>
          <w:color w:val="auto"/>
        </w:rPr>
        <w:t>‑</w:t>
      </w:r>
      <w:r>
        <w:rPr>
          <w:rFonts w:ascii="Arial" w:cs="Arial" w:eastAsia="Arial" w:hAnsi="Arial"/>
          <w:sz w:val="18"/>
          <w:szCs w:val="18"/>
          <w:color w:val="auto"/>
        </w:rPr>
        <w:t>1(b)(9), and this Agreement will be construed to the greatest extent possible as consistent with those provisions, and to the extent no so exempt, this Agreement (and any definitions hereunder) will be construed in a manner that complies with Section 409A.</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58" w:name="page59"/>
    <w:bookmarkEnd w:id="58"/>
    <w:p>
      <w:pPr>
        <w:jc w:val="both"/>
        <w:ind w:left="1"/>
        <w:spacing w:after="0" w:line="177" w:lineRule="exact"/>
        <w:rPr>
          <w:sz w:val="20"/>
          <w:szCs w:val="20"/>
          <w:color w:val="auto"/>
        </w:rPr>
      </w:pPr>
      <w:r>
        <w:rPr>
          <w:rFonts w:ascii="Arial" w:cs="Arial" w:eastAsia="Arial" w:hAnsi="Arial"/>
          <w:sz w:val="16"/>
          <w:szCs w:val="16"/>
          <w:color w:val="auto"/>
        </w:rPr>
        <w:t>For purposes of Code Section 409A (including, without limitation, for purposes of Treasury Regulation Section 1.409A</w:t>
      </w:r>
      <w:r>
        <w:rPr>
          <w:rFonts w:ascii="MS PGothic" w:cs="MS PGothic" w:eastAsia="MS PGothic" w:hAnsi="MS PGothic"/>
          <w:sz w:val="16"/>
          <w:szCs w:val="16"/>
          <w:color w:val="auto"/>
        </w:rPr>
        <w:t>‑</w:t>
      </w:r>
      <w:r>
        <w:rPr>
          <w:rFonts w:ascii="Arial" w:cs="Arial" w:eastAsia="Arial" w:hAnsi="Arial"/>
          <w:sz w:val="16"/>
          <w:szCs w:val="16"/>
          <w:color w:val="auto"/>
        </w:rPr>
        <w:t>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 (i),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w:t>
      </w:r>
    </w:p>
    <w:p>
      <w:pPr>
        <w:spacing w:after="0" w:line="8" w:lineRule="exact"/>
        <w:rPr>
          <w:sz w:val="20"/>
          <w:szCs w:val="20"/>
          <w:color w:val="auto"/>
        </w:rPr>
      </w:pPr>
    </w:p>
    <w:p>
      <w:pPr>
        <w:jc w:val="both"/>
        <w:ind w:left="1"/>
        <w:spacing w:after="0" w:line="268" w:lineRule="auto"/>
        <w:rPr>
          <w:sz w:val="20"/>
          <w:szCs w:val="20"/>
          <w:color w:val="auto"/>
        </w:rPr>
      </w:pPr>
      <w:r>
        <w:rPr>
          <w:rFonts w:ascii="Arial" w:cs="Arial" w:eastAsia="Arial" w:hAnsi="Arial"/>
          <w:sz w:val="16"/>
          <w:szCs w:val="16"/>
          <w:color w:val="auto"/>
        </w:rPr>
        <w:t>(2)(B)(i) period, all payments deferred pursuant to this Paragraph shall be paid in a lump sum to Executive, and any remaining payments due shall be paid as otherwise provided herein or in the applicable agreement. No interest shall be due on any amounts so deferred.</w:t>
      </w:r>
    </w:p>
    <w:p>
      <w:pPr>
        <w:spacing w:after="0" w:line="136"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Definitions.</w:t>
      </w:r>
    </w:p>
    <w:p>
      <w:pPr>
        <w:spacing w:after="0" w:line="185" w:lineRule="exact"/>
        <w:rPr>
          <w:sz w:val="20"/>
          <w:szCs w:val="20"/>
          <w:color w:val="auto"/>
        </w:rPr>
      </w:pPr>
    </w:p>
    <w:p>
      <w:pPr>
        <w:jc w:val="both"/>
        <w:ind w:left="1" w:firstLine="1297"/>
        <w:spacing w:after="0" w:line="242"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For purposes of this Agreement,</w:t>
      </w:r>
      <w:r>
        <w:rPr>
          <w:rFonts w:ascii="Arial" w:cs="Arial" w:eastAsia="Arial" w:hAnsi="Arial"/>
          <w:sz w:val="16"/>
          <w:szCs w:val="16"/>
          <w:b w:val="1"/>
          <w:bCs w:val="1"/>
          <w:color w:val="auto"/>
        </w:rPr>
        <w:t xml:space="preserve"> “Cause” </w:t>
      </w:r>
      <w:r>
        <w:rPr>
          <w:rFonts w:ascii="Arial" w:cs="Arial" w:eastAsia="Arial" w:hAnsi="Arial"/>
          <w:sz w:val="16"/>
          <w:szCs w:val="16"/>
          <w:color w:val="auto"/>
        </w:rPr>
        <w:t>for termination of Executive’s employment will mean: (a)</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of any felony or crime involving fraud, dishonesty or moral turpitude under the laws of the United States or any state thereof;</w:t>
      </w:r>
    </w:p>
    <w:p>
      <w:pPr>
        <w:jc w:val="both"/>
        <w:ind w:left="1" w:hanging="1"/>
        <w:spacing w:after="0" w:line="218" w:lineRule="auto"/>
        <w:tabs>
          <w:tab w:leader="none" w:pos="256"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attempted commission of, or participation in, a fraud or act of dishonesty against the Company; (c) intentional, material violation of any contract or agreement between Executive and the Company or of any statutory duty owed to the Company; (d) unauthorized use or disclosure of the Company’s confidential information or trade secrets; or (e) gross misconduct.</w:t>
      </w:r>
    </w:p>
    <w:p>
      <w:pPr>
        <w:spacing w:after="0" w:line="159" w:lineRule="exact"/>
        <w:rPr>
          <w:sz w:val="20"/>
          <w:szCs w:val="20"/>
          <w:color w:val="auto"/>
        </w:rPr>
      </w:pPr>
    </w:p>
    <w:p>
      <w:pPr>
        <w:jc w:val="both"/>
        <w:ind w:left="1" w:firstLine="1297"/>
        <w:spacing w:after="0" w:line="236" w:lineRule="auto"/>
        <w:rPr>
          <w:sz w:val="20"/>
          <w:szCs w:val="20"/>
          <w:color w:val="auto"/>
        </w:rPr>
      </w:pPr>
      <w:r>
        <w:rPr>
          <w:rFonts w:ascii="Arial" w:cs="Arial" w:eastAsia="Arial" w:hAnsi="Arial"/>
          <w:sz w:val="16"/>
          <w:szCs w:val="16"/>
          <w:b w:val="1"/>
          <w:bCs w:val="1"/>
          <w:color w:val="auto"/>
        </w:rPr>
        <w:t xml:space="preserve">Good Reason. </w:t>
      </w:r>
      <w:r>
        <w:rPr>
          <w:rFonts w:ascii="Arial" w:cs="Arial" w:eastAsia="Arial" w:hAnsi="Arial"/>
          <w:sz w:val="16"/>
          <w:szCs w:val="16"/>
          <w:color w:val="auto"/>
        </w:rPr>
        <w:t>For purposes of this Agreement, Executive shall have “</w:t>
      </w:r>
      <w:r>
        <w:rPr>
          <w:rFonts w:ascii="Arial" w:cs="Arial" w:eastAsia="Arial" w:hAnsi="Arial"/>
          <w:sz w:val="16"/>
          <w:szCs w:val="16"/>
          <w:b w:val="1"/>
          <w:bCs w:val="1"/>
          <w:color w:val="auto"/>
        </w:rPr>
        <w:t>Good Reason</w:t>
      </w:r>
      <w:r>
        <w:rPr>
          <w:rFonts w:ascii="Arial" w:cs="Arial" w:eastAsia="Arial" w:hAnsi="Arial"/>
          <w:sz w:val="16"/>
          <w:szCs w:val="16"/>
          <w:color w:val="auto"/>
        </w:rPr>
        <w:t>” for resignation from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Company if any of the following actions are taken by the Company or a successor corporation or entity without Executive’s prior written consent: (a) a material reduction in Executive’s base salary, which the Parties agree is a reduction of at least 10% of Executive’s Base Salary (unless pursuant to a salary reduction program applicable generally to the Company’s similarly situated employees); or (b) a material reduction in Executive’s duties (including responsibilities and/or authorities), </w:t>
      </w:r>
      <w:r>
        <w:rPr>
          <w:rFonts w:ascii="Arial" w:cs="Arial" w:eastAsia="Arial" w:hAnsi="Arial"/>
          <w:sz w:val="16"/>
          <w:szCs w:val="16"/>
          <w:i w:val="1"/>
          <w:iCs w:val="1"/>
          <w:color w:val="auto"/>
        </w:rPr>
        <w:t>provided, however, that</w:t>
      </w:r>
      <w:r>
        <w:rPr>
          <w:rFonts w:ascii="Arial" w:cs="Arial" w:eastAsia="Arial" w:hAnsi="Arial"/>
          <w:sz w:val="16"/>
          <w:szCs w:val="16"/>
          <w:color w:val="auto"/>
        </w:rPr>
        <w:t xml:space="preserve"> a change in job position (including a change in title) shall not be deemed a “material reduction” in and of itself unless Executive’s new duties are materially reduced from the prior duties.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30 days after the expiration of the cure period.</w:t>
      </w:r>
    </w:p>
    <w:p>
      <w:pPr>
        <w:spacing w:after="0" w:line="163"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18"/>
          <w:szCs w:val="18"/>
          <w:b w:val="1"/>
          <w:bCs w:val="1"/>
          <w:color w:val="auto"/>
        </w:rPr>
        <w:t xml:space="preserve">Proprietary Information Obligations. </w:t>
      </w:r>
      <w:r>
        <w:rPr>
          <w:rFonts w:ascii="Arial" w:cs="Arial" w:eastAsia="Arial" w:hAnsi="Arial"/>
          <w:sz w:val="18"/>
          <w:szCs w:val="18"/>
          <w:color w:val="auto"/>
        </w:rPr>
        <w:t>Executive shall execute an Employee Proprietary Information and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Assignment Agreement.</w:t>
      </w:r>
    </w:p>
    <w:p>
      <w:pPr>
        <w:spacing w:after="0" w:line="158"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Outside Activities During Employment.</w:t>
      </w:r>
    </w:p>
    <w:p>
      <w:pPr>
        <w:spacing w:after="0" w:line="185" w:lineRule="exact"/>
        <w:rPr>
          <w:sz w:val="20"/>
          <w:szCs w:val="20"/>
          <w:color w:val="auto"/>
        </w:rPr>
      </w:pPr>
    </w:p>
    <w:p>
      <w:pPr>
        <w:jc w:val="both"/>
        <w:ind w:left="1" w:firstLine="1297"/>
        <w:spacing w:after="0" w:line="220" w:lineRule="auto"/>
        <w:rPr>
          <w:sz w:val="20"/>
          <w:szCs w:val="20"/>
          <w:color w:val="auto"/>
        </w:rPr>
      </w:pPr>
      <w:r>
        <w:rPr>
          <w:rFonts w:ascii="Arial" w:cs="Arial" w:eastAsia="Arial" w:hAnsi="Arial"/>
          <w:sz w:val="18"/>
          <w:szCs w:val="18"/>
          <w:b w:val="1"/>
          <w:bCs w:val="1"/>
          <w:color w:val="auto"/>
        </w:rPr>
        <w:t xml:space="preserve">Non-Company Business. </w:t>
      </w:r>
      <w:r>
        <w:rPr>
          <w:rFonts w:ascii="Arial" w:cs="Arial" w:eastAsia="Arial" w:hAnsi="Arial"/>
          <w:sz w:val="18"/>
          <w:szCs w:val="18"/>
          <w:color w:val="auto"/>
        </w:rPr>
        <w:t>Except with the prior written consent of the Board, Executive will not during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spacing w:after="0" w:line="159" w:lineRule="exact"/>
        <w:rPr>
          <w:sz w:val="20"/>
          <w:szCs w:val="20"/>
          <w:color w:val="auto"/>
        </w:rPr>
      </w:pPr>
    </w:p>
    <w:p>
      <w:pPr>
        <w:jc w:val="both"/>
        <w:ind w:left="1" w:firstLine="1297"/>
        <w:spacing w:after="0" w:line="263" w:lineRule="auto"/>
        <w:rPr>
          <w:sz w:val="20"/>
          <w:szCs w:val="20"/>
          <w:color w:val="auto"/>
        </w:rPr>
      </w:pPr>
      <w:r>
        <w:rPr>
          <w:rFonts w:ascii="Arial" w:cs="Arial" w:eastAsia="Arial" w:hAnsi="Arial"/>
          <w:sz w:val="17"/>
          <w:szCs w:val="17"/>
          <w:b w:val="1"/>
          <w:bCs w:val="1"/>
          <w:color w:val="auto"/>
        </w:rPr>
        <w:t xml:space="preserve">No Adverse Interests. </w:t>
      </w:r>
      <w:r>
        <w:rPr>
          <w:rFonts w:ascii="Arial" w:cs="Arial" w:eastAsia="Arial" w:hAnsi="Arial"/>
          <w:sz w:val="17"/>
          <w:szCs w:val="17"/>
          <w:color w:val="auto"/>
        </w:rPr>
        <w:t>Executive agrees not to acquire, assume or participate in, directly or indirectly, any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or interest known to be adverse or antagonistic to the Company, its business or prospects, financial or otherwise.</w:t>
      </w:r>
    </w:p>
    <w:p>
      <w:pPr>
        <w:spacing w:after="0" w:line="139" w:lineRule="exact"/>
        <w:rPr>
          <w:sz w:val="20"/>
          <w:szCs w:val="20"/>
          <w:color w:val="auto"/>
        </w:rPr>
      </w:pPr>
    </w:p>
    <w:p>
      <w:pPr>
        <w:jc w:val="both"/>
        <w:ind w:left="1" w:firstLine="648"/>
        <w:spacing w:after="0" w:line="237" w:lineRule="auto"/>
        <w:rPr>
          <w:sz w:val="20"/>
          <w:szCs w:val="20"/>
          <w:color w:val="auto"/>
        </w:rPr>
      </w:pPr>
      <w:r>
        <w:rPr>
          <w:rFonts w:ascii="Arial" w:cs="Arial" w:eastAsia="Arial" w:hAnsi="Arial"/>
          <w:sz w:val="18"/>
          <w:szCs w:val="18"/>
          <w:b w:val="1"/>
          <w:bCs w:val="1"/>
          <w:color w:val="auto"/>
        </w:rPr>
        <w:t xml:space="preserve">Dispute Resolution. </w:t>
      </w:r>
      <w:r>
        <w:rPr>
          <w:rFonts w:ascii="Arial" w:cs="Arial" w:eastAsia="Arial" w:hAnsi="Arial"/>
          <w:sz w:val="18"/>
          <w:szCs w:val="18"/>
          <w:color w:val="auto"/>
        </w:rPr>
        <w:t>To ensure timely and economical resolution of any disputes that may arise in connection with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as a condition of Executive’s employment, Executive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38873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59" w:name="page60"/>
    <w:bookmarkEnd w:id="59"/>
    <w:p>
      <w:pPr>
        <w:jc w:val="both"/>
        <w:spacing w:after="0" w:line="233" w:lineRule="auto"/>
        <w:rPr>
          <w:sz w:val="20"/>
          <w:szCs w:val="20"/>
          <w:color w:val="auto"/>
        </w:rPr>
      </w:pPr>
      <w:r>
        <w:rPr>
          <w:rFonts w:ascii="Arial" w:cs="Arial" w:eastAsia="Arial" w:hAnsi="Arial"/>
          <w:sz w:val="16"/>
          <w:szCs w:val="16"/>
          <w:color w:val="auto"/>
        </w:rPr>
        <w:t>and the Company hereby agree that any and all claims, disputes or controversies of any nature whatsoever arising out of, or relating to, this letter, or its interpretation, enforcement, breach, performance or execution, Executive’s employment with the Company, or the termination of such employment, shall be resolved, to the fullest extent permitted by law, by final, binding and confidential arbitration conducted before a single arbitrator by the American Arbitration Association (“</w:t>
      </w:r>
      <w:r>
        <w:rPr>
          <w:rFonts w:ascii="Arial" w:cs="Arial" w:eastAsia="Arial" w:hAnsi="Arial"/>
          <w:sz w:val="16"/>
          <w:szCs w:val="16"/>
          <w:b w:val="1"/>
          <w:bCs w:val="1"/>
          <w:color w:val="auto"/>
        </w:rPr>
        <w:t>AAA</w:t>
      </w:r>
      <w:r>
        <w:rPr>
          <w:rFonts w:ascii="Arial" w:cs="Arial" w:eastAsia="Arial" w:hAnsi="Arial"/>
          <w:sz w:val="16"/>
          <w:szCs w:val="16"/>
          <w:color w:val="auto"/>
        </w:rPr>
        <w:t xml:space="preserve">”) under the then-applicable AAA employment arbitration rules (which can be found at http://www.adr.org/). The arbitration shall take place in Austin, Texas;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arbitrator determines there will be an undue hardship to Executive to have the arbitration in such location, the arbitrator will choose an alternative appropriate location. </w:t>
      </w:r>
      <w:r>
        <w:rPr>
          <w:rFonts w:ascii="Arial" w:cs="Arial" w:eastAsia="Arial" w:hAnsi="Arial"/>
          <w:sz w:val="16"/>
          <w:szCs w:val="16"/>
          <w:b w:val="1"/>
          <w:bCs w:val="1"/>
          <w:color w:val="auto"/>
        </w:rPr>
        <w:t>Executive and the Company each acknowledge that by agreeing to this arbitration procedure, both Executive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and the Company waive the right to resolve any such dispute, claim or demand through a trial by jury or judge or by administrative proceeding. </w:t>
      </w:r>
      <w:r>
        <w:rPr>
          <w:rFonts w:ascii="Arial" w:cs="Arial" w:eastAsia="Arial" w:hAnsi="Arial"/>
          <w:sz w:val="16"/>
          <w:szCs w:val="16"/>
          <w:color w:val="auto"/>
        </w:rPr>
        <w:t>Executive will have the right to be represented by legal counsel at Executive’s expense at any arbitration</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The arbitrator shall: (i) have the authority to compel adequate discovery for the resolution of the dispute and to award such relief as would otherwise be available under applicable law in a court proceeding; and (ii) issue a written statement signed by the arbitrator regarding the disposition of each claim and the relief, if any, awarded as to each claim, the reasons for the award, and the arbitrator’s essential findings and conclusions on which the award is based. The arbitrator, and not a court, shall also be authorized to determine whether the provisions of this paragraph apply to a dispute, controversy, or claim sought to be resolved in accordance with these arbitration procedures. The Company shall pay all costs and fees in excess of the amount of court fees that Executive would be required to incur if the dispute were filed or decided in a court of law. Nothing in this Agreement is intended to prevent either Executive or the Company from obtaining injunctive relief in court to prevent irreparable harm pending the conclusion of any arbitration.</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General Provisions.</w:t>
      </w:r>
    </w:p>
    <w:p>
      <w:pPr>
        <w:spacing w:after="0" w:line="185" w:lineRule="exact"/>
        <w:rPr>
          <w:sz w:val="20"/>
          <w:szCs w:val="20"/>
          <w:color w:val="auto"/>
        </w:rPr>
      </w:pPr>
    </w:p>
    <w:p>
      <w:pPr>
        <w:jc w:val="both"/>
        <w:ind w:firstLine="1297"/>
        <w:spacing w:after="0" w:line="226" w:lineRule="auto"/>
        <w:rPr>
          <w:sz w:val="20"/>
          <w:szCs w:val="20"/>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notices provided must be in writing and will be deemed effective upon the earlier of personal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personal delivery by fax) or the next day after sending by overnight carrier, to the Company at its primary office location and to Executive at the address as listed on the Company payroll.</w:t>
      </w:r>
    </w:p>
    <w:p>
      <w:pPr>
        <w:spacing w:after="0" w:line="158" w:lineRule="exact"/>
        <w:rPr>
          <w:sz w:val="20"/>
          <w:szCs w:val="20"/>
          <w:color w:val="auto"/>
        </w:rPr>
      </w:pPr>
    </w:p>
    <w:p>
      <w:pPr>
        <w:jc w:val="both"/>
        <w:ind w:firstLine="1297"/>
        <w:spacing w:after="0" w:line="217" w:lineRule="auto"/>
        <w:rPr>
          <w:sz w:val="20"/>
          <w:szCs w:val="20"/>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Whenever possible, each provision of this Agreement will be interpreted in such manner as to be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spacing w:after="0" w:line="158"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7"/>
          <w:szCs w:val="17"/>
          <w:b w:val="1"/>
          <w:bCs w:val="1"/>
          <w:color w:val="auto"/>
        </w:rPr>
        <w:t xml:space="preserve">Waiver. </w:t>
      </w:r>
      <w:r>
        <w:rPr>
          <w:rFonts w:ascii="Arial" w:cs="Arial" w:eastAsia="Arial" w:hAnsi="Arial"/>
          <w:sz w:val="17"/>
          <w:szCs w:val="17"/>
          <w:color w:val="auto"/>
        </w:rPr>
        <w:t>Any waiver of any breach of any provisions of this Agreement must be in writing to be effective, and it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be deemed to have waived any preceding or succeeding breach of the same or any other provision of this Agreement.</w:t>
      </w:r>
    </w:p>
    <w:p>
      <w:pPr>
        <w:spacing w:after="0" w:line="139" w:lineRule="exact"/>
        <w:rPr>
          <w:sz w:val="20"/>
          <w:szCs w:val="20"/>
          <w:color w:val="auto"/>
        </w:rPr>
      </w:pPr>
    </w:p>
    <w:p>
      <w:pPr>
        <w:jc w:val="both"/>
        <w:ind w:firstLine="1297"/>
        <w:spacing w:after="0" w:line="227" w:lineRule="auto"/>
        <w:rPr>
          <w:sz w:val="20"/>
          <w:szCs w:val="20"/>
          <w:color w:val="auto"/>
        </w:rPr>
      </w:pPr>
      <w:r>
        <w:rPr>
          <w:rFonts w:ascii="Arial" w:cs="Arial" w:eastAsia="Arial" w:hAnsi="Arial"/>
          <w:sz w:val="17"/>
          <w:szCs w:val="17"/>
          <w:b w:val="1"/>
          <w:bCs w:val="1"/>
          <w:color w:val="auto"/>
        </w:rPr>
        <w:t xml:space="preserve">Complete Agreement. </w:t>
      </w:r>
      <w:r>
        <w:rPr>
          <w:rFonts w:ascii="Arial" w:cs="Arial" w:eastAsia="Arial" w:hAnsi="Arial"/>
          <w:sz w:val="17"/>
          <w:szCs w:val="17"/>
          <w:color w:val="auto"/>
        </w:rPr>
        <w:t>This Agreement constitutes the entire agreement between Executive and the Company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including (without limitation) the Offer Letter. It is entered into without reliance on any promise or representation other than those expressly contained herein, and it cannot be modified or amended except in a writing signed by a duly authorized officer of the Company.</w:t>
      </w:r>
    </w:p>
    <w:p>
      <w:pPr>
        <w:spacing w:after="0" w:line="160"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separate counterparts, any one of which need not contain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of more than one party, but all of which taken together will constitute one and the same Agreement.</w:t>
      </w:r>
    </w:p>
    <w:p>
      <w:pPr>
        <w:spacing w:after="0" w:line="158"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8"/>
          <w:szCs w:val="18"/>
          <w:b w:val="1"/>
          <w:bCs w:val="1"/>
          <w:color w:val="auto"/>
        </w:rPr>
        <w:t xml:space="preserve">Headings. </w:t>
      </w:r>
      <w:r>
        <w:rPr>
          <w:rFonts w:ascii="Arial" w:cs="Arial" w:eastAsia="Arial" w:hAnsi="Arial"/>
          <w:sz w:val="18"/>
          <w:szCs w:val="18"/>
          <w:color w:val="auto"/>
        </w:rPr>
        <w:t>The headings of the paragraphs hereof are inserted for convenience only and shall not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 hereof nor to affect the meaning thereof.</w:t>
      </w:r>
    </w:p>
    <w:p>
      <w:pPr>
        <w:spacing w:after="0" w:line="158" w:lineRule="exact"/>
        <w:rPr>
          <w:sz w:val="20"/>
          <w:szCs w:val="20"/>
          <w:color w:val="auto"/>
        </w:rPr>
      </w:pPr>
    </w:p>
    <w:p>
      <w:pPr>
        <w:jc w:val="both"/>
        <w:ind w:firstLine="1297"/>
        <w:spacing w:after="0" w:line="220" w:lineRule="auto"/>
        <w:rPr>
          <w:sz w:val="20"/>
          <w:szCs w:val="20"/>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This Agreement is intended to bind and inure to the benefit of and be enforceable by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and their respective successors, assigns, heirs, executors and administrators, except that Executive may not assign any of her duties hereunder and she may not assign any of her rights hereunder without the written consent of the Company, which shall not be withheld unreasonably.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60" w:name="page61"/>
    <w:bookmarkEnd w:id="60"/>
    <w:p>
      <w:pPr>
        <w:jc w:val="both"/>
        <w:ind w:firstLine="1297"/>
        <w:spacing w:after="0" w:line="214" w:lineRule="auto"/>
        <w:rPr>
          <w:sz w:val="20"/>
          <w:szCs w:val="20"/>
          <w:color w:val="auto"/>
        </w:rPr>
      </w:pPr>
      <w:r>
        <w:rPr>
          <w:rFonts w:ascii="Arial" w:cs="Arial" w:eastAsia="Arial" w:hAnsi="Arial"/>
          <w:sz w:val="18"/>
          <w:szCs w:val="18"/>
          <w:b w:val="1"/>
          <w:bCs w:val="1"/>
          <w:color w:val="auto"/>
        </w:rPr>
        <w:t xml:space="preserve">Tax Withholding and Indemnification. </w:t>
      </w:r>
      <w:r>
        <w:rPr>
          <w:rFonts w:ascii="Arial" w:cs="Arial" w:eastAsia="Arial" w:hAnsi="Arial"/>
          <w:sz w:val="18"/>
          <w:szCs w:val="18"/>
          <w:color w:val="auto"/>
        </w:rPr>
        <w:t>All payments and awards contemplated or made pursuant 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spacing w:after="0" w:line="162"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All questions concerning the construction, validity and interpretation of 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Texas.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day and year first written above.</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EVERSPIN TECHNOLOGIES, INC.</w:t>
      </w:r>
    </w:p>
    <w:p>
      <w:pPr>
        <w:spacing w:after="0" w:line="32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-635</wp:posOffset>
            </wp:positionV>
            <wp:extent cx="29673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5720"/>
        <w:spacing w:after="0" w:line="203" w:lineRule="auto"/>
        <w:rPr>
          <w:sz w:val="20"/>
          <w:szCs w:val="20"/>
          <w:color w:val="auto"/>
        </w:rPr>
      </w:pPr>
      <w:r>
        <w:rPr>
          <w:rFonts w:ascii="Arial" w:cs="Arial" w:eastAsia="Arial" w:hAnsi="Arial"/>
          <w:sz w:val="18"/>
          <w:szCs w:val="18"/>
          <w:b w:val="1"/>
          <w:bCs w:val="1"/>
          <w:color w:val="auto"/>
        </w:rPr>
        <w:t>Phillip LoPresti</w:t>
      </w:r>
    </w:p>
    <w:p>
      <w:pPr>
        <w:ind w:left="57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30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EXECUTIVE</w:t>
      </w:r>
    </w:p>
    <w:p>
      <w:pPr>
        <w:spacing w:after="0" w:line="14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 Annie Flaig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-635</wp:posOffset>
            </wp:positionV>
            <wp:extent cx="31470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8"/>
          <w:szCs w:val="18"/>
          <w:b w:val="1"/>
          <w:bCs w:val="1"/>
          <w:color w:val="auto"/>
        </w:rPr>
        <w:t>Annie Flaig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10.3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Scott Sewell</w:t>
      </w:r>
    </w:p>
    <w:p>
      <w:pPr>
        <w:spacing w:after="0"/>
        <w:rPr>
          <w:sz w:val="20"/>
          <w:szCs w:val="20"/>
          <w:color w:val="auto"/>
        </w:rPr>
      </w:pPr>
      <w:r>
        <w:rPr>
          <w:rFonts w:ascii="Arial" w:cs="Arial" w:eastAsia="Arial" w:hAnsi="Arial"/>
          <w:sz w:val="18"/>
          <w:szCs w:val="18"/>
          <w:color w:val="auto"/>
        </w:rPr>
        <w:t>Everspin Technologies,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Email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letter sets forth the substance of the transition and separation agreement (the “Agreement”) that Everspin Technologies, Inc. (the “Company”) is offering to you.</w:t>
      </w:r>
    </w:p>
    <w:p>
      <w:pPr>
        <w:spacing w:after="0" w:line="117"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SEPARATION DATE</w:t>
      </w:r>
      <w:r>
        <w:rPr>
          <w:rFonts w:ascii="Arial" w:cs="Arial" w:eastAsia="Arial" w:hAnsi="Arial"/>
          <w:sz w:val="18"/>
          <w:szCs w:val="18"/>
          <w:color w:val="auto"/>
        </w:rPr>
        <w:t>. Your employment termination date will be April 30, 2017 or such earlier date if your employment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earlier by either you or the Company pursuant to Section 2(c) below. Your last day of employment, whenever it occurs, shall be the “Separation Date.”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TRANSITION PERIOD.</w:t>
      </w:r>
    </w:p>
    <w:p>
      <w:pPr>
        <w:spacing w:after="0" w:line="158" w:lineRule="exact"/>
        <w:rPr>
          <w:sz w:val="20"/>
          <w:szCs w:val="20"/>
          <w:color w:val="auto"/>
        </w:rPr>
      </w:pPr>
    </w:p>
    <w:p>
      <w:pPr>
        <w:jc w:val="both"/>
        <w:ind w:firstLine="1297"/>
        <w:spacing w:after="0" w:line="217" w:lineRule="auto"/>
        <w:rPr>
          <w:sz w:val="20"/>
          <w:szCs w:val="20"/>
          <w:color w:val="auto"/>
        </w:rPr>
      </w:pPr>
      <w:r>
        <w:rPr>
          <w:rFonts w:ascii="Arial" w:cs="Arial" w:eastAsia="Arial" w:hAnsi="Arial"/>
          <w:sz w:val="18"/>
          <w:szCs w:val="18"/>
          <w:b w:val="1"/>
          <w:bCs w:val="1"/>
          <w:color w:val="auto"/>
        </w:rPr>
        <w:t xml:space="preserve">Duties. </w:t>
      </w:r>
      <w:r>
        <w:rPr>
          <w:rFonts w:ascii="Arial" w:cs="Arial" w:eastAsia="Arial" w:hAnsi="Arial"/>
          <w:sz w:val="18"/>
          <w:szCs w:val="18"/>
          <w:color w:val="auto"/>
        </w:rPr>
        <w:t>Between now and the Separation Date (the “Transition Period”), you will remain in your current role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perform your regular duties, provided that you shall only be required to work approximately 80% of your regular full-time schedule. During the Transition Period, you must continue to comply with all of the Company’s policies and procedures and with all of your statutory and contractual obligations to the Company (including, without limitation, your obligations under your Employee Proprietary Information and Inventions Assignment Agreement).</w:t>
      </w:r>
    </w:p>
    <w:p>
      <w:pPr>
        <w:spacing w:after="0" w:line="118" w:lineRule="exact"/>
        <w:rPr>
          <w:sz w:val="20"/>
          <w:szCs w:val="20"/>
          <w:color w:val="auto"/>
        </w:rPr>
      </w:pPr>
    </w:p>
    <w:p>
      <w:pPr>
        <w:jc w:val="both"/>
        <w:ind w:firstLine="1297"/>
        <w:spacing w:after="0" w:line="220" w:lineRule="auto"/>
        <w:rPr>
          <w:sz w:val="20"/>
          <w:szCs w:val="20"/>
          <w:color w:val="auto"/>
        </w:rPr>
      </w:pPr>
      <w:r>
        <w:rPr>
          <w:rFonts w:ascii="Arial" w:cs="Arial" w:eastAsia="Arial" w:hAnsi="Arial"/>
          <w:sz w:val="18"/>
          <w:szCs w:val="18"/>
          <w:b w:val="1"/>
          <w:bCs w:val="1"/>
          <w:color w:val="auto"/>
        </w:rPr>
        <w:t xml:space="preserve">Compensation/Benefits. </w:t>
      </w:r>
      <w:r>
        <w:rPr>
          <w:rFonts w:ascii="Arial" w:cs="Arial" w:eastAsia="Arial" w:hAnsi="Arial"/>
          <w:sz w:val="18"/>
          <w:szCs w:val="18"/>
          <w:color w:val="auto"/>
        </w:rPr>
        <w:t>During the Transition Period, your base salary will remain the same, and you will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for the Company’s standard benefits, subject to the terms and conditions applicable to such plans and programs. Your Company stock options will continue to vest under the existing terms and conditions set forth in the governing plan documents and option agreement.</w:t>
      </w:r>
    </w:p>
    <w:p>
      <w:pPr>
        <w:spacing w:after="0" w:line="119"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16"/>
          <w:szCs w:val="16"/>
          <w:b w:val="1"/>
          <w:bCs w:val="1"/>
          <w:color w:val="auto"/>
        </w:rPr>
        <w:t xml:space="preserve">Termination. </w:t>
      </w:r>
      <w:r>
        <w:rPr>
          <w:rFonts w:ascii="Arial" w:cs="Arial" w:eastAsia="Arial" w:hAnsi="Arial"/>
          <w:sz w:val="16"/>
          <w:szCs w:val="16"/>
          <w:color w:val="auto"/>
        </w:rPr>
        <w:t>During the Transition Period, you are entitled to resign your employment for any reason. Additionally,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Transition Period, the Company is entitled to terminate your employment with or without Cause (as defined in your Executive Employment Agreement). If the Company terminates your employment with Cause during the Transition Period, or your employment ends due to your death or disability, or you resign for any reason, your employment will end immediately and you will not receive any further compensation or benefits from the Company (including the severance benefits set forth in Section 3 below), except for any unpaid salary and vacation accrued through your last day of employment. If the Company terminates your employment without Cause during the Transition Period, you will be paid for any unpaid salary and vacation accrued through your last day of employment, and you will remain eligible for the severance benefits set forth in Section 3 below, subject to the terms and conditions set forth therein.</w:t>
      </w:r>
    </w:p>
    <w:p>
      <w:pPr>
        <w:spacing w:after="0" w:line="13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SEPARATION BENEFITS. </w:t>
      </w:r>
      <w:r>
        <w:rPr>
          <w:rFonts w:ascii="Arial" w:cs="Arial" w:eastAsia="Arial" w:hAnsi="Arial"/>
          <w:sz w:val="18"/>
          <w:szCs w:val="18"/>
          <w:color w:val="auto"/>
        </w:rPr>
        <w:t>Subject to the terms and conditions set forth in Section 2, if you sign the Separation Date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attached hereto as </w:t>
      </w:r>
      <w:r>
        <w:rPr>
          <w:rFonts w:ascii="Arial" w:cs="Arial" w:eastAsia="Arial" w:hAnsi="Arial"/>
          <w:sz w:val="18"/>
          <w:szCs w:val="18"/>
          <w:b w:val="1"/>
          <w:bCs w:val="1"/>
          <w:i w:val="1"/>
          <w:iCs w:val="1"/>
          <w:color w:val="auto"/>
        </w:rPr>
        <w:t>Exhibit A</w:t>
      </w:r>
      <w:r>
        <w:rPr>
          <w:rFonts w:ascii="Arial" w:cs="Arial" w:eastAsia="Arial" w:hAnsi="Arial"/>
          <w:sz w:val="18"/>
          <w:szCs w:val="18"/>
          <w:color w:val="auto"/>
        </w:rPr>
        <w:t xml:space="preserve"> on the Separation Date, and allow that release to become effective, then the Company will provide you with the severance benefits set forth in Section 3.2(ii)(a)-(c) of your Executive Employment Agreement dated April 25, 2016, which consist of the following:</w:t>
      </w:r>
    </w:p>
    <w:p>
      <w:pPr>
        <w:spacing w:after="0" w:line="123" w:lineRule="exact"/>
        <w:rPr>
          <w:sz w:val="20"/>
          <w:szCs w:val="20"/>
          <w:color w:val="auto"/>
        </w:rPr>
      </w:pPr>
    </w:p>
    <w:p>
      <w:pPr>
        <w:jc w:val="both"/>
        <w:ind w:firstLine="1297"/>
        <w:spacing w:after="0" w:line="224" w:lineRule="auto"/>
        <w:rPr>
          <w:sz w:val="20"/>
          <w:szCs w:val="20"/>
          <w:color w:val="auto"/>
        </w:rPr>
      </w:pPr>
      <w:r>
        <w:rPr>
          <w:rFonts w:ascii="Arial" w:cs="Arial" w:eastAsia="Arial" w:hAnsi="Arial"/>
          <w:sz w:val="18"/>
          <w:szCs w:val="18"/>
          <w:color w:val="auto"/>
        </w:rPr>
        <w:t xml:space="preserve">The Company will pay you severance in the form of continuation of your base salary for six (6) months after the Separation Date, payable on the Company’s regular payroll schedule, subject to standard deductions and withholdings;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that </w:t>
      </w:r>
      <w:r>
        <w:rPr>
          <w:rFonts w:ascii="Arial" w:cs="Arial" w:eastAsia="Arial" w:hAnsi="Arial"/>
          <w:sz w:val="18"/>
          <w:szCs w:val="18"/>
          <w:color w:val="auto"/>
        </w:rPr>
        <w:t>no payments will be made prior the Separation Date Release becoming effective.</w:t>
      </w:r>
    </w:p>
    <w:p>
      <w:pPr>
        <w:spacing w:after="0" w:line="123" w:lineRule="exact"/>
        <w:rPr>
          <w:sz w:val="20"/>
          <w:szCs w:val="20"/>
          <w:color w:val="auto"/>
        </w:rPr>
      </w:pPr>
    </w:p>
    <w:p>
      <w:pPr>
        <w:jc w:val="both"/>
        <w:ind w:firstLine="1297"/>
        <w:spacing w:after="0" w:line="219" w:lineRule="auto"/>
        <w:rPr>
          <w:sz w:val="20"/>
          <w:szCs w:val="20"/>
          <w:color w:val="auto"/>
        </w:rPr>
      </w:pPr>
      <w:r>
        <w:rPr>
          <w:rFonts w:ascii="Arial" w:cs="Arial" w:eastAsia="Arial" w:hAnsi="Arial"/>
          <w:sz w:val="18"/>
          <w:szCs w:val="18"/>
          <w:color w:val="auto"/>
        </w:rPr>
        <w:t>Provided that you timely elect continued coverage under COBRA, the Company will pay the COBRA premiums to continue your coverage (including coverage for eligible dependents, if applicable) through the earliest to occur of: (i) six (6) months following the Separation Date; (ii) the date you become eligible for group health insurance coverage through a new employer; or (iii) the date you cease to be eligible for COBRA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62" w:name="page63"/>
    <w:bookmarkEnd w:id="62"/>
    <w:p>
      <w:pPr>
        <w:jc w:val="both"/>
        <w:spacing w:after="0" w:line="226" w:lineRule="auto"/>
        <w:rPr>
          <w:sz w:val="20"/>
          <w:szCs w:val="20"/>
          <w:color w:val="auto"/>
        </w:rPr>
      </w:pPr>
      <w:r>
        <w:rPr>
          <w:rFonts w:ascii="Arial" w:cs="Arial" w:eastAsia="Arial" w:hAnsi="Arial"/>
          <w:sz w:val="17"/>
          <w:szCs w:val="17"/>
          <w:color w:val="auto"/>
        </w:rPr>
        <w:t>coverage for any reason, including plan termination. If you become covered under another employer’s group health plan or otherwise cease to be eligible for COBRA during this period of time, you must immediately notify the Company of such event. Notwithstanding the foregoing, if the Company determines, in its sole discretion, that it cannot pay your COBRA premiums without a substantial risk of violating applicable law, the Company instead shall pay you, on the first day of each calendar month remaining in the payment period, a fully taxable cash payment equal to the applicable COBRA premiums for that month, subject to applicable tax withholdings, which you may, but are not obligated to, use toward the cost of your COBRA premiums.</w:t>
      </w:r>
    </w:p>
    <w:p>
      <w:pPr>
        <w:spacing w:after="0" w:line="1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The vesting of your options will be accelerated such that the shares subject to your options that would have vested in the six (6) month period following the Separation Date shall be deemed immediately vested and exercisable as of the Separation Date.</w:t>
      </w:r>
    </w:p>
    <w:p>
      <w:pPr>
        <w:spacing w:after="0" w:line="9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b w:val="1"/>
          <w:bCs w:val="1"/>
          <w:color w:val="auto"/>
        </w:rPr>
        <w:t xml:space="preserve">OTHER COMPENSATION OR BENEFITS. </w:t>
      </w:r>
      <w:r>
        <w:rPr>
          <w:rFonts w:ascii="Arial" w:cs="Arial" w:eastAsia="Arial" w:hAnsi="Arial"/>
          <w:sz w:val="18"/>
          <w:szCs w:val="18"/>
          <w:color w:val="auto"/>
        </w:rPr>
        <w:t>You acknowledge that, except as expressly provided in this Agreement,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receive any additional compensation, severance, or benefits after the Separation Date.</w:t>
      </w:r>
    </w:p>
    <w:p>
      <w:pPr>
        <w:spacing w:after="0" w:line="11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7"/>
          <w:szCs w:val="17"/>
          <w:b w:val="1"/>
          <w:bCs w:val="1"/>
          <w:color w:val="auto"/>
        </w:rPr>
        <w:t xml:space="preserve">EXPENSE REIMBURSEMENTS. </w:t>
      </w:r>
      <w:r>
        <w:rPr>
          <w:rFonts w:ascii="Arial" w:cs="Arial" w:eastAsia="Arial" w:hAnsi="Arial"/>
          <w:sz w:val="17"/>
          <w:szCs w:val="17"/>
          <w:color w:val="auto"/>
        </w:rPr>
        <w:t>You agree that, within ten (10) days after the Separation Date, you will submit your final</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1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By the Separation Date, you agree to return to the Company all Company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all copies thereof) and other Company property within your possession, custody or control, including, but not limited to, Company files, notes, drawings, records, business plans and forecasts, financial information, specifications, computer-recorded information, tangible property (including, but not limited to), credit cards, entry cards, identification badges, and keys; and, any materials of any kind that contain or embody any proprietary or confidential information of the Company (and all reproductions thereof). Your timely return of all such Company documents and other property is a condition precedent to your receipt of the benefits provided under this Agreement.</w:t>
      </w:r>
    </w:p>
    <w:p>
      <w:pPr>
        <w:spacing w:after="0" w:line="1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7"/>
          <w:szCs w:val="17"/>
          <w:b w:val="1"/>
          <w:bCs w:val="1"/>
          <w:color w:val="auto"/>
        </w:rPr>
        <w:t>PROPRIETARY INFORMATION OBLIGATIONS</w:t>
      </w:r>
      <w:r>
        <w:rPr>
          <w:rFonts w:ascii="Arial" w:cs="Arial" w:eastAsia="Arial" w:hAnsi="Arial"/>
          <w:sz w:val="17"/>
          <w:szCs w:val="17"/>
          <w:color w:val="auto"/>
        </w:rPr>
        <w:t>. You acknowledge and agree to abide by your continuing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your Employee Proprietary Information and Inventions Assignment Agreement, a copy of which is attached hereto as </w:t>
      </w:r>
      <w:r>
        <w:rPr>
          <w:rFonts w:ascii="Arial" w:cs="Arial" w:eastAsia="Arial" w:hAnsi="Arial"/>
          <w:sz w:val="17"/>
          <w:szCs w:val="17"/>
          <w:b w:val="1"/>
          <w:bCs w:val="1"/>
          <w:i w:val="1"/>
          <w:iCs w:val="1"/>
          <w:color w:val="auto"/>
        </w:rPr>
        <w:t>Exhibit B</w:t>
      </w:r>
      <w:r>
        <w:rPr>
          <w:rFonts w:ascii="Arial" w:cs="Arial" w:eastAsia="Arial" w:hAnsi="Arial"/>
          <w:sz w:val="17"/>
          <w:szCs w:val="17"/>
          <w:color w:val="auto"/>
        </w:rPr>
        <w:t>.</w:t>
      </w:r>
    </w:p>
    <w:p>
      <w:pPr>
        <w:spacing w:after="0" w:line="98"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b w:val="1"/>
          <w:bCs w:val="1"/>
          <w:color w:val="auto"/>
        </w:rPr>
        <w:t>CONFIDENTIALITY</w:t>
      </w:r>
      <w:r>
        <w:rPr>
          <w:rFonts w:ascii="Arial" w:cs="Arial" w:eastAsia="Arial" w:hAnsi="Arial"/>
          <w:sz w:val="17"/>
          <w:szCs w:val="17"/>
          <w:color w:val="auto"/>
        </w:rPr>
        <w:t>. The provisions of this Agreement will be held in strictest confidence by you and the Company and will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be publicized or disclosed in any manner 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2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You agree not to disparage the Company, its officers, directors, employees, shareholders, and agents,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any manner likely to be harmful to its or their business, business reputation or personal reputation; provided that you will respond accurately and fully to any question, inquiry or request for information when required by legal process.</w:t>
      </w:r>
    </w:p>
    <w:p>
      <w:pPr>
        <w:spacing w:after="0" w:line="131"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b w:val="1"/>
          <w:bCs w:val="1"/>
          <w:color w:val="auto"/>
        </w:rPr>
        <w:t xml:space="preserve">NO ADMISSIONS. </w:t>
      </w:r>
      <w:r>
        <w:rPr>
          <w:rFonts w:ascii="Arial" w:cs="Arial" w:eastAsia="Arial" w:hAnsi="Arial"/>
          <w:sz w:val="18"/>
          <w:szCs w:val="18"/>
          <w:color w:val="auto"/>
        </w:rPr>
        <w:t>You understand and agree that the promises and payments in consideration of this Agreement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be an admission of any liability or obligation by the Company to you or to any other person, and that the Company makes no such admission.</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RELEASE OF CLAIMS.</w:t>
      </w:r>
    </w:p>
    <w:p>
      <w:pPr>
        <w:spacing w:after="0" w:line="144" w:lineRule="exact"/>
        <w:rPr>
          <w:sz w:val="20"/>
          <w:szCs w:val="20"/>
          <w:color w:val="auto"/>
        </w:rPr>
      </w:pPr>
    </w:p>
    <w:p>
      <w:pPr>
        <w:jc w:val="both"/>
        <w:ind w:firstLine="1297"/>
        <w:spacing w:after="0" w:line="226" w:lineRule="auto"/>
        <w:rPr>
          <w:sz w:val="20"/>
          <w:szCs w:val="20"/>
          <w:color w:val="auto"/>
        </w:rPr>
      </w:pPr>
      <w:r>
        <w:rPr>
          <w:rFonts w:ascii="Arial" w:cs="Arial" w:eastAsia="Arial" w:hAnsi="Arial"/>
          <w:sz w:val="18"/>
          <w:szCs w:val="18"/>
          <w:b w:val="1"/>
          <w:bCs w:val="1"/>
          <w:color w:val="auto"/>
        </w:rPr>
        <w:t>General Release</w:t>
      </w:r>
      <w:r>
        <w:rPr>
          <w:rFonts w:ascii="Arial" w:cs="Arial" w:eastAsia="Arial" w:hAnsi="Arial"/>
          <w:sz w:val="18"/>
          <w:szCs w:val="18"/>
          <w:color w:val="auto"/>
        </w:rPr>
        <w:t>. In exchange for the consideration under this Agreement to which you would not otherwise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generally and completely release the Company and its directors, officers, employees, shareholders, partners, agents, attorneys, predecessors, successors, parent or subsidiary entities, insurers,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63" w:name="page64"/>
    <w:bookmarkEnd w:id="63"/>
    <w:p>
      <w:pPr>
        <w:jc w:val="both"/>
        <w:spacing w:after="0" w:line="235" w:lineRule="auto"/>
        <w:rPr>
          <w:sz w:val="20"/>
          <w:szCs w:val="20"/>
          <w:color w:val="auto"/>
        </w:rPr>
      </w:pPr>
      <w:r>
        <w:rPr>
          <w:rFonts w:ascii="Arial" w:cs="Arial" w:eastAsia="Arial" w:hAnsi="Arial"/>
          <w:sz w:val="18"/>
          <w:szCs w:val="18"/>
          <w:color w:val="auto"/>
        </w:rPr>
        <w:t>assigns from any and all claims, liabilities and obligations, both known and unknown, that arise out of or are in any way related to events, acts, conduct, or omissions prior to or on the date you sign this Agreement.</w:t>
      </w:r>
    </w:p>
    <w:p>
      <w:pPr>
        <w:spacing w:after="0" w:line="117"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16"/>
          <w:szCs w:val="16"/>
          <w:b w:val="1"/>
          <w:bCs w:val="1"/>
          <w:color w:val="auto"/>
        </w:rPr>
        <w:t>Scope of Release</w:t>
      </w:r>
      <w:r>
        <w:rPr>
          <w:rFonts w:ascii="Arial" w:cs="Arial" w:eastAsia="Arial" w:hAnsi="Arial"/>
          <w:sz w:val="16"/>
          <w:szCs w:val="16"/>
          <w:color w:val="auto"/>
        </w:rPr>
        <w:t>. This general release includes, but is not limited to: (i) all claims arising out of or in any way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interests in the Company; (iii) all claims for breach of contract, wrongful termination or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(the “ADEA”) (as amended), or the Texas Human Rights Act.</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Excluded Claims. </w:t>
      </w:r>
      <w:r>
        <w:rPr>
          <w:rFonts w:ascii="Arial" w:cs="Arial" w:eastAsia="Arial" w:hAnsi="Arial"/>
          <w:sz w:val="16"/>
          <w:szCs w:val="16"/>
          <w:color w:val="auto"/>
        </w:rPr>
        <w:t>Notwithstanding the foregoing, you are not hereby releasing the Company from any of the following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claims: (i) any rights or claims for indemnification you may have pursuant to any written indemnification agreement with the Company to</w:t>
      </w:r>
    </w:p>
    <w:p>
      <w:pPr>
        <w:spacing w:after="0" w:line="229" w:lineRule="auto"/>
        <w:rPr>
          <w:sz w:val="20"/>
          <w:szCs w:val="20"/>
          <w:color w:val="auto"/>
        </w:rPr>
      </w:pPr>
      <w:r>
        <w:rPr>
          <w:rFonts w:ascii="Arial" w:cs="Arial" w:eastAsia="Arial" w:hAnsi="Arial"/>
          <w:sz w:val="16"/>
          <w:szCs w:val="16"/>
          <w:color w:val="auto"/>
        </w:rPr>
        <w:t>which you are a party, the charter, bylaws, or operating agreements of the Company, or under applicable law; (ii) any rights that cannot be</w:t>
      </w:r>
    </w:p>
    <w:p>
      <w:pPr>
        <w:spacing w:after="0"/>
        <w:rPr>
          <w:sz w:val="20"/>
          <w:szCs w:val="20"/>
          <w:color w:val="auto"/>
        </w:rPr>
      </w:pPr>
      <w:r>
        <w:rPr>
          <w:rFonts w:ascii="Arial" w:cs="Arial" w:eastAsia="Arial" w:hAnsi="Arial"/>
          <w:sz w:val="18"/>
          <w:szCs w:val="18"/>
          <w:color w:val="auto"/>
        </w:rPr>
        <w:t>waived as a matter of law; or (iii) any claims arising from the breach of this Agreement.</w:t>
      </w:r>
    </w:p>
    <w:p>
      <w:pPr>
        <w:spacing w:after="0" w:line="124" w:lineRule="exact"/>
        <w:rPr>
          <w:sz w:val="20"/>
          <w:szCs w:val="20"/>
          <w:color w:val="auto"/>
        </w:rPr>
      </w:pPr>
    </w:p>
    <w:p>
      <w:pPr>
        <w:jc w:val="both"/>
        <w:ind w:firstLine="1297"/>
        <w:spacing w:after="0" w:line="237" w:lineRule="auto"/>
        <w:rPr>
          <w:sz w:val="20"/>
          <w:szCs w:val="20"/>
          <w:color w:val="auto"/>
        </w:rPr>
      </w:pPr>
      <w:r>
        <w:rPr>
          <w:rFonts w:ascii="Arial" w:cs="Arial" w:eastAsia="Arial" w:hAnsi="Arial"/>
          <w:sz w:val="16"/>
          <w:szCs w:val="16"/>
          <w:b w:val="1"/>
          <w:bCs w:val="1"/>
          <w:color w:val="auto"/>
        </w:rPr>
        <w:t xml:space="preserve">Protected Rights. </w:t>
      </w:r>
      <w:r>
        <w:rPr>
          <w:rFonts w:ascii="Arial" w:cs="Arial" w:eastAsia="Arial" w:hAnsi="Arial"/>
          <w:sz w:val="16"/>
          <w:szCs w:val="16"/>
          <w:color w:val="auto"/>
        </w:rPr>
        <w:t>You understand that nothing in this Agreement limits your ability to file a charge or complaint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(“Government Agencies”).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w:t>
      </w:r>
    </w:p>
    <w:p>
      <w:pPr>
        <w:spacing w:after="0" w:line="12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b w:val="1"/>
          <w:bCs w:val="1"/>
          <w:color w:val="auto"/>
        </w:rPr>
        <w:t xml:space="preserve">ADEA WAIVER. </w:t>
      </w:r>
      <w:r>
        <w:rPr>
          <w:rFonts w:ascii="Arial" w:cs="Arial" w:eastAsia="Arial" w:hAnsi="Arial"/>
          <w:sz w:val="18"/>
          <w:szCs w:val="18"/>
          <w:color w:val="auto"/>
        </w:rPr>
        <w:t>You acknowledge that you are knowingly and voluntarily waiving and releasing any rights you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ADEA. You also acknowledge that the consideration given for such waiver is in addition to anything of value to which you were already entitled. You further acknowledge that you have been advised by this writing, as required by the ADEA, that: (a) your waiver does not apply to any rights or claims that arise after the date you sign this Agreement; (b) you should consult with an attorney prior to signing this Agreement; (c) you have twenty-one (21) days to consider this Agreement (although you may choose to voluntarily sign it sooner); (d) you have seven (7) days following the date you sign this Agreement to revoke (in a written revocation sent to me); and (e) this Agreement will not be effective until the date upon which the revocation period has expired, which will be the eighth day after you sign this Agreement.</w:t>
      </w:r>
    </w:p>
    <w:p>
      <w:pPr>
        <w:spacing w:after="0" w:line="13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This Agreement, including all Exhibits, constitutes the complete, final and exclusive embodiment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so as to be rendered enforceable. This Agreement will be deemed to have been entered into and will be construed and enforced in accordance with the laws of the State of Texas as applied to contracts made and to be performed entirely within Texas. Any ambiguity in this Agreement shall not be construed against either party as the drafter. Any waiver of a breach of this Agreement shall be in writing and shall not be deemed to be a waiver of any successive breach. This Agreement may be executed in counterparts and facsimile signatures will suffice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638873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If this Agreement is acceptable to you, please sign below and return the original to 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wish you the best in your future endeavors.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By:/s/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-635</wp:posOffset>
            </wp:positionV>
            <wp:extent cx="30441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ind w:left="620"/>
        <w:spacing w:after="0" w:line="203" w:lineRule="auto"/>
        <w:rPr>
          <w:sz w:val="20"/>
          <w:szCs w:val="20"/>
          <w:color w:val="auto"/>
        </w:rPr>
      </w:pPr>
      <w:r>
        <w:rPr>
          <w:rFonts w:ascii="Arial" w:cs="Arial" w:eastAsia="Arial" w:hAnsi="Arial"/>
          <w:sz w:val="18"/>
          <w:szCs w:val="18"/>
          <w:color w:val="auto"/>
        </w:rPr>
        <w:t>Phillip LoPresti</w:t>
      </w:r>
    </w:p>
    <w:p>
      <w:pPr>
        <w:ind w:left="620"/>
        <w:spacing w:after="0"/>
        <w:rPr>
          <w:sz w:val="20"/>
          <w:szCs w:val="20"/>
          <w:color w:val="auto"/>
        </w:rPr>
      </w:pPr>
      <w:r>
        <w:rPr>
          <w:rFonts w:ascii="Arial" w:cs="Arial" w:eastAsia="Arial" w:hAnsi="Arial"/>
          <w:sz w:val="18"/>
          <w:szCs w:val="18"/>
          <w:color w:val="auto"/>
        </w:rPr>
        <w:t>President &amp; CEO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HAVE READ, UNDERSTAND AND AGREE FULLY TO THE FOREGOING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40" w:type="dxa"/>
            <w:vAlign w:val="bottom"/>
            <w:gridSpan w:val="3"/>
          </w:tcPr>
          <w:p>
            <w:pPr>
              <w:spacing w:after="0"/>
              <w:rPr>
                <w:sz w:val="20"/>
                <w:szCs w:val="20"/>
                <w:color w:val="auto"/>
              </w:rPr>
            </w:pPr>
            <w:r>
              <w:rPr>
                <w:rFonts w:ascii="Arial" w:cs="Arial" w:eastAsia="Arial" w:hAnsi="Arial"/>
                <w:sz w:val="18"/>
                <w:szCs w:val="18"/>
                <w:color w:val="auto"/>
              </w:rPr>
              <w:t>/s/ Scott Sewell</w:t>
            </w:r>
          </w:p>
        </w:tc>
        <w:tc>
          <w:tcPr>
            <w:tcW w:w="4920" w:type="dxa"/>
            <w:vAlign w:val="bottom"/>
          </w:tcPr>
          <w:p>
            <w:pPr>
              <w:spacing w:after="0"/>
              <w:rPr>
                <w:sz w:val="20"/>
                <w:szCs w:val="20"/>
                <w:color w:val="auto"/>
              </w:rPr>
            </w:pPr>
            <w:r>
              <w:rPr>
                <w:rFonts w:ascii="Arial" w:cs="Arial" w:eastAsia="Arial" w:hAnsi="Arial"/>
                <w:sz w:val="18"/>
                <w:szCs w:val="18"/>
                <w:color w:val="auto"/>
              </w:rPr>
              <w:t>2/24/17</w:t>
            </w:r>
          </w:p>
        </w:tc>
      </w:tr>
      <w:tr>
        <w:trPr>
          <w:trHeight w:val="234"/>
        </w:trPr>
        <w:tc>
          <w:tcPr>
            <w:tcW w:w="20" w:type="dxa"/>
            <w:vAlign w:val="bottom"/>
          </w:tcPr>
          <w:p>
            <w:pPr>
              <w:spacing w:after="0"/>
              <w:rPr>
                <w:sz w:val="20"/>
                <w:szCs w:val="20"/>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Scott Sewell</w:t>
            </w:r>
          </w:p>
        </w:tc>
        <w:tc>
          <w:tcPr>
            <w:tcW w:w="200" w:type="dxa"/>
            <w:vAlign w:val="bottom"/>
          </w:tcPr>
          <w:p>
            <w:pPr>
              <w:spacing w:after="0"/>
              <w:rPr>
                <w:sz w:val="20"/>
                <w:szCs w:val="20"/>
                <w:color w:val="auto"/>
              </w:rPr>
            </w:pPr>
          </w:p>
        </w:tc>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353"/>
        </w:trPr>
        <w:tc>
          <w:tcPr>
            <w:tcW w:w="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2" w:right="919" w:bottom="1440" w:gutter="0" w:footer="0" w:header="0"/>
        </w:sectPr>
      </w:pPr>
    </w:p>
    <w:bookmarkStart w:id="65" w:name="page66"/>
    <w:bookmarkEnd w:id="65"/>
    <w:p>
      <w:pPr>
        <w:ind w:left="4560"/>
        <w:spacing w:after="0"/>
        <w:rPr>
          <w:sz w:val="20"/>
          <w:szCs w:val="20"/>
          <w:color w:val="auto"/>
        </w:rPr>
      </w:pPr>
      <w:r>
        <w:rPr>
          <w:rFonts w:ascii="Arial" w:cs="Arial" w:eastAsia="Arial" w:hAnsi="Arial"/>
          <w:sz w:val="18"/>
          <w:szCs w:val="18"/>
          <w:b w:val="1"/>
          <w:bCs w:val="1"/>
          <w:color w:val="auto"/>
        </w:rPr>
        <w:t>EXHIBIT A</w:t>
      </w:r>
    </w:p>
    <w:p>
      <w:pPr>
        <w:spacing w:after="0" w:line="13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SEPARATION DATE RELEASE</w:t>
      </w:r>
    </w:p>
    <w:p>
      <w:pPr>
        <w:jc w:val="center"/>
        <w:spacing w:after="0"/>
        <w:rPr>
          <w:sz w:val="20"/>
          <w:szCs w:val="20"/>
          <w:color w:val="auto"/>
        </w:rPr>
      </w:pPr>
      <w:r>
        <w:rPr>
          <w:rFonts w:ascii="Arial" w:cs="Arial" w:eastAsia="Arial" w:hAnsi="Arial"/>
          <w:sz w:val="18"/>
          <w:szCs w:val="18"/>
          <w:b w:val="1"/>
          <w:bCs w:val="1"/>
          <w:color w:val="auto"/>
        </w:rPr>
        <w:t>(TO BE SIGNED ON THE SEPARATION DATE)</w:t>
      </w:r>
    </w:p>
    <w:p>
      <w:pPr>
        <w:spacing w:after="0" w:line="1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exchange for the severance benefits to be provided to me by Everspin Technologies, Inc. (the “Company”) pursuant to the Separation Agreement between the Company and me (the “Separation Agreement”), I hereby provide the following Separation Date Release.</w:t>
      </w:r>
    </w:p>
    <w:p>
      <w:pPr>
        <w:spacing w:after="0" w:line="8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exchange for the consideration to which I would not otherwise be entitled, I hereby generally and completely release the Company and its directors, officers, employees, shareholders, partners, agents, attorneys, predecessors, successors, parent or subsidiary entities, insurers, affiliates and assigns from any and all claims, liabilities and obligations, both known and unknown, that arise out of or are in any way related to events, acts, conduct, or omissions prior to or on the date I sign this Separation Date Release.</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This general release includes, but is not limited to: (1) all claims arising out of or in any way related to my employment with the Company or the termination of that employment; (2) all claims related to my compensation or benefits from the Company, including salary, bonuses, commissions, vacation pay, expense reimbursements, severance pay, fringe benefits, stock, stock options or any other ownership interests in the Company; (3) all claims for breach of contract, wrongful termination or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Civil Rights Act of 1964 (as amended), the federal Americans with Disabilities Act of 1990, the federal Age Discrimination in Employment Act (the “ADEA”) (as amended), or the Texas Human Rights Act.</w:t>
      </w:r>
    </w:p>
    <w:p>
      <w:pPr>
        <w:spacing w:after="0" w:line="14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Notwithstanding the foregoing, I am not hereby releasing the Company from any of the following claims: (a) any rights or claims for indemnification I may have pursuant to any written indemnification agreement with the Company to which I am a party, the charter, bylaws, or operating agreements of the Company, or under applicable law; (b) any rights that cannot be waived as a matter of law; or (c) any claims arising from the breach of this Separation Date Release.</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 understand that nothing in this Separation Date Release limits my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(“Government Agencies”). I further understand this Separation Date Release does not limit my ability to communicate with any Government Agencies or otherwise participate in any investigation or proceeding that may be conducted by any Government Agency, including providing documents or other information, without notice to the Company. While this Separation Date Release does not limit my right to receive an award for information provided to the Securities and Exchange Commission, I understand and agree that, to maximum extent permitted by law, I am otherwise waiving any and all rights I may have to individual relief based on any claims that I have released and any rights I have waived by signing this Separation Date Release.</w:t>
      </w:r>
    </w:p>
    <w:p>
      <w:pPr>
        <w:spacing w:after="0" w:line="12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I acknowledge that I am are knowingly and voluntarily waiving and releasing any rights I may have under the ADEA. I also acknowledge that the consideration given for this waiver is in addition to anything of value to which I was already entitled. I further acknowledge that I have been advised by this writing, as required by the ADEA, that: (a) this waiver does not apply to any rights or claims that arise after the date I sign this Separation Date Release; (b) I should consult with an attorney prior to signing this Separation Date Release; (c) I have had twenty-one (21) days to consider this Separation Date Release; (d) I have seven (7) days following the date I sign this Separation Date Release to revoke (in a written revocation sent to the Company’s Chief Executive Officer); and (e) this Separation Date Release will not be effective until the date upon which the revocation period has expired, which will be the eighth day after I sign this Separation Date Release.</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 hereby represent that to date: (i) I have been paid all compensation owed and have been paid for all hours worked; (ii) I have received all the leave and leave benefits and protections for which I am eligible pursuant to the federal Family and Medical Leave Act or otherwise; and (iii) I have not suffered any on-the-job injury for which I have not already filed a workers’ compensation claim.</w:t>
      </w:r>
    </w:p>
    <w:p>
      <w:pPr>
        <w:spacing w:after="0" w:line="117" w:lineRule="exact"/>
        <w:rPr>
          <w:sz w:val="20"/>
          <w:szCs w:val="20"/>
          <w:color w:val="auto"/>
        </w:rPr>
      </w:pPr>
    </w:p>
    <w:p>
      <w:pPr>
        <w:ind w:left="5040"/>
        <w:spacing w:after="0"/>
        <w:tabs>
          <w:tab w:leader="none" w:pos="54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Scott Sewell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6985</wp:posOffset>
            </wp:positionV>
            <wp:extent cx="2924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8"/>
          <w:szCs w:val="18"/>
          <w:color w:val="auto"/>
        </w:rPr>
        <w:t>Scott Sewell</w:t>
      </w:r>
    </w:p>
    <w:p>
      <w:pPr>
        <w:spacing w:after="0" w:line="128"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Date: 2/24/17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3466465</wp:posOffset>
            </wp:positionH>
            <wp:positionV relativeFrom="paragraph">
              <wp:posOffset>-1905</wp:posOffset>
            </wp:positionV>
            <wp:extent cx="2924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241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38873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08" w:right="91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EXHIBIT B</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PROPRIETARY INFORMATION AND INVENTIONS ASSIGNMENT AGREEMENT</w:t>
      </w:r>
    </w:p>
    <w:p>
      <w:pPr>
        <w:spacing w:after="0" w:line="158" w:lineRule="exact"/>
        <w:rPr>
          <w:sz w:val="20"/>
          <w:szCs w:val="20"/>
          <w:color w:val="auto"/>
        </w:rPr>
      </w:pPr>
    </w:p>
    <w:p>
      <w:pPr>
        <w:ind w:left="1" w:firstLine="648"/>
        <w:spacing w:after="0" w:line="263" w:lineRule="auto"/>
        <w:rPr>
          <w:sz w:val="20"/>
          <w:szCs w:val="20"/>
          <w:color w:val="auto"/>
        </w:rPr>
      </w:pPr>
      <w:r>
        <w:rPr>
          <w:rFonts w:ascii="Arial" w:cs="Arial" w:eastAsia="Arial" w:hAnsi="Arial"/>
          <w:sz w:val="17"/>
          <w:szCs w:val="17"/>
          <w:color w:val="auto"/>
        </w:rPr>
        <w:t>In consideration of my employment or continued employment by Everspin Technologies, Inc. (“</w:t>
      </w:r>
      <w:r>
        <w:rPr>
          <w:rFonts w:ascii="Arial" w:cs="Arial" w:eastAsia="Arial" w:hAnsi="Arial"/>
          <w:sz w:val="17"/>
          <w:szCs w:val="17"/>
          <w:b w:val="1"/>
          <w:bCs w:val="1"/>
          <w:color w:val="auto"/>
        </w:rPr>
        <w:t>Company</w:t>
      </w:r>
      <w:r>
        <w:rPr>
          <w:rFonts w:ascii="Arial" w:cs="Arial" w:eastAsia="Arial" w:hAnsi="Arial"/>
          <w:sz w:val="17"/>
          <w:szCs w:val="17"/>
          <w:color w:val="auto"/>
        </w:rPr>
        <w:t>”), and the compensation paid to me now and during my employment with the Company, I agree to the terms of this Agreement as follows:</w:t>
      </w:r>
    </w:p>
    <w:p>
      <w:pPr>
        <w:sectPr>
          <w:pgSz w:w="11900" w:h="16838" w:orient="portrait"/>
          <w:cols w:equalWidth="0" w:num="1">
            <w:col w:w="10061"/>
          </w:cols>
          <w:pgMar w:left="919" w:top="108" w:right="919" w:bottom="1440" w:gutter="0" w:footer="0" w:header="0"/>
        </w:sectPr>
      </w:pPr>
    </w:p>
    <w:p>
      <w:pPr>
        <w:spacing w:after="0" w:line="98" w:lineRule="exact"/>
        <w:rPr>
          <w:sz w:val="20"/>
          <w:szCs w:val="20"/>
          <w:color w:val="auto"/>
        </w:rPr>
      </w:pPr>
    </w:p>
    <w:p>
      <w:pPr>
        <w:ind w:left="681" w:hanging="681"/>
        <w:spacing w:after="0"/>
        <w:tabs>
          <w:tab w:leader="none" w:pos="68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 PROTECTIONS.</w:t>
      </w:r>
    </w:p>
    <w:p>
      <w:pPr>
        <w:spacing w:after="0" w:line="144" w:lineRule="exact"/>
        <w:rPr>
          <w:sz w:val="20"/>
          <w:szCs w:val="20"/>
          <w:color w:val="auto"/>
        </w:rPr>
      </w:pPr>
    </w:p>
    <w:p>
      <w:pPr>
        <w:jc w:val="both"/>
        <w:ind w:left="1" w:firstLine="648"/>
        <w:spacing w:after="0"/>
        <w:rPr>
          <w:sz w:val="20"/>
          <w:szCs w:val="20"/>
          <w:color w:val="auto"/>
        </w:rPr>
      </w:pPr>
      <w:r>
        <w:rPr>
          <w:rFonts w:ascii="Arial" w:cs="Arial" w:eastAsia="Arial" w:hAnsi="Arial"/>
          <w:sz w:val="16"/>
          <w:szCs w:val="16"/>
          <w:b w:val="1"/>
          <w:bCs w:val="1"/>
          <w:color w:val="auto"/>
        </w:rPr>
        <w:t>1.1 Nondisclosure; Recognition of Company’s Rights</w:t>
      </w:r>
      <w:r>
        <w:rPr>
          <w:rFonts w:ascii="Arial" w:cs="Arial" w:eastAsia="Arial" w:hAnsi="Arial"/>
          <w:sz w:val="16"/>
          <w:szCs w:val="16"/>
          <w:color w:val="auto"/>
        </w:rPr>
        <w:t>. At all times during and after my employment, I will hold in</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confidence and will not disclose, use, lecture upon, or publish any of Company’s Confidential Information (defined below), except as may be required in connection with my work for Company, or as expressly authorized by the Chief Executive Officer (the “</w:t>
      </w:r>
      <w:r>
        <w:rPr>
          <w:rFonts w:ascii="Arial" w:cs="Arial" w:eastAsia="Arial" w:hAnsi="Arial"/>
          <w:sz w:val="16"/>
          <w:szCs w:val="16"/>
          <w:b w:val="1"/>
          <w:bCs w:val="1"/>
          <w:color w:val="auto"/>
        </w:rPr>
        <w:t>CEO</w:t>
      </w:r>
      <w:r>
        <w:rPr>
          <w:rFonts w:ascii="Arial" w:cs="Arial" w:eastAsia="Arial" w:hAnsi="Arial"/>
          <w:sz w:val="16"/>
          <w:szCs w:val="16"/>
          <w:color w:val="auto"/>
        </w:rPr>
        <w:t>”) of Company. I will obtain the CEO’s written approval before publishing or submitting for publication any material (written, oral, or otherwise) that relates to my work at Company and/or incorporates any Confidential Information. I hereby assign to Company any rights I may have or acquire in any and all Confidential Information and recognize that all Confidential Information shall be the sole and exclusive property of Company and its assigns.</w:t>
      </w:r>
    </w:p>
    <w:p>
      <w:pPr>
        <w:spacing w:after="0" w:line="264" w:lineRule="exact"/>
        <w:rPr>
          <w:sz w:val="20"/>
          <w:szCs w:val="20"/>
          <w:color w:val="auto"/>
        </w:rPr>
      </w:pPr>
    </w:p>
    <w:p>
      <w:pPr>
        <w:jc w:val="both"/>
        <w:ind w:left="1" w:firstLine="648"/>
        <w:spacing w:after="0" w:line="234" w:lineRule="auto"/>
        <w:rPr>
          <w:sz w:val="20"/>
          <w:szCs w:val="20"/>
          <w:color w:val="auto"/>
        </w:rPr>
      </w:pPr>
      <w:r>
        <w:rPr>
          <w:rFonts w:ascii="Arial" w:cs="Arial" w:eastAsia="Arial" w:hAnsi="Arial"/>
          <w:sz w:val="16"/>
          <w:szCs w:val="16"/>
          <w:b w:val="1"/>
          <w:bCs w:val="1"/>
          <w:color w:val="auto"/>
        </w:rPr>
        <w:t xml:space="preserve">1.2 Confidential Information. </w:t>
      </w: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and all confidential knowledge, data or</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related to Company’s business or its actual or demonstrably anticipated research or development, including without limitation (a) trade secrets, inventions, ideas, processes, computer source and object code, data, formulae, programs, other works of authorship, know-how, improvements, discoveries, developments, designs, and techniques; (b) information regarding products, services, plans for research and development, marketing and business plans, budgets, financial statements, contracts, prices, suppliers, and customers; (c) information regarding the skills and compensation of Company’s employees, contractors, and any other service providers of Company; and (d) the existence of any business discussions, negotiations, or agreements between Company and any third party.</w:t>
      </w:r>
    </w:p>
    <w:p>
      <w:pPr>
        <w:spacing w:after="0" w:line="122" w:lineRule="exact"/>
        <w:rPr>
          <w:sz w:val="20"/>
          <w:szCs w:val="20"/>
          <w:color w:val="auto"/>
        </w:rPr>
      </w:pPr>
    </w:p>
    <w:p>
      <w:pPr>
        <w:jc w:val="both"/>
        <w:ind w:left="1" w:firstLine="648"/>
        <w:spacing w:after="0" w:line="235" w:lineRule="auto"/>
        <w:rPr>
          <w:sz w:val="20"/>
          <w:szCs w:val="20"/>
          <w:color w:val="auto"/>
        </w:rPr>
      </w:pPr>
      <w:r>
        <w:rPr>
          <w:rFonts w:ascii="Arial" w:cs="Arial" w:eastAsia="Arial" w:hAnsi="Arial"/>
          <w:sz w:val="16"/>
          <w:szCs w:val="16"/>
          <w:b w:val="1"/>
          <w:bCs w:val="1"/>
          <w:color w:val="auto"/>
        </w:rPr>
        <w:t xml:space="preserve">1.3 Third Party Information. </w:t>
      </w:r>
      <w:r>
        <w:rPr>
          <w:rFonts w:ascii="Arial" w:cs="Arial" w:eastAsia="Arial" w:hAnsi="Arial"/>
          <w:sz w:val="16"/>
          <w:szCs w:val="16"/>
          <w:color w:val="auto"/>
        </w:rPr>
        <w:t>I understand that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received and in the future will receive from third parties confidential or proprietary information (</w:t>
      </w:r>
      <w:r>
        <w:rPr>
          <w:rFonts w:ascii="Arial" w:cs="Arial" w:eastAsia="Arial" w:hAnsi="Arial"/>
          <w:sz w:val="16"/>
          <w:szCs w:val="16"/>
          <w:b w:val="1"/>
          <w:bCs w:val="1"/>
          <w:color w:val="auto"/>
        </w:rPr>
        <w:t>“Third Party Information”</w:t>
      </w:r>
      <w:r>
        <w:rPr>
          <w:rFonts w:ascii="Arial" w:cs="Arial" w:eastAsia="Arial" w:hAnsi="Arial"/>
          <w:sz w:val="16"/>
          <w:szCs w:val="16"/>
          <w:color w:val="auto"/>
        </w:rPr>
        <w:t>) subject to a duty on Company’s part to maintain the confidentiality of such information and to use it only for certain limited purposes. During and after the term of my employment, I will hold Third Party Information in strict confidence and will not disclose to anyone (other than Company personnel who need to know such information in connection with their work for Company) or use, Third Party Information, except in connection with my work for Company or unless expressly authorized by an officer of Company in writing.</w:t>
      </w:r>
    </w:p>
    <w:p>
      <w:pPr>
        <w:spacing w:after="0" w:line="125" w:lineRule="exact"/>
        <w:rPr>
          <w:sz w:val="20"/>
          <w:szCs w:val="20"/>
          <w:color w:val="auto"/>
        </w:rPr>
      </w:pPr>
    </w:p>
    <w:p>
      <w:pPr>
        <w:jc w:val="both"/>
        <w:ind w:left="1" w:firstLine="648"/>
        <w:spacing w:after="0" w:line="220" w:lineRule="auto"/>
        <w:rPr>
          <w:sz w:val="20"/>
          <w:szCs w:val="20"/>
          <w:color w:val="auto"/>
        </w:rPr>
      </w:pPr>
      <w:r>
        <w:rPr>
          <w:rFonts w:ascii="Arial" w:cs="Arial" w:eastAsia="Arial" w:hAnsi="Arial"/>
          <w:sz w:val="18"/>
          <w:szCs w:val="18"/>
          <w:b w:val="1"/>
          <w:bCs w:val="1"/>
          <w:color w:val="auto"/>
        </w:rPr>
        <w:t xml:space="preserve">1.4 No Improper Use of Information of Prior Employers and Others. </w:t>
      </w:r>
      <w:r>
        <w:rPr>
          <w:rFonts w:ascii="Arial" w:cs="Arial" w:eastAsia="Arial" w:hAnsi="Arial"/>
          <w:sz w:val="18"/>
          <w:szCs w:val="18"/>
          <w:color w:val="auto"/>
        </w:rPr>
        <w:t>I represent that my employment by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and will not breach any agreement with any former employer, including any noncompete agreement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661670</wp:posOffset>
            </wp:positionV>
            <wp:extent cx="638873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both"/>
        <w:ind w:left="7"/>
        <w:spacing w:after="0" w:line="219" w:lineRule="auto"/>
        <w:rPr>
          <w:sz w:val="20"/>
          <w:szCs w:val="20"/>
          <w:color w:val="auto"/>
        </w:rPr>
      </w:pPr>
      <w:r>
        <w:rPr>
          <w:rFonts w:ascii="Arial" w:cs="Arial" w:eastAsia="Arial" w:hAnsi="Arial"/>
          <w:sz w:val="17"/>
          <w:szCs w:val="17"/>
          <w:color w:val="auto"/>
        </w:rPr>
        <w:t>agreement to keep in confidence or refrain from using information acquired by me prior to my employment by Company. I further represent that I have not entered into, and will not enter into, any agreement, either written or oral, in conflict with my obligations under this Agreement. During my employment by Company, I will not improperly make use of, or disclose, any information or trade secrets of any former employer or other third party, nor will I bring onto the premises of Company or use any unpublished documents or any property belonging to any former employer or other third party, in violation of any lawful agreements with that former employer or third party. I will use in the performance of my duties only information that is generally known and used by persons with training and experience comparable to my own, is common knowledge in the industry or otherwise legally in the public domain, or is otherwise provided or developed by Company.</w:t>
      </w:r>
    </w:p>
    <w:p>
      <w:pPr>
        <w:spacing w:after="0" w:line="127" w:lineRule="exact"/>
        <w:rPr>
          <w:sz w:val="20"/>
          <w:szCs w:val="20"/>
          <w:color w:val="auto"/>
        </w:rPr>
      </w:pPr>
    </w:p>
    <w:p>
      <w:pPr>
        <w:ind w:left="667" w:hanging="667"/>
        <w:spacing w:after="0"/>
        <w:tabs>
          <w:tab w:leader="none" w:pos="66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p>
    <w:p>
      <w:pPr>
        <w:spacing w:after="0" w:line="158" w:lineRule="exact"/>
        <w:rPr>
          <w:sz w:val="20"/>
          <w:szCs w:val="20"/>
          <w:color w:val="auto"/>
        </w:rPr>
      </w:pPr>
    </w:p>
    <w:p>
      <w:pPr>
        <w:jc w:val="both"/>
        <w:ind w:left="7" w:firstLine="648"/>
        <w:spacing w:after="0" w:line="222" w:lineRule="auto"/>
        <w:rPr>
          <w:sz w:val="20"/>
          <w:szCs w:val="20"/>
          <w:color w:val="auto"/>
        </w:rPr>
      </w:pPr>
      <w:r>
        <w:rPr>
          <w:rFonts w:ascii="Arial" w:cs="Arial" w:eastAsia="Arial" w:hAnsi="Arial"/>
          <w:sz w:val="17"/>
          <w:szCs w:val="17"/>
          <w:b w:val="1"/>
          <w:bCs w:val="1"/>
          <w:color w:val="auto"/>
        </w:rPr>
        <w:t xml:space="preserve">2.1 Inventions and Intellectual Property Rights. </w:t>
      </w:r>
      <w:r>
        <w:rPr>
          <w:rFonts w:ascii="Arial" w:cs="Arial" w:eastAsia="Arial" w:hAnsi="Arial"/>
          <w:sz w:val="17"/>
          <w:szCs w:val="17"/>
          <w:color w:val="auto"/>
        </w:rPr>
        <w:t xml:space="preserve">As used in this Agreement, the term </w:t>
      </w:r>
      <w:r>
        <w:rPr>
          <w:rFonts w:ascii="Arial" w:cs="Arial" w:eastAsia="Arial" w:hAnsi="Arial"/>
          <w:sz w:val="17"/>
          <w:szCs w:val="17"/>
          <w:b w:val="1"/>
          <w:bCs w:val="1"/>
          <w:color w:val="auto"/>
        </w:rPr>
        <w:t>“Invention”</w:t>
      </w:r>
      <w:r>
        <w:rPr>
          <w:rFonts w:ascii="Arial" w:cs="Arial" w:eastAsia="Arial" w:hAnsi="Arial"/>
          <w:sz w:val="17"/>
          <w:szCs w:val="17"/>
          <w:color w:val="auto"/>
        </w:rPr>
        <w:t xml:space="preserve"> means any ideas, concepts, information, materials, processes, data, programs, know-how, improvements, discoveries, developments, designs, artwork, formulae, other copyrightable works, and techniques and all Intellectual Property Rights in any of the items listed above. The term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xml:space="preserve"> means all trade secrets, copyrights, trademarks, mask work rights, patents and other intellectual property rights recognized by the laws of any jurisdiction or country.</w:t>
      </w:r>
    </w:p>
    <w:p>
      <w:pPr>
        <w:spacing w:after="0" w:line="123" w:lineRule="exact"/>
        <w:rPr>
          <w:sz w:val="20"/>
          <w:szCs w:val="20"/>
          <w:color w:val="auto"/>
        </w:rPr>
      </w:pPr>
    </w:p>
    <w:p>
      <w:pPr>
        <w:jc w:val="both"/>
        <w:ind w:left="7" w:firstLine="648"/>
        <w:spacing w:after="0"/>
        <w:rPr>
          <w:sz w:val="20"/>
          <w:szCs w:val="20"/>
          <w:color w:val="auto"/>
        </w:rPr>
      </w:pPr>
      <w:r>
        <w:rPr>
          <w:rFonts w:ascii="Arial" w:cs="Arial" w:eastAsia="Arial" w:hAnsi="Arial"/>
          <w:sz w:val="16"/>
          <w:szCs w:val="16"/>
          <w:b w:val="1"/>
          <w:bCs w:val="1"/>
          <w:color w:val="auto"/>
        </w:rPr>
        <w:t xml:space="preserve">2.2 Prior Inventions. </w:t>
      </w:r>
      <w:r>
        <w:rPr>
          <w:rFonts w:ascii="Arial" w:cs="Arial" w:eastAsia="Arial" w:hAnsi="Arial"/>
          <w:sz w:val="16"/>
          <w:szCs w:val="16"/>
          <w:color w:val="auto"/>
        </w:rPr>
        <w:t>I have disclosed on</w:t>
      </w:r>
      <w:r>
        <w:rPr>
          <w:rFonts w:ascii="Arial" w:cs="Arial" w:eastAsia="Arial" w:hAnsi="Arial"/>
          <w:sz w:val="16"/>
          <w:szCs w:val="16"/>
          <w:b w:val="1"/>
          <w:bCs w:val="1"/>
          <w:color w:val="auto"/>
        </w:rPr>
        <w:t xml:space="preserve"> Exhibit A </w:t>
      </w:r>
      <w:r>
        <w:rPr>
          <w:rFonts w:ascii="Arial" w:cs="Arial" w:eastAsia="Arial" w:hAnsi="Arial"/>
          <w:sz w:val="16"/>
          <w:szCs w:val="16"/>
          <w:color w:val="auto"/>
        </w:rPr>
        <w:t>a complete list of all Inventions that (a) I have, or I have caused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alone or jointly with others, conceived, developed, or reduced to practice prior to the commencement of my employment by Company; (b) in which I have an ownership interest or which I have a license to use; (c) and that I wish to have excluded from the scope of this Agreement (collectively referred to as “</w:t>
      </w:r>
      <w:r>
        <w:rPr>
          <w:rFonts w:ascii="Arial" w:cs="Arial" w:eastAsia="Arial" w:hAnsi="Arial"/>
          <w:sz w:val="16"/>
          <w:szCs w:val="16"/>
          <w:b w:val="1"/>
          <w:bCs w:val="1"/>
          <w:color w:val="auto"/>
        </w:rPr>
        <w:t>Prior Inventions</w:t>
      </w:r>
      <w:r>
        <w:rPr>
          <w:rFonts w:ascii="Arial" w:cs="Arial" w:eastAsia="Arial" w:hAnsi="Arial"/>
          <w:sz w:val="16"/>
          <w:szCs w:val="16"/>
          <w:color w:val="auto"/>
        </w:rPr>
        <w:t xml:space="preserve">”). If no Prior Inventions are listed in </w:t>
      </w:r>
      <w:r>
        <w:rPr>
          <w:rFonts w:ascii="Arial" w:cs="Arial" w:eastAsia="Arial" w:hAnsi="Arial"/>
          <w:sz w:val="16"/>
          <w:szCs w:val="16"/>
          <w:b w:val="1"/>
          <w:bCs w:val="1"/>
          <w:color w:val="auto"/>
        </w:rPr>
        <w:t>Exhibit A</w:t>
      </w:r>
      <w:r>
        <w:rPr>
          <w:rFonts w:ascii="Arial" w:cs="Arial" w:eastAsia="Arial" w:hAnsi="Arial"/>
          <w:sz w:val="16"/>
          <w:szCs w:val="16"/>
          <w:color w:val="auto"/>
        </w:rPr>
        <w:t>, I warrant that there are no Prior Inventions. I agree that I will not incorporate, or permit to be incorporated, Prior Inventions in any Company Inventions (defined below) without Company’s prior written consent. If, in the course of my employment with Company, I incorporate a Prior Invention into a Company process, machine or other work, I hereby grant Company a non-exclusive, perpetual, fully-paid and royalty-free, irrevocable and worldwide license, with rights to sublicense through multiple levels of sublicensees, to reproduce, make derivative works of, distribute, publicly perform, and publicly display in any form or medium, whether now known or later developed, make, have made, use, sell, import, offer for sale, and exercise any and all present or future rights in, such Prior</w:t>
      </w:r>
    </w:p>
    <w:p>
      <w:pPr>
        <w:sectPr>
          <w:pgSz w:w="11900" w:h="16838" w:orient="portrait"/>
          <w:cols w:equalWidth="0" w:num="2">
            <w:col w:w="5061" w:space="193"/>
            <w:col w:w="4807"/>
          </w:cols>
          <w:pgMar w:left="919" w:top="108" w:right="91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color w:val="auto"/>
        </w:rPr>
        <w:t>Invention.</w:t>
      </w:r>
    </w:p>
    <w:p>
      <w:pPr>
        <w:spacing w:after="0" w:line="11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b w:val="1"/>
          <w:bCs w:val="1"/>
          <w:color w:val="auto"/>
        </w:rPr>
        <w:t xml:space="preserve">2.3 Assignment of Company Inventions. </w:t>
      </w:r>
      <w:r>
        <w:rPr>
          <w:rFonts w:ascii="Arial" w:cs="Arial" w:eastAsia="Arial" w:hAnsi="Arial"/>
          <w:sz w:val="16"/>
          <w:szCs w:val="16"/>
          <w:color w:val="auto"/>
        </w:rPr>
        <w:t>Inventions</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to the Company or to a third party as directed by the Company pursuant to the section titled “Government or Third Party” are referred to in this Agreement as “</w:t>
      </w:r>
      <w:r>
        <w:rPr>
          <w:rFonts w:ascii="Arial" w:cs="Arial" w:eastAsia="Arial" w:hAnsi="Arial"/>
          <w:sz w:val="16"/>
          <w:szCs w:val="16"/>
          <w:b w:val="1"/>
          <w:bCs w:val="1"/>
          <w:color w:val="auto"/>
        </w:rPr>
        <w:t>Company Inventions</w:t>
      </w:r>
      <w:r>
        <w:rPr>
          <w:rFonts w:ascii="Arial" w:cs="Arial" w:eastAsia="Arial" w:hAnsi="Arial"/>
          <w:sz w:val="16"/>
          <w:szCs w:val="16"/>
          <w:color w:val="auto"/>
        </w:rPr>
        <w:t xml:space="preserve">.” Subject to the section titled “Government or Third Party” and except for Inventions that I can prove qualify fully under the provisions of a Specific Inventions Law (as defined below) and I have set forth in </w:t>
      </w:r>
      <w:r>
        <w:rPr>
          <w:rFonts w:ascii="Arial" w:cs="Arial" w:eastAsia="Arial" w:hAnsi="Arial"/>
          <w:sz w:val="16"/>
          <w:szCs w:val="16"/>
          <w:b w:val="1"/>
          <w:bCs w:val="1"/>
          <w:color w:val="auto"/>
        </w:rPr>
        <w:t>Exhibit A</w:t>
      </w:r>
      <w:r>
        <w:rPr>
          <w:rFonts w:ascii="Arial" w:cs="Arial" w:eastAsia="Arial" w:hAnsi="Arial"/>
          <w:sz w:val="16"/>
          <w:szCs w:val="16"/>
          <w:color w:val="auto"/>
        </w:rPr>
        <w:t>, I hereby assign and agree to assign in the future (when</w:t>
      </w:r>
      <w:r>
        <w:rPr>
          <w:rFonts w:ascii="Arial" w:cs="Arial" w:eastAsia="Arial" w:hAnsi="Arial"/>
          <w:sz w:val="16"/>
          <w:szCs w:val="16"/>
          <w:b w:val="1"/>
          <w:bCs w:val="1"/>
          <w:color w:val="auto"/>
        </w:rPr>
        <w:t xml:space="preserve"> </w:t>
      </w:r>
      <w:r>
        <w:rPr>
          <w:rFonts w:ascii="Arial" w:cs="Arial" w:eastAsia="Arial" w:hAnsi="Arial"/>
          <w:sz w:val="16"/>
          <w:szCs w:val="16"/>
          <w:color w:val="auto"/>
        </w:rPr>
        <w:t>any such Inventions or Intellectual Property Rights are first reduced to practice or first fixed in a tangible medium, as applicable) to Company all my right, title, and interest in and to any and all Inventions (and all Intellectual Property Rights with respect thereto) made, conceived, reduced to practice, or learned by me, either alone or with others, during the period of my employment by Company.</w:t>
      </w:r>
    </w:p>
    <w:p>
      <w:pPr>
        <w:spacing w:after="0" w:line="8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b w:val="1"/>
          <w:bCs w:val="1"/>
          <w:color w:val="auto"/>
        </w:rPr>
        <w:t xml:space="preserve">2.4 Specific Inventions Law. </w:t>
      </w:r>
      <w:r>
        <w:rPr>
          <w:rFonts w:ascii="Arial" w:cs="Arial" w:eastAsia="Arial" w:hAnsi="Arial"/>
          <w:sz w:val="17"/>
          <w:szCs w:val="17"/>
          <w:color w:val="auto"/>
        </w:rPr>
        <w:t>I recognize that, in the</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a specifically applicable state law, regulation, rule or public policy (“</w:t>
      </w:r>
      <w:r>
        <w:rPr>
          <w:rFonts w:ascii="Arial" w:cs="Arial" w:eastAsia="Arial" w:hAnsi="Arial"/>
          <w:sz w:val="17"/>
          <w:szCs w:val="17"/>
          <w:b w:val="1"/>
          <w:bCs w:val="1"/>
          <w:color w:val="auto"/>
        </w:rPr>
        <w:t>Specific Inventions Law</w:t>
      </w:r>
      <w:r>
        <w:rPr>
          <w:rFonts w:ascii="Arial" w:cs="Arial" w:eastAsia="Arial" w:hAnsi="Arial"/>
          <w:sz w:val="17"/>
          <w:szCs w:val="17"/>
          <w:color w:val="auto"/>
        </w:rPr>
        <w:t>”), this Agreement will not be deemed to require assignment of any invention which qualifies fully for protection under a Specific Inventions Law by virtue of the fact that any such invention was, for example, developed entirely on my own time without using the company’s equipment, supplies, facilities, or trade secrets and neither related to the company’s actual or anticipated business, research or development, nor resulted from work performed by me for the Company. Examples of Specific Inventions Laws include California Labor Code Section 2870 and the Revised Code of Washington Section 49.44.140.</w:t>
      </w:r>
    </w:p>
    <w:p>
      <w:pPr>
        <w:spacing w:after="0" w:line="9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b w:val="1"/>
          <w:bCs w:val="1"/>
          <w:color w:val="auto"/>
        </w:rPr>
        <w:t xml:space="preserve">2.5 Obligation to Keep Company Informed. </w:t>
      </w:r>
      <w:r>
        <w:rPr>
          <w:rFonts w:ascii="Arial" w:cs="Arial" w:eastAsia="Arial" w:hAnsi="Arial"/>
          <w:sz w:val="17"/>
          <w:szCs w:val="17"/>
          <w:color w:val="auto"/>
        </w:rPr>
        <w:t>While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employed with the Company and for one (1) year after my employment ends, I will promptly and fully disclose to the Company in writing (a) all Inventions I author, conceive or reduce to practice, either alone or with others and including any that might be covered under a Specific Inventions Law, and (b) all patent applications I file or in which I am named as an inventor or co-inventor.</w:t>
      </w:r>
    </w:p>
    <w:p>
      <w:pPr>
        <w:spacing w:after="0" w:line="95"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2.6 Government or Third Party</w:t>
      </w:r>
      <w:r>
        <w:rPr>
          <w:rFonts w:ascii="Arial" w:cs="Arial" w:eastAsia="Arial" w:hAnsi="Arial"/>
          <w:sz w:val="18"/>
          <w:szCs w:val="18"/>
          <w:color w:val="auto"/>
        </w:rPr>
        <w:t>. I agree that, as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by the Company, I will assign to a third party, including without limitation the United States, all my right, title, and interest in and to any particular Company Invention.</w:t>
      </w:r>
    </w:p>
    <w:p>
      <w:pPr>
        <w:spacing w:after="0" w:line="78"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b w:val="1"/>
          <w:bCs w:val="1"/>
          <w:color w:val="auto"/>
        </w:rPr>
        <w:t xml:space="preserve">2.7 Enforcement of Intellectual Property Rights and Assistance. </w:t>
      </w:r>
      <w:r>
        <w:rPr>
          <w:rFonts w:ascii="Arial" w:cs="Arial" w:eastAsia="Arial" w:hAnsi="Arial"/>
          <w:sz w:val="18"/>
          <w:szCs w:val="18"/>
          <w:color w:val="auto"/>
        </w:rPr>
        <w:t>During and after the period of my employment, I will</w:t>
      </w:r>
      <w:r>
        <w:rPr>
          <w:rFonts w:ascii="Arial" w:cs="Arial" w:eastAsia="Arial" w:hAnsi="Arial"/>
          <w:sz w:val="18"/>
          <w:szCs w:val="18"/>
          <w:b w:val="1"/>
          <w:bCs w:val="1"/>
          <w:color w:val="auto"/>
        </w:rPr>
        <w:t xml:space="preserve"> </w:t>
      </w:r>
      <w:r>
        <w:rPr>
          <w:rFonts w:ascii="Arial" w:cs="Arial" w:eastAsia="Arial" w:hAnsi="Arial"/>
          <w:sz w:val="18"/>
          <w:szCs w:val="18"/>
          <w:color w:val="auto"/>
        </w:rPr>
        <w:t>assist Company in every proper way to obtain and enforce United States and foreign Intellectual Property Rights relating to Company Inventions in all countries. If the Company is unable to secure my signature on any document needed in connection with such purposes, I hereby irrevocably designate and appoint Company and its duly authorized officers and agents as my agent and attorney in fact, which appointment is coupled with an interest, to act on my behalf to execute and file any such documents and to do all other lawfully permitted acts to further such purposes with the same legal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662305</wp:posOffset>
            </wp:positionV>
            <wp:extent cx="638873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color w:val="auto"/>
        </w:rPr>
        <w:t>as if executed by me.</w:t>
      </w:r>
    </w:p>
    <w:p>
      <w:pPr>
        <w:spacing w:after="0" w:line="113" w:lineRule="exact"/>
        <w:rPr>
          <w:sz w:val="20"/>
          <w:szCs w:val="20"/>
          <w:color w:val="auto"/>
        </w:rPr>
      </w:pPr>
    </w:p>
    <w:p>
      <w:pPr>
        <w:jc w:val="both"/>
        <w:ind w:left="7" w:firstLine="648"/>
        <w:spacing w:after="0" w:line="225" w:lineRule="auto"/>
        <w:rPr>
          <w:sz w:val="20"/>
          <w:szCs w:val="20"/>
          <w:color w:val="auto"/>
        </w:rPr>
      </w:pPr>
      <w:r>
        <w:rPr>
          <w:rFonts w:ascii="Arial" w:cs="Arial" w:eastAsia="Arial" w:hAnsi="Arial"/>
          <w:sz w:val="17"/>
          <w:szCs w:val="17"/>
          <w:b w:val="1"/>
          <w:bCs w:val="1"/>
          <w:color w:val="auto"/>
        </w:rPr>
        <w:t xml:space="preserve">2.8 Incorporation of Software Code. </w:t>
      </w:r>
      <w:r>
        <w:rPr>
          <w:rFonts w:ascii="Arial" w:cs="Arial" w:eastAsia="Arial" w:hAnsi="Arial"/>
          <w:sz w:val="17"/>
          <w:szCs w:val="17"/>
          <w:color w:val="auto"/>
        </w:rPr>
        <w:t>I agree that I</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incorporate into any Company software or otherwise deliver to Company any software code licensed under the GNU General Public License or Lesser General Public License or any other license that, by its terms, requires or conditions the use or distribution of such code on the disclosure, licensing, or distribution of any source code owned or licensed by Company.</w:t>
      </w:r>
    </w:p>
    <w:p>
      <w:pPr>
        <w:spacing w:after="0" w:line="81" w:lineRule="exact"/>
        <w:rPr>
          <w:sz w:val="20"/>
          <w:szCs w:val="20"/>
          <w:color w:val="auto"/>
        </w:rPr>
      </w:pPr>
    </w:p>
    <w:p>
      <w:pPr>
        <w:jc w:val="both"/>
        <w:ind w:left="7" w:hanging="7"/>
        <w:spacing w:after="0" w:line="227" w:lineRule="auto"/>
        <w:tabs>
          <w:tab w:leader="none" w:pos="723"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RECORDS. </w:t>
      </w:r>
      <w:r>
        <w:rPr>
          <w:rFonts w:ascii="Arial" w:cs="Arial" w:eastAsia="Arial" w:hAnsi="Arial"/>
          <w:sz w:val="17"/>
          <w:szCs w:val="17"/>
          <w:color w:val="auto"/>
        </w:rPr>
        <w:t>I agree to keep and maintain adequate and</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records (in the form of notes, sketches, drawings and in any other form that is required by the Company) of all Inventions made by me during the period of my employment by the Company, which records shall be available to, and remain the sole property of, the Company at all times.</w:t>
      </w:r>
    </w:p>
    <w:p>
      <w:pPr>
        <w:spacing w:after="0" w:line="92" w:lineRule="exact"/>
        <w:rPr>
          <w:rFonts w:ascii="Arial" w:cs="Arial" w:eastAsia="Arial" w:hAnsi="Arial"/>
          <w:sz w:val="17"/>
          <w:szCs w:val="17"/>
          <w:b w:val="1"/>
          <w:bCs w:val="1"/>
          <w:color w:val="auto"/>
        </w:rPr>
      </w:pPr>
    </w:p>
    <w:p>
      <w:pPr>
        <w:jc w:val="both"/>
        <w:ind w:left="7" w:hanging="7"/>
        <w:spacing w:after="0" w:line="235" w:lineRule="auto"/>
        <w:tabs>
          <w:tab w:leader="none" w:pos="77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ADDITIONAL ACTIVITIES. </w:t>
      </w:r>
      <w:r>
        <w:rPr>
          <w:rFonts w:ascii="Arial" w:cs="Arial" w:eastAsia="Arial" w:hAnsi="Arial"/>
          <w:sz w:val="16"/>
          <w:szCs w:val="16"/>
          <w:color w:val="auto"/>
        </w:rPr>
        <w:t>I agree that (a)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of my employment by Company, I will not, without Company’s express written consent, engage in any employment or business activity that is competitive with, or would otherwise conflict with my employment by, Company, and (b) for the period of my employment by Company and for one (l) year thereafter, I will not, either directly or indirectly, solicit or attempt to solicit any employee, independent contractor, or consultant of Company to terminate his, her or its relationship with Company in order to become an employee, consultant, or independent contractor to or for any other person or entity.</w:t>
      </w:r>
    </w:p>
    <w:p>
      <w:pPr>
        <w:spacing w:after="0" w:line="87" w:lineRule="exact"/>
        <w:rPr>
          <w:sz w:val="20"/>
          <w:szCs w:val="20"/>
          <w:color w:val="auto"/>
        </w:rPr>
      </w:pPr>
    </w:p>
    <w:p>
      <w:pPr>
        <w:ind w:left="7"/>
        <w:spacing w:after="0"/>
        <w:tabs>
          <w:tab w:leader="none" w:pos="847" w:val="left"/>
          <w:tab w:leader="none" w:pos="4387"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RETURN OF COMPANY PROPERTY.</w:t>
      </w:r>
      <w:r>
        <w:rPr>
          <w:sz w:val="20"/>
          <w:szCs w:val="20"/>
          <w:color w:val="auto"/>
        </w:rPr>
        <w:tab/>
      </w:r>
      <w:r>
        <w:rPr>
          <w:rFonts w:ascii="Arial" w:cs="Arial" w:eastAsia="Arial" w:hAnsi="Arial"/>
          <w:sz w:val="16"/>
          <w:szCs w:val="16"/>
          <w:color w:val="auto"/>
        </w:rPr>
        <w:t>Upon</w:t>
      </w:r>
    </w:p>
    <w:p>
      <w:pPr>
        <w:jc w:val="both"/>
        <w:ind w:left="7"/>
        <w:spacing w:after="0" w:line="231" w:lineRule="auto"/>
        <w:rPr>
          <w:sz w:val="20"/>
          <w:szCs w:val="20"/>
          <w:color w:val="auto"/>
        </w:rPr>
      </w:pPr>
      <w:r>
        <w:rPr>
          <w:rFonts w:ascii="Arial" w:cs="Arial" w:eastAsia="Arial" w:hAnsi="Arial"/>
          <w:sz w:val="16"/>
          <w:szCs w:val="16"/>
          <w:color w:val="auto"/>
        </w:rPr>
        <w:t>termination of my employment or upon Company’s request at any other time, I will deliver to Company all of Company’s property, equipment, and documents, together with all copies thereof, and any other material containing or disclosing any Inventions, Third Party Information or Confidential Information and certify in writing that I have fully complied with the foregoing obligation. I agree that I will not copy, delete, or alter any information contained upon my Company computer or Company equipment before I return it to Company. In addition, if I have used any personal computer, server, or e-mail system to receive, store, review, prepare or transmit any Company information, including but not limited to, Confidential Information, I agree to provide the Company with a computer-useable copy of all such Confidential Information and then permanently delete and expunge such Confidential Information from those systems; and I agree to provide the Company access to my system as reasonably requested to verify that the necessary copying and/or deletion is completed. I further agree that any property situated on Company’s premises and owned by Company is subject to inspection by Company’s personnel at any time with or without notice. Prior to the termination of my employment or promptly after termination of my employment, I will cooperate with Company in attending an exit interview and certify in writing that I have complied with the requirements of this section.</w:t>
      </w:r>
    </w:p>
    <w:p>
      <w:pPr>
        <w:spacing w:after="0" w:line="79" w:lineRule="exact"/>
        <w:rPr>
          <w:sz w:val="20"/>
          <w:szCs w:val="20"/>
          <w:color w:val="auto"/>
        </w:rPr>
      </w:pPr>
    </w:p>
    <w:p>
      <w:pPr>
        <w:jc w:val="both"/>
        <w:ind w:left="7" w:hanging="7"/>
        <w:spacing w:after="0" w:line="233" w:lineRule="auto"/>
        <w:tabs>
          <w:tab w:leader="none" w:pos="769"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NOTIFICATION OF NEW EMPLOYER. </w:t>
      </w:r>
      <w:r>
        <w:rPr>
          <w:rFonts w:ascii="Arial" w:cs="Arial" w:eastAsia="Arial" w:hAnsi="Arial"/>
          <w:sz w:val="17"/>
          <w:szCs w:val="17"/>
          <w:color w:val="auto"/>
        </w:rPr>
        <w:t>If I leave</w:t>
      </w:r>
      <w:r>
        <w:rPr>
          <w:rFonts w:ascii="Arial" w:cs="Arial" w:eastAsia="Arial" w:hAnsi="Arial"/>
          <w:sz w:val="17"/>
          <w:szCs w:val="17"/>
          <w:b w:val="1"/>
          <w:bCs w:val="1"/>
          <w:color w:val="auto"/>
        </w:rPr>
        <w:t xml:space="preserve"> </w:t>
      </w:r>
      <w:r>
        <w:rPr>
          <w:rFonts w:ascii="Arial" w:cs="Arial" w:eastAsia="Arial" w:hAnsi="Arial"/>
          <w:sz w:val="17"/>
          <w:szCs w:val="17"/>
          <w:color w:val="auto"/>
        </w:rPr>
        <w:t>the employ of Company, I consent to the notification of my new employer of my rights and obligations under this Agreement, by Company providing a copy of this Agreement or otherwise.</w:t>
      </w:r>
    </w:p>
    <w:p>
      <w:pPr>
        <w:sectPr>
          <w:pgSz w:w="11900" w:h="16838" w:orient="portrait"/>
          <w:cols w:equalWidth="0" w:num="2">
            <w:col w:w="5060" w:space="193"/>
            <w:col w:w="4807"/>
          </w:cols>
          <w:pgMar w:left="920" w:top="112" w:right="919" w:bottom="1440" w:gutter="0" w:footer="0" w:header="0"/>
        </w:sectPr>
      </w:pPr>
    </w:p>
    <w:bookmarkStart w:id="68" w:name="page69"/>
    <w:bookmarkEnd w:id="68"/>
    <w:p>
      <w:pPr>
        <w:ind w:left="681" w:hanging="681"/>
        <w:spacing w:after="0"/>
        <w:tabs>
          <w:tab w:leader="none" w:pos="68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44" w:lineRule="exact"/>
        <w:rPr>
          <w:sz w:val="20"/>
          <w:szCs w:val="20"/>
          <w:color w:val="auto"/>
        </w:rPr>
      </w:pPr>
    </w:p>
    <w:p>
      <w:pPr>
        <w:jc w:val="both"/>
        <w:ind w:left="1" w:firstLine="648"/>
        <w:spacing w:after="0" w:line="238" w:lineRule="auto"/>
        <w:rPr>
          <w:sz w:val="20"/>
          <w:szCs w:val="20"/>
          <w:color w:val="auto"/>
        </w:rPr>
      </w:pPr>
      <w:r>
        <w:rPr>
          <w:rFonts w:ascii="Arial" w:cs="Arial" w:eastAsia="Arial" w:hAnsi="Arial"/>
          <w:sz w:val="16"/>
          <w:szCs w:val="16"/>
          <w:b w:val="1"/>
          <w:bCs w:val="1"/>
          <w:color w:val="auto"/>
        </w:rPr>
        <w:t xml:space="preserve">7.1 Governing Law and Venue. </w:t>
      </w:r>
      <w:r>
        <w:rPr>
          <w:rFonts w:ascii="Arial" w:cs="Arial" w:eastAsia="Arial" w:hAnsi="Arial"/>
          <w:sz w:val="16"/>
          <w:szCs w:val="16"/>
          <w:color w:val="auto"/>
        </w:rPr>
        <w:t>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action related thereto will be governed and interpreted by and under the laws of the State of Arizona, without giving effect to any conflicts of laws principles that require the application of the law of a different state. I expressly consent to personal jurisdiction and venue in the state and federal courts for the county in which Company’s principal place of business is located for any lawsuit filed there against me by Company arising from or related to this Agreement.</w:t>
      </w:r>
    </w:p>
    <w:p>
      <w:pPr>
        <w:spacing w:after="0" w:line="134" w:lineRule="exact"/>
        <w:rPr>
          <w:sz w:val="20"/>
          <w:szCs w:val="20"/>
          <w:color w:val="auto"/>
        </w:rPr>
      </w:pPr>
    </w:p>
    <w:p>
      <w:pPr>
        <w:jc w:val="both"/>
        <w:ind w:left="1" w:firstLine="648"/>
        <w:spacing w:after="0" w:line="230" w:lineRule="auto"/>
        <w:rPr>
          <w:sz w:val="20"/>
          <w:szCs w:val="20"/>
          <w:color w:val="auto"/>
        </w:rPr>
      </w:pPr>
      <w:r>
        <w:rPr>
          <w:rFonts w:ascii="Arial" w:cs="Arial" w:eastAsia="Arial" w:hAnsi="Arial"/>
          <w:sz w:val="17"/>
          <w:szCs w:val="17"/>
          <w:b w:val="1"/>
          <w:bCs w:val="1"/>
          <w:color w:val="auto"/>
        </w:rPr>
        <w:t xml:space="preserve">7.2 Severability. </w:t>
      </w:r>
      <w:r>
        <w:rPr>
          <w:rFonts w:ascii="Arial" w:cs="Arial" w:eastAsia="Arial" w:hAnsi="Arial"/>
          <w:sz w:val="17"/>
          <w:szCs w:val="17"/>
          <w:color w:val="auto"/>
        </w:rPr>
        <w:t>If any provision of this Agreement is,</w:t>
      </w:r>
      <w:r>
        <w:rPr>
          <w:rFonts w:ascii="Arial" w:cs="Arial" w:eastAsia="Arial" w:hAnsi="Arial"/>
          <w:sz w:val="17"/>
          <w:szCs w:val="17"/>
          <w:b w:val="1"/>
          <w:bCs w:val="1"/>
          <w:color w:val="auto"/>
        </w:rPr>
        <w:t xml:space="preserve"> </w:t>
      </w:r>
      <w:r>
        <w:rPr>
          <w:rFonts w:ascii="Arial" w:cs="Arial" w:eastAsia="Arial" w:hAnsi="Arial"/>
          <w:sz w:val="17"/>
          <w:szCs w:val="17"/>
          <w:color w:val="auto"/>
        </w:rPr>
        <w:t>for any reason, held to be invalid or unenforceable, the other provisions of this Agreement will remain enforceable and the invalid or unenforceable provision will be deemed modified so that it is valid and enforceable to the maximum extent permitted by law.</w:t>
      </w:r>
    </w:p>
    <w:p>
      <w:pPr>
        <w:spacing w:after="0" w:line="117" w:lineRule="exact"/>
        <w:rPr>
          <w:sz w:val="20"/>
          <w:szCs w:val="20"/>
          <w:color w:val="auto"/>
        </w:rPr>
      </w:pPr>
    </w:p>
    <w:p>
      <w:pPr>
        <w:jc w:val="both"/>
        <w:ind w:left="1" w:firstLine="648"/>
        <w:spacing w:after="0" w:line="220" w:lineRule="auto"/>
        <w:rPr>
          <w:sz w:val="20"/>
          <w:szCs w:val="20"/>
          <w:color w:val="auto"/>
        </w:rPr>
      </w:pPr>
      <w:r>
        <w:rPr>
          <w:rFonts w:ascii="Arial" w:cs="Arial" w:eastAsia="Arial" w:hAnsi="Arial"/>
          <w:sz w:val="18"/>
          <w:szCs w:val="18"/>
          <w:b w:val="1"/>
          <w:bCs w:val="1"/>
          <w:color w:val="auto"/>
        </w:rPr>
        <w:t xml:space="preserve">7.3 Survival. </w:t>
      </w:r>
      <w:r>
        <w:rPr>
          <w:rFonts w:ascii="Arial" w:cs="Arial" w:eastAsia="Arial" w:hAnsi="Arial"/>
          <w:sz w:val="18"/>
          <w:szCs w:val="18"/>
          <w:color w:val="auto"/>
        </w:rPr>
        <w:t>This Agreement shall survive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my employment and the assignment of this Agreement by Company to any successor or other assignee and be binding upon my heirs and legal representatives.</w:t>
      </w:r>
    </w:p>
    <w:p>
      <w:pPr>
        <w:spacing w:after="0" w:line="119" w:lineRule="exact"/>
        <w:rPr>
          <w:sz w:val="20"/>
          <w:szCs w:val="20"/>
          <w:color w:val="auto"/>
        </w:rPr>
      </w:pPr>
    </w:p>
    <w:p>
      <w:pPr>
        <w:jc w:val="both"/>
        <w:ind w:left="1" w:firstLine="648"/>
        <w:spacing w:after="0" w:line="230" w:lineRule="auto"/>
        <w:rPr>
          <w:sz w:val="20"/>
          <w:szCs w:val="20"/>
          <w:color w:val="auto"/>
        </w:rPr>
      </w:pPr>
      <w:r>
        <w:rPr>
          <w:rFonts w:ascii="Arial" w:cs="Arial" w:eastAsia="Arial" w:hAnsi="Arial"/>
          <w:sz w:val="17"/>
          <w:szCs w:val="17"/>
          <w:b w:val="1"/>
          <w:bCs w:val="1"/>
          <w:color w:val="auto"/>
        </w:rPr>
        <w:t>7.4 Employment</w:t>
      </w:r>
      <w:r>
        <w:rPr>
          <w:rFonts w:ascii="Arial" w:cs="Arial" w:eastAsia="Arial" w:hAnsi="Arial"/>
          <w:sz w:val="17"/>
          <w:szCs w:val="17"/>
          <w:color w:val="auto"/>
        </w:rPr>
        <w:t>. I agree and understand that nothing in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give me any right to continued employment by Company, and it will not interfere in any way with my right or Company’s right to terminate my employment at any time, with or without cause and with or without advance notice.</w:t>
      </w:r>
    </w:p>
    <w:p>
      <w:pPr>
        <w:spacing w:after="0" w:line="130" w:lineRule="exact"/>
        <w:rPr>
          <w:sz w:val="20"/>
          <w:szCs w:val="20"/>
          <w:color w:val="auto"/>
        </w:rPr>
      </w:pPr>
    </w:p>
    <w:p>
      <w:pPr>
        <w:jc w:val="both"/>
        <w:ind w:left="1" w:firstLine="648"/>
        <w:spacing w:after="0" w:line="221" w:lineRule="auto"/>
        <w:rPr>
          <w:sz w:val="20"/>
          <w:szCs w:val="20"/>
          <w:color w:val="auto"/>
        </w:rPr>
      </w:pPr>
      <w:r>
        <w:rPr>
          <w:rFonts w:ascii="Arial" w:cs="Arial" w:eastAsia="Arial" w:hAnsi="Arial"/>
          <w:sz w:val="17"/>
          <w:szCs w:val="17"/>
          <w:b w:val="1"/>
          <w:bCs w:val="1"/>
          <w:color w:val="auto"/>
        </w:rPr>
        <w:t xml:space="preserve">7.5 Notices. </w:t>
      </w:r>
      <w:r>
        <w:rPr>
          <w:rFonts w:ascii="Arial" w:cs="Arial" w:eastAsia="Arial" w:hAnsi="Arial"/>
          <w:sz w:val="17"/>
          <w:szCs w:val="17"/>
          <w:color w:val="auto"/>
        </w:rPr>
        <w:t>Each party must deliver all notices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required or permitted under this Agreement in writing to the other party at the address listed on the signature page, by courier, by certified or registered mail (postage prepaid and return receipt requested), or by a nationally-recognized express mail service. Notice will be effective upon receipt or refusal of delivery. If delivered by certified or registered mail, notice will be considered to have been given five (5) business days after it was mailed, as evidenced by the postmark. If delivered by courier or express mail service, notice will be considered to have been given on the delivery date reflected by the courier or express mail service receipt.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638873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35" w:lineRule="auto"/>
        <w:rPr>
          <w:sz w:val="20"/>
          <w:szCs w:val="20"/>
          <w:color w:val="auto"/>
        </w:rPr>
      </w:pPr>
      <w:r>
        <w:rPr>
          <w:rFonts w:ascii="Arial" w:cs="Arial" w:eastAsia="Arial" w:hAnsi="Arial"/>
          <w:sz w:val="18"/>
          <w:szCs w:val="18"/>
          <w:color w:val="auto"/>
        </w:rPr>
        <w:t>party may change its address for receipt of notice by giving notice of the change to the other party.</w:t>
      </w:r>
    </w:p>
    <w:p>
      <w:pPr>
        <w:spacing w:after="0" w:line="118"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b w:val="1"/>
          <w:bCs w:val="1"/>
          <w:color w:val="auto"/>
        </w:rPr>
        <w:t>7.6 Injunctive Relief</w:t>
      </w:r>
      <w:r>
        <w:rPr>
          <w:rFonts w:ascii="Arial" w:cs="Arial" w:eastAsia="Arial" w:hAnsi="Arial"/>
          <w:sz w:val="17"/>
          <w:szCs w:val="17"/>
          <w:color w:val="auto"/>
        </w:rPr>
        <w:t>. I acknowledge that, because</w:t>
      </w:r>
      <w:r>
        <w:rPr>
          <w:rFonts w:ascii="Arial" w:cs="Arial" w:eastAsia="Arial" w:hAnsi="Arial"/>
          <w:sz w:val="17"/>
          <w:szCs w:val="17"/>
          <w:b w:val="1"/>
          <w:bCs w:val="1"/>
          <w:color w:val="auto"/>
        </w:rPr>
        <w:t xml:space="preserve"> </w:t>
      </w:r>
      <w:r>
        <w:rPr>
          <w:rFonts w:ascii="Arial" w:cs="Arial" w:eastAsia="Arial" w:hAnsi="Arial"/>
          <w:sz w:val="17"/>
          <w:szCs w:val="17"/>
          <w:color w:val="auto"/>
        </w:rPr>
        <w:t>my services are personal and unique and because I will have access to the Confidential Information of Company, any breach of this Agreement by me would cause irreparable injury to Company for which monetary damages would not be an adequate remedy and, therefore, will entitle Company to injunctive relief (including specific performance). The rights and remedies provided to each party in this Agreement are cumulative and in addition to any other rights and remedies available to such party at law or in equity.</w:t>
      </w:r>
    </w:p>
    <w:p>
      <w:pPr>
        <w:spacing w:after="0" w:line="137"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color w:val="auto"/>
        </w:rPr>
        <w:t xml:space="preserve">7.7 Waiver. </w:t>
      </w:r>
      <w:r>
        <w:rPr>
          <w:rFonts w:ascii="Arial" w:cs="Arial" w:eastAsia="Arial" w:hAnsi="Arial"/>
          <w:sz w:val="18"/>
          <w:szCs w:val="18"/>
          <w:color w:val="auto"/>
        </w:rPr>
        <w:t>Any waiver or failure to enforce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of this Agreement on one occasion will not be deemed a waiver of that provision or any other provision on any other occasion.</w:t>
      </w:r>
    </w:p>
    <w:p>
      <w:pPr>
        <w:spacing w:after="0" w:line="11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8"/>
          <w:szCs w:val="18"/>
          <w:b w:val="1"/>
          <w:bCs w:val="1"/>
          <w:color w:val="auto"/>
        </w:rPr>
        <w:t>7.8 Export</w:t>
      </w:r>
      <w:r>
        <w:rPr>
          <w:rFonts w:ascii="Arial" w:cs="Arial" w:eastAsia="Arial" w:hAnsi="Arial"/>
          <w:sz w:val="18"/>
          <w:szCs w:val="18"/>
          <w:color w:val="auto"/>
        </w:rPr>
        <w:t>. I agree not to export,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any U.S. technical data acquired from Company or any products utilizing such data, to countries outside the United States, because such export could be in violation of the United States export laws or regulations.</w:t>
      </w:r>
    </w:p>
    <w:p>
      <w:pPr>
        <w:spacing w:after="0" w:line="11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b w:val="1"/>
          <w:bCs w:val="1"/>
          <w:color w:val="auto"/>
        </w:rPr>
        <w:t xml:space="preserve">7.9 Entire Agreement. </w:t>
      </w:r>
      <w:r>
        <w:rPr>
          <w:rFonts w:ascii="Arial" w:cs="Arial" w:eastAsia="Arial" w:hAnsi="Arial"/>
          <w:sz w:val="17"/>
          <w:szCs w:val="17"/>
          <w:color w:val="auto"/>
        </w:rPr>
        <w:t>If no other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governs nondisclosure and assignment of inventions during any period in which I was previously employed or am in the future employed by Company as an independent contractor, the obligations pursuant to sections of this Agreement titled “Confidential Information Protections” and “Inventions” shall apply. This Agreement is the final, complete and exclusive agreement of the parties with respect to the subject matter hereof and supersedes and merges all prior communications between us with respect to such matters. No modification of or amendment to this Agreement, or any waiver of any rights under this Agreement, will be effective unless in writing and signed by me and the CEO of Company. Any subsequent change or changes in my duties, salary or compensation will not affect the validity or scope of this Agreement.</w:t>
      </w:r>
    </w:p>
    <w:p>
      <w:pPr>
        <w:sectPr>
          <w:pgSz w:w="11900" w:h="16838" w:orient="portrait"/>
          <w:cols w:equalWidth="0" w:num="2">
            <w:col w:w="5061" w:space="200"/>
            <w:col w:w="4800"/>
          </w:cols>
          <w:pgMar w:left="919" w:top="108" w:right="919" w:bottom="1440" w:gutter="0" w:footer="0" w:header="0"/>
        </w:sectPr>
      </w:pPr>
    </w:p>
    <w:bookmarkStart w:id="69" w:name="page70"/>
    <w:bookmarkEnd w:id="69"/>
    <w:p>
      <w:pPr>
        <w:ind w:right="660" w:firstLine="648"/>
        <w:spacing w:after="0" w:line="235" w:lineRule="auto"/>
        <w:rPr>
          <w:sz w:val="20"/>
          <w:szCs w:val="20"/>
          <w:color w:val="auto"/>
        </w:rPr>
      </w:pPr>
      <w:r>
        <w:rPr>
          <w:rFonts w:ascii="Arial" w:cs="Arial" w:eastAsia="Arial" w:hAnsi="Arial"/>
          <w:sz w:val="18"/>
          <w:szCs w:val="18"/>
          <w:color w:val="auto"/>
        </w:rPr>
        <w:t>This Employee Proprietary Information and Inventions Assignment Agreement shall be effective as of the first day of my employment with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EMPLOYEE:</w:t>
            </w:r>
          </w:p>
        </w:tc>
        <w:tc>
          <w:tcPr>
            <w:tcW w:w="5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COMPANY: EVERSPIN TECHNOLOGIES, INC.</w:t>
            </w:r>
          </w:p>
        </w:tc>
      </w:tr>
      <w:tr>
        <w:trPr>
          <w:trHeight w:val="297"/>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  HAVE  READ,  UNDERSTAND,  AND  ACCEPT  THIS</w:t>
            </w:r>
          </w:p>
        </w:tc>
        <w:tc>
          <w:tcPr>
            <w:tcW w:w="52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ACCEPTED AND AGREED:</w:t>
            </w:r>
          </w:p>
        </w:tc>
      </w:tr>
      <w:tr>
        <w:trPr>
          <w:trHeight w:val="176"/>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AGREEMENT   AND   HAVE   BEEN   GIVEN   THE</w:t>
            </w:r>
          </w:p>
        </w:tc>
        <w:tc>
          <w:tcPr>
            <w:tcW w:w="180" w:type="dxa"/>
            <w:vAlign w:val="bottom"/>
          </w:tcPr>
          <w:p>
            <w:pPr>
              <w:spacing w:after="0"/>
              <w:rPr>
                <w:sz w:val="15"/>
                <w:szCs w:val="15"/>
                <w:color w:val="auto"/>
              </w:rPr>
            </w:pPr>
          </w:p>
        </w:tc>
        <w:tc>
          <w:tcPr>
            <w:tcW w:w="5020" w:type="dxa"/>
            <w:vAlign w:val="bottom"/>
          </w:tcPr>
          <w:p>
            <w:pPr>
              <w:spacing w:after="0"/>
              <w:rPr>
                <w:sz w:val="15"/>
                <w:szCs w:val="15"/>
                <w:color w:val="auto"/>
              </w:rPr>
            </w:pPr>
          </w:p>
        </w:tc>
      </w:tr>
      <w:tr>
        <w:trPr>
          <w:trHeight w:val="176"/>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OPPORTUNITY TO REVIEW IT WITH INDEPENDENT</w:t>
            </w:r>
          </w:p>
        </w:tc>
        <w:tc>
          <w:tcPr>
            <w:tcW w:w="180" w:type="dxa"/>
            <w:vAlign w:val="bottom"/>
          </w:tcPr>
          <w:p>
            <w:pPr>
              <w:spacing w:after="0"/>
              <w:rPr>
                <w:sz w:val="15"/>
                <w:szCs w:val="15"/>
                <w:color w:val="auto"/>
              </w:rPr>
            </w:pPr>
          </w:p>
        </w:tc>
        <w:tc>
          <w:tcPr>
            <w:tcW w:w="5020" w:type="dxa"/>
            <w:vAlign w:val="bottom"/>
          </w:tcPr>
          <w:p>
            <w:pPr>
              <w:spacing w:after="0"/>
              <w:rPr>
                <w:sz w:val="15"/>
                <w:szCs w:val="15"/>
                <w:color w:val="auto"/>
              </w:rPr>
            </w:pP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LEGAL COUNSEL.</w:t>
            </w: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95"/>
        </w:trPr>
        <w:tc>
          <w:tcPr>
            <w:tcW w:w="4860" w:type="dxa"/>
            <w:vAlign w:val="bottom"/>
            <w:gridSpan w:val="2"/>
          </w:tcPr>
          <w:p>
            <w:pPr>
              <w:spacing w:after="0"/>
              <w:rPr>
                <w:sz w:val="20"/>
                <w:szCs w:val="20"/>
                <w:color w:val="auto"/>
              </w:rPr>
            </w:pPr>
            <w:r>
              <w:rPr>
                <w:rFonts w:ascii="Arial" w:cs="Arial" w:eastAsia="Arial" w:hAnsi="Arial"/>
                <w:sz w:val="18"/>
                <w:szCs w:val="18"/>
                <w:color w:val="auto"/>
              </w:rPr>
              <w:t>/s/ Scott Sewell</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/s/ Amy McKillip</w:t>
            </w:r>
          </w:p>
        </w:tc>
      </w:tr>
      <w:tr>
        <w:trPr>
          <w:trHeight w:val="224"/>
        </w:trPr>
        <w:tc>
          <w:tcPr>
            <w:tcW w:w="20" w:type="dxa"/>
            <w:vAlign w:val="bottom"/>
          </w:tcPr>
          <w:p>
            <w:pPr>
              <w:spacing w:after="0"/>
              <w:rPr>
                <w:sz w:val="19"/>
                <w:szCs w:val="19"/>
                <w:color w:val="auto"/>
              </w:rPr>
            </w:pPr>
          </w:p>
        </w:tc>
        <w:tc>
          <w:tcPr>
            <w:tcW w:w="4840" w:type="dxa"/>
            <w:vAlign w:val="bottom"/>
            <w:tcBorders>
              <w:top w:val="single" w:sz="8" w:color="auto"/>
            </w:tcBorders>
          </w:tcPr>
          <w:p>
            <w:pPr>
              <w:ind w:left="2000"/>
              <w:spacing w:after="0"/>
              <w:rPr>
                <w:sz w:val="20"/>
                <w:szCs w:val="20"/>
                <w:color w:val="auto"/>
              </w:rPr>
            </w:pPr>
            <w:r>
              <w:rPr>
                <w:rFonts w:ascii="Arial" w:cs="Arial" w:eastAsia="Arial" w:hAnsi="Arial"/>
                <w:sz w:val="18"/>
                <w:szCs w:val="18"/>
                <w:i w:val="1"/>
                <w:iCs w:val="1"/>
                <w:color w:val="auto"/>
              </w:rPr>
              <w:t>(Signature)</w:t>
            </w:r>
          </w:p>
        </w:tc>
        <w:tc>
          <w:tcPr>
            <w:tcW w:w="180" w:type="dxa"/>
            <w:vAlign w:val="bottom"/>
          </w:tcPr>
          <w:p>
            <w:pPr>
              <w:spacing w:after="0"/>
              <w:rPr>
                <w:sz w:val="19"/>
                <w:szCs w:val="19"/>
                <w:color w:val="auto"/>
              </w:rPr>
            </w:pPr>
          </w:p>
        </w:tc>
        <w:tc>
          <w:tcPr>
            <w:tcW w:w="5020" w:type="dxa"/>
            <w:vAlign w:val="bottom"/>
            <w:tcBorders>
              <w:top w:val="single" w:sz="8" w:color="auto"/>
            </w:tcBorders>
          </w:tcPr>
          <w:p>
            <w:pPr>
              <w:ind w:left="2100"/>
              <w:spacing w:after="0"/>
              <w:rPr>
                <w:sz w:val="20"/>
                <w:szCs w:val="20"/>
                <w:color w:val="auto"/>
              </w:rPr>
            </w:pPr>
            <w:r>
              <w:rPr>
                <w:rFonts w:ascii="Arial" w:cs="Arial" w:eastAsia="Arial" w:hAnsi="Arial"/>
                <w:sz w:val="18"/>
                <w:szCs w:val="18"/>
                <w:i w:val="1"/>
                <w:iCs w:val="1"/>
                <w:color w:val="auto"/>
              </w:rPr>
              <w:t>(Signature)</w:t>
            </w:r>
          </w:p>
        </w:tc>
      </w:tr>
      <w:tr>
        <w:trPr>
          <w:trHeight w:val="323"/>
        </w:trPr>
        <w:tc>
          <w:tcPr>
            <w:tcW w:w="4860" w:type="dxa"/>
            <w:vAlign w:val="bottom"/>
            <w:gridSpan w:val="2"/>
          </w:tcPr>
          <w:p>
            <w:pPr>
              <w:spacing w:after="0"/>
              <w:rPr>
                <w:sz w:val="20"/>
                <w:szCs w:val="20"/>
                <w:color w:val="auto"/>
              </w:rPr>
            </w:pPr>
            <w:r>
              <w:rPr>
                <w:rFonts w:ascii="Arial" w:cs="Arial" w:eastAsia="Arial" w:hAnsi="Arial"/>
                <w:sz w:val="18"/>
                <w:szCs w:val="18"/>
                <w:color w:val="auto"/>
              </w:rPr>
              <w:t>By: Scott Sewell</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By: Amy McKillip</w:t>
            </w:r>
          </w:p>
        </w:tc>
      </w:tr>
      <w:tr>
        <w:trPr>
          <w:trHeight w:val="351"/>
        </w:trPr>
        <w:tc>
          <w:tcPr>
            <w:tcW w:w="4860" w:type="dxa"/>
            <w:vAlign w:val="bottom"/>
            <w:gridSpan w:val="2"/>
          </w:tcPr>
          <w:p>
            <w:pPr>
              <w:spacing w:after="0"/>
              <w:rPr>
                <w:sz w:val="20"/>
                <w:szCs w:val="20"/>
                <w:color w:val="auto"/>
              </w:rPr>
            </w:pPr>
            <w:r>
              <w:rPr>
                <w:rFonts w:ascii="Arial" w:cs="Arial" w:eastAsia="Arial" w:hAnsi="Arial"/>
                <w:sz w:val="18"/>
                <w:szCs w:val="18"/>
                <w:color w:val="auto"/>
              </w:rPr>
              <w:t>Title: VP of WW Sales</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Title: Accountant</w:t>
            </w:r>
          </w:p>
        </w:tc>
      </w:tr>
      <w:tr>
        <w:trPr>
          <w:trHeight w:val="351"/>
        </w:trPr>
        <w:tc>
          <w:tcPr>
            <w:tcW w:w="4860" w:type="dxa"/>
            <w:vAlign w:val="bottom"/>
            <w:gridSpan w:val="2"/>
          </w:tcPr>
          <w:p>
            <w:pPr>
              <w:spacing w:after="0"/>
              <w:rPr>
                <w:sz w:val="20"/>
                <w:szCs w:val="20"/>
                <w:color w:val="auto"/>
              </w:rPr>
            </w:pPr>
            <w:r>
              <w:rPr>
                <w:rFonts w:ascii="Arial" w:cs="Arial" w:eastAsia="Arial" w:hAnsi="Arial"/>
                <w:sz w:val="18"/>
                <w:szCs w:val="18"/>
                <w:color w:val="auto"/>
              </w:rPr>
              <w:t>Date: 9/7/10</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rPr>
              <w:t>Date: 9/7/10</w:t>
            </w:r>
          </w:p>
        </w:tc>
      </w:tr>
      <w:tr>
        <w:trPr>
          <w:trHeight w:val="351"/>
        </w:trPr>
        <w:tc>
          <w:tcPr>
            <w:tcW w:w="4860" w:type="dxa"/>
            <w:vAlign w:val="bottom"/>
            <w:gridSpan w:val="2"/>
          </w:tcPr>
          <w:p>
            <w:pPr>
              <w:spacing w:after="0"/>
              <w:rPr>
                <w:sz w:val="20"/>
                <w:szCs w:val="20"/>
                <w:color w:val="auto"/>
              </w:rPr>
            </w:pPr>
            <w:r>
              <w:rPr>
                <w:rFonts w:ascii="Arial" w:cs="Arial" w:eastAsia="Arial" w:hAnsi="Arial"/>
                <w:sz w:val="18"/>
                <w:szCs w:val="18"/>
                <w:color w:val="auto"/>
              </w:rPr>
              <w:t>Address: 1300 Alma School Rd, Chandler, AZ 85224</w:t>
            </w:r>
          </w:p>
        </w:tc>
        <w:tc>
          <w:tcPr>
            <w:tcW w:w="5200" w:type="dxa"/>
            <w:vAlign w:val="bottom"/>
            <w:gridSpan w:val="2"/>
          </w:tcPr>
          <w:p>
            <w:pPr>
              <w:ind w:left="180"/>
              <w:spacing w:after="0"/>
              <w:rPr>
                <w:sz w:val="20"/>
                <w:szCs w:val="20"/>
                <w:color w:val="auto"/>
              </w:rPr>
            </w:pPr>
            <w:r>
              <w:rPr>
                <w:rFonts w:ascii="Arial" w:cs="Arial" w:eastAsia="Arial" w:hAnsi="Arial"/>
                <w:sz w:val="18"/>
                <w:szCs w:val="18"/>
                <w:color w:val="auto"/>
                <w:w w:val="93"/>
              </w:rPr>
              <w:t>Address: ______________________________________________</w:t>
            </w:r>
          </w:p>
        </w:tc>
      </w:tr>
      <w:tr>
        <w:trPr>
          <w:trHeight w:val="210"/>
        </w:trPr>
        <w:tc>
          <w:tcPr>
            <w:tcW w:w="2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tcPr>
          <w:p>
            <w:pPr>
              <w:spacing w:after="0"/>
              <w:rPr>
                <w:sz w:val="18"/>
                <w:szCs w:val="18"/>
                <w:color w:val="auto"/>
              </w:rPr>
            </w:pPr>
          </w:p>
        </w:tc>
      </w:tr>
    </w:tbl>
    <w:p>
      <w:pPr>
        <w:sectPr>
          <w:pgSz w:w="11900" w:h="16838" w:orient="portrait"/>
          <w:cols w:equalWidth="0" w:num="1">
            <w:col w:w="10060"/>
          </w:cols>
          <w:pgMar w:left="920" w:top="112" w:right="91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b w:val="1"/>
          <w:bCs w:val="1"/>
          <w:color w:val="auto"/>
        </w:rPr>
        <w:t>EXHIBIT A</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INVENTIONS</w:t>
      </w:r>
    </w:p>
    <w:p>
      <w:pPr>
        <w:spacing w:after="0" w:line="161" w:lineRule="exact"/>
        <w:rPr>
          <w:sz w:val="20"/>
          <w:szCs w:val="20"/>
          <w:color w:val="auto"/>
        </w:rPr>
      </w:pPr>
    </w:p>
    <w:p>
      <w:pPr>
        <w:ind w:left="1" w:hanging="1"/>
        <w:spacing w:after="0" w:line="237" w:lineRule="auto"/>
        <w:tabs>
          <w:tab w:leader="none" w:pos="69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Prior Inventions Disclosure. </w:t>
      </w:r>
      <w:r>
        <w:rPr>
          <w:rFonts w:ascii="Arial" w:cs="Arial" w:eastAsia="Arial" w:hAnsi="Arial"/>
          <w:sz w:val="18"/>
          <w:szCs w:val="18"/>
          <w:color w:val="auto"/>
        </w:rPr>
        <w:t>The following is a complete list of all Prior Inventions (as provided in Section 2.2 of the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Proprietary Information and Inventions Assignment Agreement, defined herein as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1301" w:hanging="652"/>
        <w:spacing w:after="0"/>
        <w:tabs>
          <w:tab w:leader="none" w:pos="1301" w:val="left"/>
        </w:tabs>
        <w:numPr>
          <w:ilvl w:val="1"/>
          <w:numId w:val="15"/>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44" w:lineRule="exact"/>
        <w:rPr>
          <w:rFonts w:ascii="MS PGothic" w:cs="MS PGothic" w:eastAsia="MS PGothic" w:hAnsi="MS PGothic"/>
          <w:sz w:val="18"/>
          <w:szCs w:val="18"/>
          <w:color w:val="auto"/>
        </w:rPr>
      </w:pPr>
    </w:p>
    <w:p>
      <w:pPr>
        <w:ind w:left="1301" w:hanging="652"/>
        <w:spacing w:after="0"/>
        <w:tabs>
          <w:tab w:leader="none" w:pos="1301" w:val="left"/>
        </w:tabs>
        <w:numPr>
          <w:ilvl w:val="1"/>
          <w:numId w:val="15"/>
        </w:numPr>
        <w:rPr>
          <w:rFonts w:ascii="MS PGothic" w:cs="MS PGothic" w:eastAsia="MS PGothic" w:hAnsi="MS PGothic"/>
          <w:sz w:val="18"/>
          <w:szCs w:val="18"/>
          <w:color w:val="auto"/>
        </w:rPr>
      </w:pPr>
      <w:r>
        <w:rPr>
          <w:rFonts w:ascii="Arial" w:cs="Arial" w:eastAsia="Arial" w:hAnsi="Arial"/>
          <w:sz w:val="18"/>
          <w:szCs w:val="18"/>
          <w:color w:val="auto"/>
        </w:rPr>
        <w:t>See immediately below:</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69" w:lineRule="exact"/>
        <w:rPr>
          <w:rFonts w:ascii="MS PGothic" w:cs="MS PGothic" w:eastAsia="MS PGothic" w:hAnsi="MS PGothic"/>
          <w:sz w:val="18"/>
          <w:szCs w:val="18"/>
          <w:color w:val="auto"/>
        </w:rPr>
      </w:pPr>
    </w:p>
    <w:p>
      <w:pPr>
        <w:ind w:left="621" w:hanging="621"/>
        <w:spacing w:after="0"/>
        <w:tabs>
          <w:tab w:leader="none" w:pos="62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Limited Exclusion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-230505</wp:posOffset>
            </wp:positionV>
            <wp:extent cx="60032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03290" cy="889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-462280</wp:posOffset>
            </wp:positionV>
            <wp:extent cx="60032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03290" cy="8890"/>
                    </a:xfrm>
                    <a:prstGeom prst="rect">
                      <a:avLst/>
                    </a:prstGeom>
                    <a:noFill/>
                  </pic:spPr>
                </pic:pic>
              </a:graphicData>
            </a:graphic>
          </wp:anchor>
        </w:drawing>
      </w:r>
    </w:p>
    <w:p>
      <w:pPr>
        <w:spacing w:after="0" w:line="124" w:lineRule="exact"/>
        <w:rPr>
          <w:sz w:val="20"/>
          <w:szCs w:val="20"/>
          <w:color w:val="auto"/>
        </w:rPr>
      </w:pPr>
    </w:p>
    <w:p>
      <w:pPr>
        <w:jc w:val="both"/>
        <w:ind w:left="1" w:firstLine="648"/>
        <w:spacing w:after="0" w:line="239" w:lineRule="auto"/>
        <w:rPr>
          <w:sz w:val="20"/>
          <w:szCs w:val="20"/>
          <w:color w:val="auto"/>
        </w:rPr>
      </w:pPr>
      <w:r>
        <w:rPr>
          <w:rFonts w:ascii="Arial" w:cs="Arial" w:eastAsia="Arial" w:hAnsi="Arial"/>
          <w:sz w:val="17"/>
          <w:szCs w:val="17"/>
          <w:b w:val="1"/>
          <w:bCs w:val="1"/>
          <w:color w:val="auto"/>
        </w:rPr>
        <w:t xml:space="preserve">THIS IS TO NOTIFY </w:t>
      </w:r>
      <w:r>
        <w:rPr>
          <w:rFonts w:ascii="Arial" w:cs="Arial" w:eastAsia="Arial" w:hAnsi="Arial"/>
          <w:sz w:val="17"/>
          <w:szCs w:val="17"/>
          <w:color w:val="auto"/>
        </w:rPr>
        <w:t>you in accordance with any applicable Specific Inventions Law that the foregoing Agreement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you and Company does not require you to assign or offer to assign to Company any Invention that you develop entirely on your own time without using Company’s equipment, supplies, facilities or trade secret information, except for those Inventions that either:</w:t>
      </w:r>
    </w:p>
    <w:p>
      <w:pPr>
        <w:spacing w:after="0" w:line="136" w:lineRule="exact"/>
        <w:rPr>
          <w:sz w:val="20"/>
          <w:szCs w:val="20"/>
          <w:color w:val="auto"/>
        </w:rPr>
      </w:pPr>
    </w:p>
    <w:p>
      <w:pPr>
        <w:ind w:left="1" w:firstLine="648"/>
        <w:spacing w:after="0" w:line="235" w:lineRule="auto"/>
        <w:tabs>
          <w:tab w:leader="none" w:pos="135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Relate at the time of conception or reduction to practice to Company’s business, or actual or demonstrably anticipated research or development; or</w:t>
      </w:r>
    </w:p>
    <w:p>
      <w:pPr>
        <w:spacing w:after="0" w:line="121" w:lineRule="exact"/>
        <w:rPr>
          <w:rFonts w:ascii="Arial" w:cs="Arial" w:eastAsia="Arial" w:hAnsi="Arial"/>
          <w:sz w:val="18"/>
          <w:szCs w:val="18"/>
          <w:b w:val="1"/>
          <w:bCs w:val="1"/>
          <w:color w:val="auto"/>
        </w:rPr>
      </w:pPr>
    </w:p>
    <w:p>
      <w:pPr>
        <w:ind w:left="1241" w:hanging="592"/>
        <w:spacing w:after="0"/>
        <w:tabs>
          <w:tab w:leader="none" w:pos="1241"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Result from any work performed by you for Company.</w:t>
      </w:r>
    </w:p>
    <w:p>
      <w:pPr>
        <w:spacing w:after="0" w:line="144" w:lineRule="exact"/>
        <w:rPr>
          <w:sz w:val="20"/>
          <w:szCs w:val="20"/>
          <w:color w:val="auto"/>
        </w:rPr>
      </w:pPr>
    </w:p>
    <w:p>
      <w:pPr>
        <w:ind w:left="1" w:firstLine="648"/>
        <w:spacing w:after="0" w:line="235" w:lineRule="auto"/>
        <w:rPr>
          <w:sz w:val="20"/>
          <w:szCs w:val="20"/>
          <w:color w:val="auto"/>
        </w:rPr>
      </w:pPr>
      <w:r>
        <w:rPr>
          <w:rFonts w:ascii="Arial" w:cs="Arial" w:eastAsia="Arial" w:hAnsi="Arial"/>
          <w:sz w:val="18"/>
          <w:szCs w:val="18"/>
          <w:color w:val="auto"/>
        </w:rPr>
        <w:t>To the extent a provision in the foregoing Agreement purports to require you to assign an Invention otherwise excluded from the preceding paragraph, the provision is against the public policy of this state and is unenforceable.</w:t>
      </w:r>
    </w:p>
    <w:p>
      <w:pPr>
        <w:spacing w:after="0" w:line="135" w:lineRule="exact"/>
        <w:rPr>
          <w:sz w:val="20"/>
          <w:szCs w:val="20"/>
          <w:color w:val="auto"/>
        </w:rPr>
      </w:pPr>
    </w:p>
    <w:p>
      <w:pPr>
        <w:ind w:left="1" w:firstLine="648"/>
        <w:spacing w:after="0" w:line="235" w:lineRule="auto"/>
        <w:rPr>
          <w:sz w:val="20"/>
          <w:szCs w:val="20"/>
          <w:color w:val="auto"/>
        </w:rPr>
      </w:pPr>
      <w:r>
        <w:rPr>
          <w:rFonts w:ascii="Arial" w:cs="Arial" w:eastAsia="Arial" w:hAnsi="Arial"/>
          <w:sz w:val="18"/>
          <w:szCs w:val="18"/>
          <w:color w:val="auto"/>
        </w:rPr>
        <w:t>This limited exclusion does not apply to any patent or Invention covered by a contract between Company and the United States or any of its agencies requiring full title to such patent or Invention to be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638873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98" w:right="9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Phillip LoPresti, certify that:</w:t>
      </w:r>
    </w:p>
    <w:p>
      <w:pPr>
        <w:spacing w:after="0" w:line="144"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340" w:hanging="317"/>
        <w:spacing w:after="0" w:line="258"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jc w:val="both"/>
        <w:ind w:left="320" w:firstLine="7"/>
        <w:spacing w:after="0" w:line="219" w:lineRule="auto"/>
        <w:tabs>
          <w:tab w:leader="none" w:pos="57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9"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320" w:firstLine="7"/>
        <w:spacing w:after="0" w:line="219" w:lineRule="auto"/>
        <w:tabs>
          <w:tab w:leader="none" w:pos="5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320" w:firstLine="7"/>
        <w:spacing w:after="0" w:line="224" w:lineRule="auto"/>
        <w:tabs>
          <w:tab w:leader="none" w:pos="59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320" w:firstLine="7"/>
        <w:spacing w:after="0" w:line="235" w:lineRule="auto"/>
        <w:tabs>
          <w:tab w:leader="none" w:pos="581"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15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Phillip LoPresti</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3217545</wp:posOffset>
            </wp:positionH>
            <wp:positionV relativeFrom="paragraph">
              <wp:posOffset>-121920</wp:posOffset>
            </wp:positionV>
            <wp:extent cx="2538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Jeffrey Winzeler, certify that:</w:t>
      </w:r>
    </w:p>
    <w:p>
      <w:pPr>
        <w:spacing w:after="0" w:line="144"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Form 10-Q of Everspin Technologies, Inc.;</w:t>
      </w:r>
    </w:p>
    <w:p>
      <w:pPr>
        <w:spacing w:after="0" w:line="144" w:lineRule="exact"/>
        <w:rPr>
          <w:rFonts w:ascii="Arial" w:cs="Arial" w:eastAsia="Arial" w:hAnsi="Arial"/>
          <w:sz w:val="18"/>
          <w:szCs w:val="18"/>
          <w:color w:val="auto"/>
        </w:rPr>
      </w:pPr>
    </w:p>
    <w:p>
      <w:pPr>
        <w:ind w:left="660" w:right="3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2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hanging="333"/>
        <w:spacing w:after="0" w:line="25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06" w:lineRule="exact"/>
        <w:rPr>
          <w:rFonts w:ascii="Arial" w:cs="Arial" w:eastAsia="Arial" w:hAnsi="Arial"/>
          <w:sz w:val="17"/>
          <w:szCs w:val="17"/>
          <w:color w:val="auto"/>
        </w:rPr>
      </w:pPr>
    </w:p>
    <w:p>
      <w:pPr>
        <w:jc w:val="both"/>
        <w:ind w:left="980" w:hanging="329"/>
        <w:spacing w:after="0" w:line="21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left="980" w:hanging="329"/>
        <w:spacing w:after="0" w:line="219"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660" w:right="80" w:hanging="333"/>
        <w:spacing w:after="0" w:line="22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jc w:val="both"/>
        <w:ind w:left="980" w:hanging="329"/>
        <w:spacing w:after="0" w:line="22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980" w:hanging="329"/>
        <w:spacing w:after="0" w:line="235"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 Jeffrey Winzeler</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-121920</wp:posOffset>
            </wp:positionV>
            <wp:extent cx="23926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89"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Phillip LoPresti, President and Chief Executive Officer of Everspin Technologies, Inc. (the “Company”), and Jeffrey Winzeler, Chief Financial Officer of the Company, each hereby certifies that, to the best of his knowledge:</w:t>
      </w:r>
    </w:p>
    <w:p>
      <w:pPr>
        <w:spacing w:after="0" w:line="163" w:lineRule="exact"/>
        <w:rPr>
          <w:sz w:val="20"/>
          <w:szCs w:val="20"/>
          <w:color w:val="auto"/>
        </w:rPr>
      </w:pPr>
    </w:p>
    <w:p>
      <w:pPr>
        <w:ind w:right="60" w:firstLine="3"/>
        <w:spacing w:after="0" w:line="22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2017, to which this Certification is attached as Exhibit 32.1 (the “Periodic Report”), fully complies with the requirements of Section 13(a) or Section 15(d) of the Exchange Act; and</w:t>
      </w:r>
    </w:p>
    <w:p>
      <w:pPr>
        <w:spacing w:after="0" w:line="163" w:lineRule="exact"/>
        <w:rPr>
          <w:rFonts w:ascii="Arial" w:cs="Arial" w:eastAsia="Arial" w:hAnsi="Arial"/>
          <w:sz w:val="18"/>
          <w:szCs w:val="18"/>
          <w:color w:val="auto"/>
        </w:rPr>
      </w:pPr>
    </w:p>
    <w:p>
      <w:pPr>
        <w:ind w:right="20" w:firstLine="3"/>
        <w:spacing w:after="0" w:line="235"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2017</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Phillip LoPresti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857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857885"/>
                    </a:xfrm>
                    <a:prstGeom prst="rect">
                      <a:avLst/>
                    </a:prstGeom>
                    <a:noFill/>
                  </pic:spPr>
                </pic:pic>
              </a:graphicData>
            </a:graphic>
          </wp:anchor>
        </w:drawing>
      </w:r>
    </w:p>
    <w:p>
      <w:pPr>
        <w:ind w:left="5440"/>
        <w:spacing w:after="0" w:line="232" w:lineRule="auto"/>
        <w:rPr>
          <w:sz w:val="20"/>
          <w:szCs w:val="20"/>
          <w:color w:val="auto"/>
        </w:rPr>
      </w:pPr>
      <w:r>
        <w:rPr>
          <w:rFonts w:ascii="Arial" w:cs="Arial" w:eastAsia="Arial" w:hAnsi="Arial"/>
          <w:sz w:val="18"/>
          <w:szCs w:val="18"/>
          <w:color w:val="auto"/>
        </w:rPr>
        <w:t>Phillip LoPresti</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7"/>
          <w:szCs w:val="17"/>
          <w:i w:val="1"/>
          <w:iCs w:val="1"/>
          <w:color w:val="auto"/>
        </w:rPr>
        <w:t>President, Chief Executive Officer and Director</w:t>
      </w:r>
    </w:p>
    <w:p>
      <w:pPr>
        <w:spacing w:after="0" w:line="16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Jeffrey Winzeler</w:t>
      </w:r>
    </w:p>
    <w:p>
      <w:pPr>
        <w:ind w:left="5440"/>
        <w:spacing w:after="0" w:line="232" w:lineRule="auto"/>
        <w:rPr>
          <w:sz w:val="20"/>
          <w:szCs w:val="20"/>
          <w:color w:val="auto"/>
        </w:rPr>
      </w:pPr>
      <w:r>
        <w:rPr>
          <w:rFonts w:ascii="Arial" w:cs="Arial" w:eastAsia="Arial" w:hAnsi="Arial"/>
          <w:sz w:val="18"/>
          <w:szCs w:val="18"/>
          <w:color w:val="auto"/>
        </w:rPr>
        <w:t>Jeffrey Winzeler</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Chief Financial Officer</w:t>
      </w:r>
    </w:p>
    <w:p>
      <w:pPr>
        <w:spacing w:after="0" w:line="14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decimal"/>
      <w:start w:val="3"/>
    </w:lvl>
  </w:abstractNum>
  <w:abstractNum w:abstractNumId="12">
    <w:nsid w:val="6B68079A"/>
    <w:multiLevelType w:val="hybridMultilevel"/>
    <w:lvl w:ilvl="0">
      <w:lvlJc w:val="left"/>
      <w:lvlText w:val="%1."/>
      <w:numFmt w:val="decimal"/>
      <w:start w:val="6"/>
    </w:lvl>
  </w:abstractNum>
  <w:abstractNum w:abstractNumId="13">
    <w:nsid w:val="4E6AFB66"/>
    <w:multiLevelType w:val="hybridMultilevel"/>
    <w:lvl w:ilvl="0">
      <w:lvlJc w:val="left"/>
      <w:lvlText w:val="%1."/>
      <w:numFmt w:val="decimal"/>
      <w:start w:val="7"/>
    </w:lvl>
  </w:abstractNum>
  <w:abstractNum w:abstractNumId="14">
    <w:nsid w:val="25E45D32"/>
    <w:multiLevelType w:val="hybridMultilevel"/>
    <w:lvl w:ilvl="0">
      <w:lvlJc w:val="left"/>
      <w:lvlText w:val="%1."/>
      <w:numFmt w:val="decimal"/>
      <w:start w:val="1"/>
    </w:lvl>
    <w:lvl w:ilvl="1">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2019-12-29T04:56:02Z</dcterms:created>
  <dcterms:modified xsi:type="dcterms:W3CDTF">2019-12-29T04:56:02Z</dcterms:modified>
</cp:coreProperties>
</file>