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November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Everspin Technologies,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3320" w:type="dxa"/>
            <w:vAlign w:val="bottom"/>
          </w:tcPr>
          <w:p>
            <w:pPr>
              <w:jc w:val="center"/>
              <w:ind w:right="981"/>
              <w:spacing w:after="0"/>
              <w:rPr>
                <w:sz w:val="20"/>
                <w:szCs w:val="20"/>
                <w:color w:val="auto"/>
              </w:rPr>
            </w:pPr>
            <w:r>
              <w:rPr>
                <w:rFonts w:ascii="Arial" w:cs="Arial" w:eastAsia="Arial" w:hAnsi="Arial"/>
                <w:sz w:val="20"/>
                <w:szCs w:val="20"/>
                <w:b w:val="1"/>
                <w:bCs w:val="1"/>
                <w:color w:val="auto"/>
                <w:w w:val="91"/>
              </w:rPr>
              <w:t>Delaware</w:t>
            </w:r>
          </w:p>
        </w:tc>
        <w:tc>
          <w:tcPr>
            <w:tcW w:w="3400" w:type="dxa"/>
            <w:vAlign w:val="bottom"/>
          </w:tcPr>
          <w:p>
            <w:pPr>
              <w:jc w:val="center"/>
              <w:ind w:right="1"/>
              <w:spacing w:after="0"/>
              <w:rPr>
                <w:sz w:val="20"/>
                <w:szCs w:val="20"/>
                <w:color w:val="auto"/>
              </w:rPr>
            </w:pPr>
            <w:r>
              <w:rPr>
                <w:rFonts w:ascii="Arial" w:cs="Arial" w:eastAsia="Arial" w:hAnsi="Arial"/>
                <w:sz w:val="20"/>
                <w:szCs w:val="20"/>
                <w:b w:val="1"/>
                <w:bCs w:val="1"/>
                <w:color w:val="auto"/>
                <w:w w:val="89"/>
              </w:rPr>
              <w:t>001-37900</w:t>
            </w:r>
          </w:p>
        </w:tc>
        <w:tc>
          <w:tcPr>
            <w:tcW w:w="2740" w:type="dxa"/>
            <w:vAlign w:val="bottom"/>
          </w:tcPr>
          <w:p>
            <w:pPr>
              <w:jc w:val="center"/>
              <w:ind w:left="1081"/>
              <w:spacing w:after="0"/>
              <w:rPr>
                <w:sz w:val="20"/>
                <w:szCs w:val="20"/>
                <w:color w:val="auto"/>
              </w:rPr>
            </w:pPr>
            <w:r>
              <w:rPr>
                <w:rFonts w:ascii="Arial" w:cs="Arial" w:eastAsia="Arial" w:hAnsi="Arial"/>
                <w:sz w:val="20"/>
                <w:szCs w:val="20"/>
                <w:b w:val="1"/>
                <w:bCs w:val="1"/>
                <w:color w:val="auto"/>
                <w:w w:val="89"/>
              </w:rPr>
              <w:t>26-2640654</w:t>
            </w:r>
          </w:p>
        </w:tc>
      </w:tr>
      <w:tr>
        <w:trPr>
          <w:trHeight w:val="230"/>
        </w:trPr>
        <w:tc>
          <w:tcPr>
            <w:tcW w:w="3320" w:type="dxa"/>
            <w:vAlign w:val="bottom"/>
          </w:tcPr>
          <w:p>
            <w:pPr>
              <w:jc w:val="center"/>
              <w:ind w:right="961"/>
              <w:spacing w:after="0"/>
              <w:rPr>
                <w:sz w:val="20"/>
                <w:szCs w:val="20"/>
                <w:color w:val="auto"/>
              </w:rPr>
            </w:pPr>
            <w:r>
              <w:rPr>
                <w:rFonts w:ascii="Arial" w:cs="Arial" w:eastAsia="Arial" w:hAnsi="Arial"/>
                <w:sz w:val="20"/>
                <w:szCs w:val="20"/>
                <w:b w:val="1"/>
                <w:bCs w:val="1"/>
                <w:color w:val="auto"/>
                <w:w w:val="90"/>
              </w:rPr>
              <w:t>(State or other jurisdiction</w:t>
            </w:r>
          </w:p>
        </w:tc>
        <w:tc>
          <w:tcPr>
            <w:tcW w:w="3400" w:type="dxa"/>
            <w:vAlign w:val="bottom"/>
          </w:tcPr>
          <w:p>
            <w:pPr>
              <w:jc w:val="center"/>
              <w:ind w:right="1"/>
              <w:spacing w:after="0"/>
              <w:rPr>
                <w:sz w:val="20"/>
                <w:szCs w:val="20"/>
                <w:color w:val="auto"/>
              </w:rPr>
            </w:pPr>
            <w:r>
              <w:rPr>
                <w:rFonts w:ascii="Arial" w:cs="Arial" w:eastAsia="Arial" w:hAnsi="Arial"/>
                <w:sz w:val="20"/>
                <w:szCs w:val="20"/>
                <w:b w:val="1"/>
                <w:bCs w:val="1"/>
                <w:color w:val="auto"/>
                <w:w w:val="86"/>
              </w:rPr>
              <w:t>(Commission</w:t>
            </w:r>
          </w:p>
        </w:tc>
        <w:tc>
          <w:tcPr>
            <w:tcW w:w="2740" w:type="dxa"/>
            <w:vAlign w:val="bottom"/>
          </w:tcPr>
          <w:p>
            <w:pPr>
              <w:jc w:val="center"/>
              <w:ind w:left="1041"/>
              <w:spacing w:after="0"/>
              <w:rPr>
                <w:sz w:val="20"/>
                <w:szCs w:val="20"/>
                <w:color w:val="auto"/>
              </w:rPr>
            </w:pPr>
            <w:r>
              <w:rPr>
                <w:rFonts w:ascii="Arial" w:cs="Arial" w:eastAsia="Arial" w:hAnsi="Arial"/>
                <w:sz w:val="20"/>
                <w:szCs w:val="20"/>
                <w:b w:val="1"/>
                <w:bCs w:val="1"/>
                <w:color w:val="auto"/>
                <w:w w:val="93"/>
              </w:rPr>
              <w:t>(IRS Employer</w:t>
            </w:r>
          </w:p>
        </w:tc>
      </w:tr>
      <w:tr>
        <w:trPr>
          <w:trHeight w:val="256"/>
        </w:trPr>
        <w:tc>
          <w:tcPr>
            <w:tcW w:w="3320" w:type="dxa"/>
            <w:vAlign w:val="bottom"/>
          </w:tcPr>
          <w:p>
            <w:pPr>
              <w:jc w:val="center"/>
              <w:ind w:right="981"/>
              <w:spacing w:after="0"/>
              <w:rPr>
                <w:sz w:val="20"/>
                <w:szCs w:val="20"/>
                <w:color w:val="auto"/>
              </w:rPr>
            </w:pPr>
            <w:r>
              <w:rPr>
                <w:rFonts w:ascii="Arial" w:cs="Arial" w:eastAsia="Arial" w:hAnsi="Arial"/>
                <w:sz w:val="20"/>
                <w:szCs w:val="20"/>
                <w:b w:val="1"/>
                <w:bCs w:val="1"/>
                <w:color w:val="auto"/>
                <w:w w:val="89"/>
              </w:rPr>
              <w:t>of incorporation)</w:t>
            </w:r>
          </w:p>
        </w:tc>
        <w:tc>
          <w:tcPr>
            <w:tcW w:w="3400" w:type="dxa"/>
            <w:vAlign w:val="bottom"/>
          </w:tcPr>
          <w:p>
            <w:pPr>
              <w:jc w:val="center"/>
              <w:ind w:right="1"/>
              <w:spacing w:after="0"/>
              <w:rPr>
                <w:sz w:val="20"/>
                <w:szCs w:val="20"/>
                <w:color w:val="auto"/>
              </w:rPr>
            </w:pPr>
            <w:r>
              <w:rPr>
                <w:rFonts w:ascii="Arial" w:cs="Arial" w:eastAsia="Arial" w:hAnsi="Arial"/>
                <w:sz w:val="20"/>
                <w:szCs w:val="20"/>
                <w:b w:val="1"/>
                <w:bCs w:val="1"/>
                <w:color w:val="auto"/>
                <w:w w:val="93"/>
              </w:rPr>
              <w:t>File Number)</w:t>
            </w:r>
          </w:p>
        </w:tc>
        <w:tc>
          <w:tcPr>
            <w:tcW w:w="2740" w:type="dxa"/>
            <w:vAlign w:val="bottom"/>
          </w:tcPr>
          <w:p>
            <w:pPr>
              <w:jc w:val="center"/>
              <w:ind w:left="1081"/>
              <w:spacing w:after="0"/>
              <w:rPr>
                <w:sz w:val="20"/>
                <w:szCs w:val="20"/>
                <w:color w:val="auto"/>
              </w:rPr>
            </w:pPr>
            <w:r>
              <w:rPr>
                <w:rFonts w:ascii="Arial" w:cs="Arial" w:eastAsia="Arial" w:hAnsi="Arial"/>
                <w:sz w:val="20"/>
                <w:szCs w:val="20"/>
                <w:b w:val="1"/>
                <w:bCs w:val="1"/>
                <w:color w:val="auto"/>
                <w:w w:val="92"/>
              </w:rPr>
              <w:t>Identification No.)</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5670 W. Chandler Blvd.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Suite 100</w:t>
      </w:r>
    </w:p>
    <w:p>
      <w:pPr>
        <w:jc w:val="center"/>
        <w:spacing w:after="0"/>
        <w:rPr>
          <w:sz w:val="20"/>
          <w:szCs w:val="20"/>
          <w:color w:val="auto"/>
        </w:rPr>
      </w:pPr>
      <w:r>
        <w:rPr>
          <w:rFonts w:ascii="Arial" w:cs="Arial" w:eastAsia="Arial" w:hAnsi="Arial"/>
          <w:sz w:val="20"/>
          <w:szCs w:val="20"/>
          <w:b w:val="1"/>
          <w:bCs w:val="1"/>
          <w:color w:val="auto"/>
        </w:rPr>
        <w:t>Chandler, Arizona 85226</w:t>
      </w:r>
    </w:p>
    <w:p>
      <w:pPr>
        <w:jc w:val="center"/>
        <w:spacing w:after="0"/>
        <w:rPr>
          <w:sz w:val="20"/>
          <w:szCs w:val="20"/>
          <w:color w:val="auto"/>
        </w:rPr>
      </w:pPr>
      <w:r>
        <w:rPr>
          <w:rFonts w:ascii="Arial" w:cs="Arial" w:eastAsia="Arial" w:hAnsi="Arial"/>
          <w:sz w:val="20"/>
          <w:szCs w:val="20"/>
          <w:b w:val="1"/>
          <w:bCs w:val="1"/>
          <w:color w:val="auto"/>
        </w:rPr>
        <w:t>(Address of principal executive offices, including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(480) 347-1111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Title of each class</w:t>
            </w:r>
          </w:p>
        </w:tc>
        <w:tc>
          <w:tcPr>
            <w:tcW w:w="29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1"/>
              </w:rPr>
              <w:t>Trading Symbol(s)</w:t>
            </w:r>
          </w:p>
        </w:tc>
        <w:tc>
          <w:tcPr>
            <w:tcW w:w="42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Common Stock, par value $0.0001</w:t>
            </w:r>
          </w:p>
        </w:tc>
        <w:tc>
          <w:tcPr>
            <w:tcW w:w="2980" w:type="dxa"/>
            <w:vAlign w:val="bottom"/>
          </w:tcPr>
          <w:p>
            <w:pPr>
              <w:jc w:val="center"/>
              <w:ind w:left="90"/>
              <w:spacing w:after="0"/>
              <w:rPr>
                <w:sz w:val="20"/>
                <w:szCs w:val="20"/>
                <w:color w:val="auto"/>
              </w:rPr>
            </w:pPr>
            <w:r>
              <w:rPr>
                <w:rFonts w:ascii="Arial" w:cs="Arial" w:eastAsia="Arial" w:hAnsi="Arial"/>
                <w:sz w:val="18"/>
                <w:szCs w:val="18"/>
                <w:b w:val="1"/>
                <w:bCs w:val="1"/>
                <w:color w:val="auto"/>
              </w:rPr>
              <w:t>MRAM</w:t>
            </w:r>
          </w:p>
        </w:tc>
        <w:tc>
          <w:tcPr>
            <w:tcW w:w="4220" w:type="dxa"/>
            <w:vAlign w:val="bottom"/>
          </w:tcPr>
          <w:p>
            <w:pPr>
              <w:jc w:val="center"/>
              <w:ind w:left="370"/>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97"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17"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0"/>
          <w:szCs w:val="20"/>
          <w:color w:val="auto"/>
        </w:rPr>
      </w:pPr>
    </w:p>
    <w:p>
      <w:pPr>
        <w:ind w:right="20" w:firstLine="405"/>
        <w:spacing w:after="0" w:line="248" w:lineRule="auto"/>
        <w:rPr>
          <w:sz w:val="20"/>
          <w:szCs w:val="20"/>
          <w:color w:val="auto"/>
        </w:rPr>
      </w:pPr>
      <w:r>
        <w:rPr>
          <w:rFonts w:ascii="Arial" w:cs="Arial" w:eastAsia="Arial" w:hAnsi="Arial"/>
          <w:sz w:val="21"/>
          <w:szCs w:val="21"/>
          <w:color w:val="auto"/>
        </w:rPr>
        <w:t>On November 5, 2020, Everspin Technologies, Inc. (the “Company”) issued a press release announcing its results of operations for the quarter ended September 30, 2020,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(the “Securities Act”), or the Exchange Act, except as shall be expressly set forth by specific reference in such a filing.</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ind w:right="200" w:firstLine="405"/>
        <w:spacing w:after="0" w:line="249" w:lineRule="auto"/>
        <w:rPr>
          <w:sz w:val="20"/>
          <w:szCs w:val="20"/>
          <w:color w:val="auto"/>
        </w:rPr>
      </w:pPr>
      <w:r>
        <w:rPr>
          <w:rFonts w:ascii="Arial" w:cs="Arial" w:eastAsia="Arial" w:hAnsi="Arial"/>
          <w:sz w:val="21"/>
          <w:szCs w:val="21"/>
          <w:color w:val="auto"/>
        </w:rPr>
        <w:t>The Company intends to file a replacement shelf registration statement on Form S-3 (the “New Registration Statement”) with the U.S. Securities and Exchange Commission (the “Commission”) to register the offer and sale from time to time of any combination of common stock, preferred stock, debt securities or warrants, in one or more offerings, up to an aggregate amount of $100,000,000. The New Registration Statement will replace the Company’s current registration statement on Form S-3 (File No. 333-221331), which is set to expire on November 13, 2020.</w:t>
      </w:r>
    </w:p>
    <w:p>
      <w:pPr>
        <w:spacing w:after="0" w:line="205" w:lineRule="exact"/>
        <w:rPr>
          <w:sz w:val="20"/>
          <w:szCs w:val="20"/>
          <w:color w:val="auto"/>
        </w:rPr>
      </w:pPr>
    </w:p>
    <w:p>
      <w:pPr>
        <w:ind w:right="100" w:firstLine="405"/>
        <w:spacing w:after="0" w:line="236" w:lineRule="auto"/>
        <w:rPr>
          <w:sz w:val="20"/>
          <w:szCs w:val="20"/>
          <w:color w:val="auto"/>
        </w:rPr>
      </w:pPr>
      <w:r>
        <w:rPr>
          <w:rFonts w:ascii="Arial" w:cs="Arial" w:eastAsia="Arial" w:hAnsi="Arial"/>
          <w:sz w:val="22"/>
          <w:szCs w:val="22"/>
          <w:color w:val="auto"/>
        </w:rPr>
        <w:t>The New Registration Statement has not yet been filed with the Commission. The securities may not be sold and offers to buy may not be accepted prior to the time such registration statement becomes effective. This Current Report on Form 8-K shall not constitute an offer to sell or the solicitation of an offer to buy, nor shall there be any sale of the securities in any state or other jurisdiction in which such offer, solicitation, or sale would be unlawful prior to registration or qualification under the securities laws of any such state or other jurisdiction.</w:t>
      </w:r>
    </w:p>
    <w:p>
      <w:pPr>
        <w:spacing w:after="0" w:line="214" w:lineRule="exact"/>
        <w:rPr>
          <w:sz w:val="20"/>
          <w:szCs w:val="20"/>
          <w:color w:val="auto"/>
        </w:rPr>
      </w:pPr>
    </w:p>
    <w:p>
      <w:pPr>
        <w:jc w:val="both"/>
        <w:ind w:right="140" w:firstLine="405"/>
        <w:spacing w:after="0"/>
        <w:rPr>
          <w:sz w:val="20"/>
          <w:szCs w:val="20"/>
          <w:color w:val="auto"/>
        </w:rPr>
      </w:pPr>
      <w:r>
        <w:rPr>
          <w:rFonts w:ascii="Arial" w:cs="Arial" w:eastAsia="Arial" w:hAnsi="Arial"/>
          <w:sz w:val="22"/>
          <w:szCs w:val="22"/>
          <w:color w:val="auto"/>
        </w:rPr>
        <w:t>The information disclosed under this Item 7.01 shall not be deemed “filed” for purposes of Section 18 of the Exchange Act, or deemed incorporated by reference in any filing under the Securities Act or the Exchange Act, except as shall be expressly set forth by specific reference in such a filing.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200" w:type="dxa"/>
            <w:vAlign w:val="bottom"/>
          </w:tcPr>
          <w:p>
            <w:pPr>
              <w:jc w:val="center"/>
              <w:ind w:right="33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0040" w:type="dxa"/>
            <w:vAlign w:val="bottom"/>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November 5, 2020</w:t>
              </w:r>
            </w:hyperlink>
          </w:p>
        </w:tc>
      </w:tr>
      <w:tr>
        <w:trPr>
          <w:trHeight w:val="432"/>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10040" w:type="dxa"/>
            <w:vAlign w:val="bottom"/>
          </w:tcPr>
          <w:p>
            <w:pPr>
              <w:ind w:left="30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668"/>
        </w:trPr>
        <w:tc>
          <w:tcPr>
            <w:tcW w:w="12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211"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Berenbaum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Daniel Berenbaum</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660"/>
          </w:cols>
          <w:pgMar w:left="320" w:top="355"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Everspin Reports Third Quarter 2020 Financial Results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Achieves Positive Cash Flow From Operations</w:t>
      </w:r>
    </w:p>
    <w:p>
      <w:pPr>
        <w:spacing w:after="0" w:line="206"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CHANDLER, Ariz.--(BUSINESS WIRE)--November 5, 2020--Everspin Technologies, Inc. (NASDAQ: MRAM), the market leader in MRAM, today announced financial results for the third quarter ended September 30,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Highlights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increased 10.3% year-over-year to $10.1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Operating expenses declined 24% over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-91440</wp:posOffset>
            </wp:positionV>
            <wp:extent cx="4254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GAAP net loss per share remained flat at ($0.21) compared to the third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-90805</wp:posOffset>
            </wp:positionV>
            <wp:extent cx="4254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Generated $0.7 million cash flow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-91440</wp:posOffset>
            </wp:positionV>
            <wp:extent cx="4254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Ended quarter with cash and equivalents of $13.9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8" w:lineRule="exact"/>
        <w:rPr>
          <w:sz w:val="20"/>
          <w:szCs w:val="20"/>
          <w:color w:val="auto"/>
        </w:rPr>
      </w:pPr>
    </w:p>
    <w:p>
      <w:pPr>
        <w:jc w:val="both"/>
        <w:ind w:right="140"/>
        <w:spacing w:after="0" w:line="287" w:lineRule="auto"/>
        <w:rPr>
          <w:sz w:val="20"/>
          <w:szCs w:val="20"/>
          <w:color w:val="auto"/>
        </w:rPr>
      </w:pPr>
      <w:r>
        <w:rPr>
          <w:rFonts w:ascii="Arial" w:cs="Arial" w:eastAsia="Arial" w:hAnsi="Arial"/>
          <w:sz w:val="19"/>
          <w:szCs w:val="19"/>
          <w:color w:val="auto"/>
        </w:rPr>
        <w:t>“We are happy to report that in Q3 we achieved our goal of generating cash flow from operations. We hit our target of reducing annual operating expenses by $5 million over last year one quarter ahead of plan, while maintaining our critical R&amp;D programs and key business initiatives,” stated Kevin Conley, Everspin’s President and CEO. “Our emphasis on cash management, product cost, and operational excellence have been fundamental to our continued progress.</w:t>
      </w:r>
    </w:p>
    <w:p>
      <w:pPr>
        <w:spacing w:after="0" w:line="143"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“During the quarter, we started production shipments of our second STT-MRAM design win for a persistent memory card application with an OEM customer that sells into the data center segment. Combined with the expansion of our Toggle product line, we believe that we are well positioned to drive revenue growth as the overall demand for memory and storage increases and applications that benefit from the performance and reliability of MRAM continue to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Third Quarter 2020 Results</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Total revenue for the third quarter of 2020 was $10.1 million, compared to $11.8 million last quarter and $9.2 million in the third quarter of 2019.</w:t>
      </w:r>
    </w:p>
    <w:p>
      <w:pPr>
        <w:spacing w:after="0" w:line="175" w:lineRule="exact"/>
        <w:rPr>
          <w:sz w:val="20"/>
          <w:szCs w:val="20"/>
          <w:color w:val="auto"/>
        </w:rPr>
      </w:pPr>
    </w:p>
    <w:p>
      <w:pPr>
        <w:jc w:val="both"/>
        <w:ind w:right="400"/>
        <w:spacing w:after="0" w:line="297" w:lineRule="auto"/>
        <w:rPr>
          <w:sz w:val="20"/>
          <w:szCs w:val="20"/>
          <w:color w:val="auto"/>
        </w:rPr>
      </w:pPr>
      <w:r>
        <w:rPr>
          <w:rFonts w:ascii="Arial" w:cs="Arial" w:eastAsia="Arial" w:hAnsi="Arial"/>
          <w:sz w:val="19"/>
          <w:szCs w:val="19"/>
          <w:color w:val="auto"/>
        </w:rPr>
        <w:t>GAAP gross margin for the third quarter of 2020 was 23.0%, compared to 43.9% in the prior quarter and 47.4% in the third quarter of 2019. Third quarter gross margin included a $1.7 million non-cash charge related to excess and obsolete inventory reserve , $0.4 million of accelerated depreciation and $0.1 million related to a prior period cost adjustment.</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GAAP operating expenses for the third quarter of 2020 decreased to $6.0 million, compared to $6.3 million in the second quarter of 2020 and $7.9 million in the third quarter of 2019. GAAP operating expenses in each of these periods included $0.9 million of stock-based compensation.</w:t>
      </w:r>
    </w:p>
    <w:p>
      <w:pPr>
        <w:spacing w:after="0" w:line="18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GAAP net loss for the third quarter of 2020 was $3.9 million, or ($0.21) per share, based on 18.9 million weighted-average shares outstanding. This compares to a GAAP net loss of $1.3 million, or ($0.07) per share, in the second quarter of 2020 and a GAAP net loss of $3.7 million, or ($0.21) per share, in the third quarter of 2019.</w:t>
      </w:r>
    </w:p>
    <w:p>
      <w:pPr>
        <w:spacing w:after="0" w:line="186"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Adjusted EBITDA for the third quarter of 2020 was a negative ($2.0) million, compared to a positive $0.2 million last quarter and a negative ($2.2) million in the prior year period.</w:t>
      </w:r>
    </w:p>
    <w:p>
      <w:pPr>
        <w:spacing w:after="0" w:line="175" w:lineRule="exact"/>
        <w:rPr>
          <w:sz w:val="20"/>
          <w:szCs w:val="20"/>
          <w:color w:val="auto"/>
        </w:rPr>
      </w:pPr>
    </w:p>
    <w:p>
      <w:pPr>
        <w:ind w:right="540"/>
        <w:spacing w:after="0" w:line="250" w:lineRule="auto"/>
        <w:rPr>
          <w:sz w:val="20"/>
          <w:szCs w:val="20"/>
          <w:color w:val="auto"/>
        </w:rPr>
      </w:pPr>
      <w:r>
        <w:rPr>
          <w:rFonts w:ascii="Arial" w:cs="Arial" w:eastAsia="Arial" w:hAnsi="Arial"/>
          <w:sz w:val="22"/>
          <w:szCs w:val="22"/>
          <w:color w:val="auto"/>
        </w:rPr>
        <w:t>Cash and cash equivalents as of September 30, 2020 increased to $13.9 million compared to $12.9 million at the end of the second quarter of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For the fourth quarter of 2020, Everspin expects total revenue in a range between $10.1 million and $10.9 million, which at the mid-point represents an 8.7% increase over total revenue of $9.7 million in the year-ago quarter. GAAP net loss per share is expected to range between ($0.10) and ($0.04) per share, which reflects expected stock-based compensation expense of approximately $0.9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Use of Non-GAAP Financial Measures</w:t>
      </w:r>
    </w:p>
    <w:p>
      <w:pPr>
        <w:spacing w:after="0" w:line="212" w:lineRule="exact"/>
        <w:rPr>
          <w:sz w:val="20"/>
          <w:szCs w:val="20"/>
          <w:color w:val="auto"/>
        </w:rPr>
      </w:pPr>
    </w:p>
    <w:p>
      <w:pPr>
        <w:ind w:right="500"/>
        <w:spacing w:after="0" w:line="238" w:lineRule="auto"/>
        <w:rPr>
          <w:sz w:val="20"/>
          <w:szCs w:val="20"/>
          <w:color w:val="auto"/>
        </w:rPr>
      </w:pPr>
      <w:r>
        <w:rPr>
          <w:rFonts w:ascii="Arial" w:cs="Arial" w:eastAsia="Arial" w:hAnsi="Arial"/>
          <w:sz w:val="22"/>
          <w:szCs w:val="22"/>
          <w:color w:val="auto"/>
        </w:rPr>
        <w:t>We supplement the reporting of our financial information determined under generally accepted accounting principles in the United States of America (GAAP) with Adjusted EBIDTA, which is a non-GAAP financial measure. We define Adjusted EBITDA as net income (loss) adjusted for interest expense, taxes, depreciation and amortization, stock-based compensation expense, and restructuring costs if any.</w:t>
      </w:r>
    </w:p>
    <w:p>
      <w:pPr>
        <w:spacing w:after="0" w:line="18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Our management and board of directors use Adjusted EBIDTA to understand and evaluate our operating performance and trends, to prepare and approve our annual budget and to develop short-term and long-term operating and financing plans. Accordingly, our management believes that this non-GAAP measure provide useful information for investors in understanding and evaluating our operating results in the same manner as our management and our board of directors, as well as facilitating comparisons of our operating performance on a period-to-period basis.</w:t>
      </w:r>
    </w:p>
    <w:p>
      <w:pPr>
        <w:spacing w:after="0" w:line="178"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Non-GAAP financial measures, including Adjusted EBIDTA, should not be considered as a substitute for, or superior to, measures of financial performance prepared in accordance with GAAP. Moreover,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Everspin will host a conference call for analysts and investors today at 5:00 p.m. Eastern Time. Interested participants can access the call by dialing 1-844-889-7788 and providing passcode 1460575. International callers may join the call by dialing +1-661-378-9932, using the same code. The call will also be available as a live and archived webcast in the Investor Relations section of the company’s website at investor.everspin.com.</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 telephone replay of the conference call will be available approximately two hours after the call through November 12, 2020. The replay can be accessed by dialing 1-855-859-2056 and using the passcode 1460575. International callers should dial +1-404-537-3406 and enter the same passcode at the prompt.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Everspin Technologies</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www.everspin.com. NASDAQ: MRAM.</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2"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“believe”, “will”, “may”, “estimate”, “continue”, “anticipate”, “intend”, “should”, “plan”, “expect”, “predict”, “could”, “potentially" or the negative of these terms or similar expressions. These include, but are not limited to our future plans, strategies, objectives, expectations, intentions and financial performance and the assumptions that underlie these statements. Actual results could differ materially from these forward-looking statements as a result of certain risks and uncertainties, including, without limitation, the risks set forth in Everspin’s Quarterly Reports on Form 10-Q filed with the Securities and Exchange Commission (the “SEC”) on August 6, 2020 and November 5, 2020 under the caption “Risk Factors” as well as in our other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0"/>
              </w:rPr>
              <w:t>December 31,</w:t>
            </w:r>
          </w:p>
        </w:tc>
      </w:tr>
      <w:tr>
        <w:trPr>
          <w:trHeight w:val="250"/>
        </w:trPr>
        <w:tc>
          <w:tcPr>
            <w:tcW w:w="8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r>
      <w:tr>
        <w:trPr>
          <w:trHeight w:val="243"/>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20" w:type="dxa"/>
            <w:vAlign w:val="bottom"/>
          </w:tcPr>
          <w:p>
            <w:pPr>
              <w:spacing w:after="0"/>
              <w:rPr>
                <w:sz w:val="22"/>
                <w:szCs w:val="22"/>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5,799</w:t>
            </w:r>
          </w:p>
        </w:tc>
        <w:tc>
          <w:tcPr>
            <w:tcW w:w="20" w:type="dxa"/>
            <w:vAlign w:val="bottom"/>
          </w:tcPr>
          <w:p>
            <w:pPr>
              <w:spacing w:after="0"/>
              <w:rPr>
                <w:sz w:val="20"/>
                <w:szCs w:val="20"/>
                <w:color w:val="auto"/>
              </w:rPr>
            </w:pPr>
          </w:p>
        </w:tc>
      </w:tr>
      <w:tr>
        <w:trPr>
          <w:trHeight w:val="25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20" w:type="dxa"/>
            <w:vAlign w:val="bottom"/>
          </w:tcPr>
          <w:p>
            <w:pPr>
              <w:spacing w:after="0"/>
              <w:rPr>
                <w:sz w:val="22"/>
                <w:szCs w:val="22"/>
                <w:color w:val="auto"/>
              </w:rPr>
            </w:pPr>
          </w:p>
        </w:tc>
      </w:tr>
      <w:tr>
        <w:trPr>
          <w:trHeight w:val="243"/>
        </w:trPr>
        <w:tc>
          <w:tcPr>
            <w:tcW w:w="89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21"/>
                <w:szCs w:val="21"/>
                <w:color w:val="auto"/>
              </w:rPr>
            </w:pPr>
          </w:p>
        </w:tc>
      </w:tr>
      <w:tr>
        <w:trPr>
          <w:trHeight w:val="23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20" w:type="dxa"/>
            <w:vAlign w:val="bottom"/>
          </w:tcPr>
          <w:p>
            <w:pPr>
              <w:spacing w:after="0"/>
              <w:rPr>
                <w:sz w:val="20"/>
                <w:szCs w:val="20"/>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Pr>
          <w:p>
            <w:pPr>
              <w:spacing w:after="0"/>
              <w:rPr>
                <w:sz w:val="20"/>
                <w:szCs w:val="20"/>
                <w:color w:val="auto"/>
              </w:rPr>
            </w:pPr>
          </w:p>
        </w:tc>
      </w:tr>
      <w:tr>
        <w:trPr>
          <w:trHeight w:val="25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0" w:type="dxa"/>
            <w:vAlign w:val="bottom"/>
          </w:tcPr>
          <w:p>
            <w:pPr>
              <w:spacing w:after="0"/>
              <w:rPr>
                <w:sz w:val="22"/>
                <w:szCs w:val="22"/>
                <w:color w:val="auto"/>
              </w:rPr>
            </w:pPr>
          </w:p>
        </w:tc>
      </w:tr>
      <w:tr>
        <w:trPr>
          <w:trHeight w:val="243"/>
        </w:trPr>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r>
      <w:tr>
        <w:trPr>
          <w:trHeight w:val="276"/>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c>
          <w:tcPr>
            <w:tcW w:w="20" w:type="dxa"/>
            <w:vAlign w:val="bottom"/>
          </w:tcPr>
          <w:p>
            <w:pPr>
              <w:spacing w:after="0"/>
              <w:rPr>
                <w:sz w:val="24"/>
                <w:szCs w:val="24"/>
                <w:color w:val="auto"/>
              </w:rPr>
            </w:pPr>
          </w:p>
        </w:tc>
      </w:tr>
      <w:tr>
        <w:trPr>
          <w:trHeight w:val="224"/>
        </w:trPr>
        <w:tc>
          <w:tcPr>
            <w:tcW w:w="8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0" w:type="dxa"/>
            <w:vAlign w:val="bottom"/>
          </w:tcPr>
          <w:p>
            <w:pPr>
              <w:spacing w:after="0"/>
              <w:rPr>
                <w:sz w:val="22"/>
                <w:szCs w:val="22"/>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20"/>
                <w:szCs w:val="20"/>
                <w:color w:val="auto"/>
              </w:rPr>
            </w:pPr>
          </w:p>
        </w:tc>
      </w:tr>
      <w:tr>
        <w:trPr>
          <w:trHeight w:val="25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22"/>
                <w:szCs w:val="22"/>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1,582</w:t>
            </w:r>
          </w:p>
        </w:tc>
        <w:tc>
          <w:tcPr>
            <w:tcW w:w="20" w:type="dxa"/>
            <w:vAlign w:val="bottom"/>
          </w:tcPr>
          <w:p>
            <w:pPr>
              <w:spacing w:after="0"/>
              <w:rPr>
                <w:sz w:val="20"/>
                <w:szCs w:val="20"/>
                <w:color w:val="auto"/>
              </w:rPr>
            </w:pPr>
          </w:p>
        </w:tc>
      </w:tr>
      <w:tr>
        <w:trPr>
          <w:trHeight w:val="256"/>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2"/>
                <w:szCs w:val="22"/>
                <w:color w:val="auto"/>
              </w:rPr>
            </w:pPr>
          </w:p>
        </w:tc>
      </w:tr>
      <w:tr>
        <w:trPr>
          <w:trHeight w:val="224"/>
        </w:trPr>
        <w:tc>
          <w:tcPr>
            <w:tcW w:w="89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7,894</w:t>
            </w:r>
          </w:p>
        </w:tc>
        <w:tc>
          <w:tcPr>
            <w:tcW w:w="20" w:type="dxa"/>
            <w:vAlign w:val="bottom"/>
          </w:tcPr>
          <w:p>
            <w:pPr>
              <w:spacing w:after="0"/>
              <w:rPr>
                <w:sz w:val="19"/>
                <w:szCs w:val="19"/>
                <w:color w:val="auto"/>
              </w:rPr>
            </w:pPr>
          </w:p>
        </w:tc>
      </w:tr>
      <w:tr>
        <w:trPr>
          <w:trHeight w:val="25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20" w:type="dxa"/>
            <w:vAlign w:val="bottom"/>
          </w:tcPr>
          <w:p>
            <w:pPr>
              <w:spacing w:after="0"/>
              <w:rPr>
                <w:sz w:val="22"/>
                <w:szCs w:val="22"/>
                <w:color w:val="auto"/>
              </w:rPr>
            </w:pPr>
          </w:p>
        </w:tc>
      </w:tr>
      <w:tr>
        <w:trPr>
          <w:trHeight w:val="243"/>
        </w:trPr>
        <w:tc>
          <w:tcPr>
            <w:tcW w:w="89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Pr>
          <w:p>
            <w:pPr>
              <w:spacing w:after="0"/>
              <w:rPr>
                <w:sz w:val="21"/>
                <w:szCs w:val="21"/>
                <w:color w:val="auto"/>
              </w:rPr>
            </w:pPr>
          </w:p>
        </w:tc>
      </w:tr>
      <w:tr>
        <w:trPr>
          <w:trHeight w:val="236"/>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20" w:type="dxa"/>
            <w:vAlign w:val="bottom"/>
          </w:tcPr>
          <w:p>
            <w:pPr>
              <w:spacing w:after="0"/>
              <w:rPr>
                <w:sz w:val="20"/>
                <w:szCs w:val="20"/>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8980" w:type="dxa"/>
            <w:vAlign w:val="bottom"/>
          </w:tcPr>
          <w:p>
            <w:pPr>
              <w:ind w:left="220"/>
              <w:spacing w:after="0"/>
              <w:rPr>
                <w:sz w:val="20"/>
                <w:szCs w:val="20"/>
                <w:color w:val="auto"/>
              </w:rPr>
            </w:pPr>
            <w:r>
              <w:rPr>
                <w:rFonts w:ascii="Arial" w:cs="Arial" w:eastAsia="Arial" w:hAnsi="Arial"/>
                <w:sz w:val="18"/>
                <w:szCs w:val="18"/>
                <w:color w:val="auto"/>
                <w:w w:val="95"/>
              </w:rPr>
              <w:t>Preferred stock, $0.0001 par value per share; 5,000,000 shares authorized; no shares issued and outstanding 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8980" w:type="dxa"/>
            <w:vAlign w:val="bottom"/>
          </w:tcPr>
          <w:p>
            <w:pPr>
              <w:ind w:left="220"/>
              <w:spacing w:after="0"/>
              <w:rPr>
                <w:sz w:val="20"/>
                <w:szCs w:val="20"/>
                <w:color w:val="auto"/>
              </w:rPr>
            </w:pPr>
            <w:r>
              <w:rPr>
                <w:rFonts w:ascii="Arial" w:cs="Arial" w:eastAsia="Arial" w:hAnsi="Arial"/>
                <w:sz w:val="18"/>
                <w:szCs w:val="18"/>
                <w:color w:val="auto"/>
              </w:rPr>
              <w:t>September 30, 2020 and December 31, 2019</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2"/>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Common stock, $0.0001 par value per share; 100,000,000 shares authorized; 18,970,791 and 18,081,753 shares issued</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as of September 30, 2020 and December 31, 2019</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30"/>
        </w:trPr>
        <w:tc>
          <w:tcPr>
            <w:tcW w:w="89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173,539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167,149</w:t>
            </w:r>
          </w:p>
        </w:tc>
        <w:tc>
          <w:tcPr>
            <w:tcW w:w="20" w:type="dxa"/>
            <w:vAlign w:val="bottom"/>
          </w:tcPr>
          <w:p>
            <w:pPr>
              <w:spacing w:after="0"/>
              <w:rPr>
                <w:sz w:val="20"/>
                <w:szCs w:val="20"/>
                <w:color w:val="auto"/>
              </w:rPr>
            </w:pPr>
          </w:p>
        </w:tc>
      </w:tr>
      <w:tr>
        <w:trPr>
          <w:trHeight w:val="256"/>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(148,662)</w:t>
            </w:r>
          </w:p>
        </w:tc>
        <w:tc>
          <w:tcPr>
            <w:tcW w:w="20" w:type="dxa"/>
            <w:vAlign w:val="bottom"/>
          </w:tcPr>
          <w:p>
            <w:pPr>
              <w:spacing w:after="0"/>
              <w:rPr>
                <w:sz w:val="22"/>
                <w:szCs w:val="22"/>
                <w:color w:val="auto"/>
              </w:rPr>
            </w:pPr>
          </w:p>
        </w:tc>
      </w:tr>
      <w:tr>
        <w:trPr>
          <w:trHeight w:val="236"/>
        </w:trPr>
        <w:tc>
          <w:tcPr>
            <w:tcW w:w="89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18,489</w:t>
            </w:r>
          </w:p>
        </w:tc>
        <w:tc>
          <w:tcPr>
            <w:tcW w:w="20" w:type="dxa"/>
            <w:vAlign w:val="bottom"/>
          </w:tcPr>
          <w:p>
            <w:pPr>
              <w:spacing w:after="0"/>
              <w:rPr>
                <w:sz w:val="20"/>
                <w:szCs w:val="20"/>
                <w:color w:val="auto"/>
              </w:rPr>
            </w:pPr>
          </w:p>
        </w:tc>
      </w:tr>
      <w:tr>
        <w:trPr>
          <w:trHeight w:val="277"/>
        </w:trPr>
        <w:tc>
          <w:tcPr>
            <w:tcW w:w="8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c>
          <w:tcPr>
            <w:tcW w:w="20" w:type="dxa"/>
            <w:vAlign w:val="bottom"/>
          </w:tcPr>
          <w:p>
            <w:pPr>
              <w:spacing w:after="0"/>
              <w:rPr>
                <w:sz w:val="24"/>
                <w:szCs w:val="24"/>
                <w:color w:val="auto"/>
              </w:rPr>
            </w:pPr>
          </w:p>
        </w:tc>
      </w:tr>
      <w:tr>
        <w:trPr>
          <w:trHeight w:val="163"/>
        </w:trPr>
        <w:tc>
          <w:tcPr>
            <w:tcW w:w="8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bl>
    <w:p>
      <w:pPr>
        <w:sectPr>
          <w:pgSz w:w="11900" w:h="16838" w:orient="portrait"/>
          <w:cols w:equalWidth="0" w:num="1">
            <w:col w:w="11240"/>
          </w:cols>
          <w:pgMar w:left="320" w:top="328" w:right="339" w:bottom="703"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5620" w:type="dxa"/>
            <w:vAlign w:val="bottom"/>
            <w:gridSpan w:val="12"/>
          </w:tcPr>
          <w:p>
            <w:pPr>
              <w:spacing w:after="0"/>
              <w:rPr>
                <w:sz w:val="20"/>
                <w:szCs w:val="20"/>
                <w:color w:val="auto"/>
              </w:rPr>
            </w:pPr>
            <w:r>
              <w:rPr>
                <w:rFonts w:ascii="Arial" w:cs="Arial" w:eastAsia="Arial" w:hAnsi="Arial"/>
                <w:sz w:val="18"/>
                <w:szCs w:val="18"/>
                <w:b w:val="1"/>
                <w:bCs w:val="1"/>
                <w:color w:val="auto"/>
                <w:w w:val="92"/>
              </w:rPr>
              <w:t>Three Months Ended September 30, Nine Months Ended September 30,</w:t>
            </w:r>
          </w:p>
        </w:tc>
      </w:tr>
      <w:tr>
        <w:trPr>
          <w:trHeight w:val="239"/>
        </w:trPr>
        <w:tc>
          <w:tcPr>
            <w:tcW w:w="56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4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25,396</w:t>
            </w:r>
          </w:p>
        </w:tc>
        <w:tc>
          <w:tcPr>
            <w:tcW w:w="100" w:type="dxa"/>
            <w:vAlign w:val="bottom"/>
            <w:shd w:val="clear" w:color="auto" w:fill="CCEEFF"/>
          </w:tcPr>
          <w:p>
            <w:pPr>
              <w:spacing w:after="0"/>
              <w:rPr>
                <w:sz w:val="20"/>
                <w:szCs w:val="20"/>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2,454</w:t>
            </w:r>
          </w:p>
        </w:tc>
      </w:tr>
      <w:tr>
        <w:trPr>
          <w:trHeight w:val="237"/>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2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9,178</w:t>
            </w: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100" w:type="dxa"/>
            <w:vAlign w:val="bottom"/>
            <w:shd w:val="clear" w:color="auto" w:fill="CCEEFF"/>
          </w:tcPr>
          <w:p>
            <w:pPr>
              <w:spacing w:after="0"/>
              <w:rPr>
                <w:sz w:val="20"/>
                <w:szCs w:val="20"/>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4,824</w:t>
            </w:r>
          </w:p>
        </w:tc>
        <w:tc>
          <w:tcPr>
            <w:tcW w:w="2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19,183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14,692</w:t>
            </w:r>
          </w:p>
        </w:tc>
      </w:tr>
      <w:tr>
        <w:trPr>
          <w:trHeight w:val="237"/>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4,354</w:t>
            </w: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100" w:type="dxa"/>
            <w:vAlign w:val="bottom"/>
            <w:shd w:val="clear" w:color="auto" w:fill="CCEEFF"/>
          </w:tcPr>
          <w:p>
            <w:pPr>
              <w:spacing w:after="0"/>
              <w:rPr>
                <w:sz w:val="20"/>
                <w:szCs w:val="20"/>
                <w:color w:val="auto"/>
              </w:rPr>
            </w:pPr>
          </w:p>
        </w:tc>
      </w:tr>
      <w:tr>
        <w:trPr>
          <w:trHeight w:val="243"/>
        </w:trPr>
        <w:tc>
          <w:tcPr>
            <w:tcW w:w="5620" w:type="dxa"/>
            <w:vAlign w:val="bottom"/>
          </w:tcPr>
          <w:p>
            <w:pPr>
              <w:spacing w:after="0" w:line="24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3,395</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10,912</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3,050</w:t>
            </w: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9,501</w:t>
            </w:r>
          </w:p>
        </w:tc>
      </w:tr>
      <w:tr>
        <w:trPr>
          <w:trHeight w:val="249"/>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w:t>
            </w:r>
          </w:p>
        </w:tc>
      </w:tr>
      <w:tr>
        <w:trPr>
          <w:trHeight w:val="20"/>
        </w:trPr>
        <w:tc>
          <w:tcPr>
            <w:tcW w:w="5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62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7,936</w:t>
            </w: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19,251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24,507</w:t>
            </w:r>
          </w:p>
        </w:tc>
      </w:tr>
      <w:tr>
        <w:trPr>
          <w:trHeight w:val="23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2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(3,582)</w:t>
            </w: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(11,349)</w:t>
            </w:r>
          </w:p>
        </w:tc>
        <w:tc>
          <w:tcPr>
            <w:tcW w:w="100" w:type="dxa"/>
            <w:vAlign w:val="bottom"/>
            <w:shd w:val="clear" w:color="auto" w:fill="CCEEFF"/>
          </w:tcPr>
          <w:p>
            <w:pPr>
              <w:spacing w:after="0"/>
              <w:rPr>
                <w:sz w:val="20"/>
                <w:szCs w:val="20"/>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4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0"/>
        </w:trPr>
        <w:tc>
          <w:tcPr>
            <w:tcW w:w="5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(3,895)</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(3,663)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(6,921)</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(11,589)</w:t>
            </w:r>
          </w:p>
        </w:tc>
      </w:tr>
      <w:tr>
        <w:trPr>
          <w:trHeight w:val="20"/>
        </w:trPr>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5620" w:type="dxa"/>
            <w:vAlign w:val="bottom"/>
          </w:tcPr>
          <w:p>
            <w:pPr>
              <w:spacing w:after="0" w:line="195" w:lineRule="exact"/>
              <w:rPr>
                <w:sz w:val="20"/>
                <w:szCs w:val="20"/>
                <w:color w:val="auto"/>
              </w:rPr>
            </w:pPr>
            <w:r>
              <w:rPr>
                <w:rFonts w:ascii="Arial" w:cs="Arial" w:eastAsia="Arial" w:hAnsi="Arial"/>
                <w:sz w:val="18"/>
                <w:szCs w:val="18"/>
                <w:color w:val="auto"/>
                <w:w w:val="98"/>
              </w:rPr>
              <w:t>Weighted-average shares used to compute net loss per common share,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18,942,163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17,312,226</w:t>
            </w: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18,705,149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17,183,306</w:t>
            </w:r>
          </w:p>
        </w:tc>
      </w:tr>
      <w:tr>
        <w:trPr>
          <w:trHeight w:val="250"/>
        </w:trPr>
        <w:tc>
          <w:tcPr>
            <w:tcW w:w="5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620" w:type="dxa"/>
            <w:vAlign w:val="bottom"/>
          </w:tcPr>
          <w:p>
            <w:pPr>
              <w:spacing w:after="0" w:line="243" w:lineRule="exact"/>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Operating expenses include stock-based compensation as follows: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1,888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r>
      <w:tr>
        <w:trPr>
          <w:trHeight w:val="249"/>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0"/>
        </w:trPr>
        <w:tc>
          <w:tcPr>
            <w:tcW w:w="5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5620" w:type="dxa"/>
            <w:vAlign w:val="bottom"/>
          </w:tcPr>
          <w:p>
            <w:pPr>
              <w:ind w:left="420"/>
              <w:spacing w:after="0"/>
              <w:rPr>
                <w:sz w:val="20"/>
                <w:szCs w:val="20"/>
                <w:color w:val="auto"/>
              </w:rPr>
            </w:pPr>
            <w:r>
              <w:rPr>
                <w:rFonts w:ascii="Arial" w:cs="Arial" w:eastAsia="Arial" w:hAnsi="Arial"/>
                <w:sz w:val="18"/>
                <w:szCs w:val="18"/>
                <w:color w:val="auto"/>
              </w:rPr>
              <w:t>Total stock-based compensation</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2,633</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2,397</w:t>
            </w:r>
          </w:p>
        </w:tc>
      </w:tr>
      <w:tr>
        <w:trPr>
          <w:trHeight w:val="20"/>
        </w:trPr>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5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(2,177)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2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39"/>
        </w:trPr>
        <w:tc>
          <w:tcPr>
            <w:tcW w:w="8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r>
      <w:tr>
        <w:trPr>
          <w:trHeight w:val="241"/>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(6,921)</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(11,589)</w:t>
            </w:r>
          </w:p>
        </w:tc>
      </w:tr>
      <w:tr>
        <w:trPr>
          <w:trHeight w:val="24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7"/>
        </w:trPr>
        <w:tc>
          <w:tcPr>
            <w:tcW w:w="8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1,297</w:t>
            </w:r>
          </w:p>
        </w:tc>
      </w:tr>
      <w:tr>
        <w:trPr>
          <w:trHeight w:val="24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r>
      <w:tr>
        <w:trPr>
          <w:trHeight w:val="237"/>
        </w:trPr>
        <w:tc>
          <w:tcPr>
            <w:tcW w:w="83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2,397</w:t>
            </w:r>
          </w:p>
        </w:tc>
      </w:tr>
      <w:tr>
        <w:trPr>
          <w:trHeight w:val="24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loss on warrant revaluation</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22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r>
      <w:tr>
        <w:trPr>
          <w:trHeight w:val="24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reserves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w:t>
            </w:r>
          </w:p>
        </w:tc>
      </w:tr>
      <w:tr>
        <w:trPr>
          <w:trHeight w:val="237"/>
        </w:trPr>
        <w:tc>
          <w:tcPr>
            <w:tcW w:w="832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779</w:t>
            </w:r>
          </w:p>
        </w:tc>
      </w:tr>
      <w:tr>
        <w:trPr>
          <w:trHeight w:val="24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r>
      <w:tr>
        <w:trPr>
          <w:trHeight w:val="237"/>
        </w:trPr>
        <w:tc>
          <w:tcPr>
            <w:tcW w:w="83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r>
      <w:tr>
        <w:trPr>
          <w:trHeight w:val="24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w:t>
            </w:r>
          </w:p>
        </w:tc>
      </w:tr>
      <w:tr>
        <w:trPr>
          <w:trHeight w:val="243"/>
        </w:trPr>
        <w:tc>
          <w:tcPr>
            <w:tcW w:w="8320" w:type="dxa"/>
            <w:vAlign w:val="bottom"/>
          </w:tcPr>
          <w:p>
            <w:pPr>
              <w:ind w:left="22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r>
      <w:tr>
        <w:trPr>
          <w:trHeight w:val="237"/>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2"/>
        </w:trPr>
        <w:tc>
          <w:tcPr>
            <w:tcW w:w="8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r>
      <w:tr>
        <w:trPr>
          <w:trHeight w:val="20"/>
        </w:trPr>
        <w:tc>
          <w:tcPr>
            <w:tcW w:w="8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8320" w:type="dxa"/>
            <w:vAlign w:val="bottom"/>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r>
      <w:tr>
        <w:trPr>
          <w:trHeight w:val="237"/>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Payments on debt</w:t>
            </w:r>
          </w:p>
        </w:tc>
        <w:tc>
          <w:tcPr>
            <w:tcW w:w="2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(4,840)</w:t>
            </w:r>
          </w:p>
        </w:tc>
      </w:tr>
      <w:tr>
        <w:trPr>
          <w:trHeight w:val="24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Payments of debt issuance costs</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Payments on finance lease obligation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r>
      <w:tr>
        <w:trPr>
          <w:trHeight w:val="24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and purchase of shares in employee stock purchase plan</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Proceeds from issuance of common stock in at-the-market offering, net of issuance costs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2,172</w:t>
            </w:r>
          </w:p>
        </w:tc>
      </w:tr>
      <w:tr>
        <w:trPr>
          <w:trHeight w:val="237"/>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(8,599)</w:t>
            </w:r>
          </w:p>
        </w:tc>
      </w:tr>
      <w:tr>
        <w:trPr>
          <w:trHeight w:val="24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23,379</w:t>
            </w:r>
          </w:p>
        </w:tc>
      </w:tr>
      <w:tr>
        <w:trPr>
          <w:trHeight w:val="20"/>
        </w:trPr>
        <w:tc>
          <w:tcPr>
            <w:tcW w:w="8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6"/>
        </w:trPr>
        <w:tc>
          <w:tcPr>
            <w:tcW w:w="83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13,927</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14,780</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Interest paid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paid for operating leases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Financing cash flows paid for finance leases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4"/>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of right-of-use asset and lease liability due to lease modification</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4"/>
        </w:trPr>
        <w:tc>
          <w:tcPr>
            <w:tcW w:w="832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Bonus settled in shares of common stock</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Modification of warrant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warrant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ectPr>
          <w:pgSz w:w="11900" w:h="16838" w:orient="portrait"/>
          <w:cols w:equalWidth="0" w:num="1">
            <w:col w:w="11240"/>
          </w:cols>
          <w:pgMar w:left="320" w:top="135" w:right="33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Daniel Berenbaum, CFO</w:t>
      </w:r>
    </w:p>
    <w:p>
      <w:pPr>
        <w:spacing w:after="0" w:line="238" w:lineRule="auto"/>
        <w:rPr>
          <w:sz w:val="20"/>
          <w:szCs w:val="20"/>
          <w:color w:val="auto"/>
        </w:rPr>
      </w:pPr>
      <w:r>
        <w:rPr>
          <w:rFonts w:ascii="Arial" w:cs="Arial" w:eastAsia="Arial" w:hAnsi="Arial"/>
          <w:sz w:val="22"/>
          <w:szCs w:val="22"/>
          <w:color w:val="auto"/>
        </w:rPr>
        <w:t>T: 480-347-1099</w:t>
      </w:r>
    </w:p>
    <w:p>
      <w:pPr>
        <w:spacing w:after="0"/>
        <w:rPr>
          <w:sz w:val="20"/>
          <w:szCs w:val="20"/>
          <w:color w:val="auto"/>
        </w:rPr>
      </w:pPr>
      <w:r>
        <w:rPr>
          <w:rFonts w:ascii="Arial" w:cs="Arial" w:eastAsia="Arial" w:hAnsi="Arial"/>
          <w:sz w:val="19"/>
          <w:szCs w:val="19"/>
          <w:color w:val="auto"/>
        </w:rPr>
        <w:t>E: daniel.berenbaum@everspin.com</w:t>
      </w:r>
    </w:p>
    <w:sectPr>
      <w:pgSz w:w="11900" w:h="16838" w:orient="portrait"/>
      <w:cols w:equalWidth="0" w:num="1">
        <w:col w:w="11240"/>
      </w:cols>
      <w:pgMar w:left="320" w:top="13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2020-11-05T16:35:28Z</dcterms:created>
  <dcterms:modified xsi:type="dcterms:W3CDTF">2020-11-05T16:35:28Z</dcterms:modified>
</cp:coreProperties>
</file>