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72891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Everspin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32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001-37900</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26-2640654</w:t>
            </w:r>
          </w:p>
        </w:tc>
      </w:tr>
      <w:tr>
        <w:trPr>
          <w:trHeight w:val="225"/>
        </w:trPr>
        <w:tc>
          <w:tcPr>
            <w:tcW w:w="320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(State or other jurisdiction</w:t>
            </w:r>
          </w:p>
        </w:tc>
        <w:tc>
          <w:tcPr>
            <w:tcW w:w="34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200" w:type="dxa"/>
            <w:vAlign w:val="bottom"/>
          </w:tcPr>
          <w:p>
            <w:pPr>
              <w:jc w:val="center"/>
              <w:ind w:right="1070"/>
              <w:spacing w:after="0"/>
              <w:rPr>
                <w:sz w:val="20"/>
                <w:szCs w:val="20"/>
                <w:color w:val="auto"/>
              </w:rPr>
            </w:pPr>
            <w:r>
              <w:rPr>
                <w:rFonts w:ascii="Arial" w:cs="Arial" w:eastAsia="Arial" w:hAnsi="Arial"/>
                <w:sz w:val="18"/>
                <w:szCs w:val="18"/>
                <w:b w:val="1"/>
                <w:bCs w:val="1"/>
                <w:color w:val="auto"/>
                <w:w w:val="91"/>
              </w:rPr>
              <w:t>of incorporation)</w:t>
            </w:r>
          </w:p>
        </w:tc>
        <w:tc>
          <w:tcPr>
            <w:tcW w:w="34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5670 W. Chandler Blvd.</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Suite 100</w:t>
      </w:r>
    </w:p>
    <w:p>
      <w:pPr>
        <w:jc w:val="center"/>
        <w:ind w:right="40"/>
        <w:spacing w:after="0" w:line="230" w:lineRule="auto"/>
        <w:rPr>
          <w:sz w:val="20"/>
          <w:szCs w:val="20"/>
          <w:color w:val="auto"/>
        </w:rPr>
      </w:pPr>
      <w:r>
        <w:rPr>
          <w:rFonts w:ascii="Arial" w:cs="Arial" w:eastAsia="Arial" w:hAnsi="Arial"/>
          <w:sz w:val="22"/>
          <w:szCs w:val="22"/>
          <w:b w:val="1"/>
          <w:bCs w:val="1"/>
          <w:color w:val="auto"/>
        </w:rPr>
        <w:t>Chandler, Arizona 85226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 including zip code)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(480) 347-1111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8"/>
          <w:szCs w:val="18"/>
          <w:b w:val="1"/>
          <w:bCs w:val="1"/>
          <w:color w:val="auto"/>
        </w:rPr>
        <w:t>Registrant’s telephone number, including area code)</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2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7"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comapny </w:t>
      </w:r>
      <w:r>
        <w:rPr>
          <w:rFonts w:ascii="MS PGothic" w:cs="MS PGothic" w:eastAsia="MS PGothic" w:hAnsi="MS PGothic"/>
          <w:sz w:val="21"/>
          <w:szCs w:val="21"/>
          <w:color w:val="auto"/>
        </w:rPr>
        <w:t>☑</w:t>
      </w:r>
    </w:p>
    <w:p>
      <w:pPr>
        <w:spacing w:after="0" w:line="265" w:lineRule="exact"/>
        <w:rPr>
          <w:sz w:val="24"/>
          <w:szCs w:val="24"/>
          <w:color w:val="auto"/>
        </w:rPr>
      </w:pPr>
    </w:p>
    <w:p>
      <w:pPr>
        <w:ind w:right="14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00" w:lineRule="exact"/>
        <w:rPr>
          <w:sz w:val="24"/>
          <w:szCs w:val="24"/>
          <w:color w:val="auto"/>
        </w:rPr>
      </w:pP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Title of each class</w:t>
            </w:r>
          </w:p>
        </w:tc>
        <w:tc>
          <w:tcPr>
            <w:tcW w:w="286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Trading Symbol(s)</w:t>
            </w:r>
          </w:p>
        </w:tc>
        <w:tc>
          <w:tcPr>
            <w:tcW w:w="50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Name of each exchange on which</w:t>
            </w:r>
          </w:p>
        </w:tc>
      </w:tr>
      <w:tr>
        <w:trPr>
          <w:trHeight w:val="237"/>
        </w:trPr>
        <w:tc>
          <w:tcPr>
            <w:tcW w:w="2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registered</w:t>
            </w:r>
          </w:p>
        </w:tc>
      </w:tr>
      <w:tr>
        <w:trPr>
          <w:trHeight w:val="237"/>
        </w:trPr>
        <w:tc>
          <w:tcPr>
            <w:tcW w:w="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$0.0001</w:t>
            </w:r>
          </w:p>
        </w:tc>
        <w:tc>
          <w:tcPr>
            <w:tcW w:w="286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MRAM</w:t>
            </w:r>
          </w:p>
        </w:tc>
        <w:tc>
          <w:tcPr>
            <w:tcW w:w="50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The Nasdaq Stock Market</w:t>
            </w:r>
          </w:p>
        </w:tc>
      </w:tr>
      <w:tr>
        <w:trPr>
          <w:trHeight w:val="135"/>
        </w:trPr>
        <w:tc>
          <w:tcPr>
            <w:tcW w:w="20" w:type="dxa"/>
            <w:vAlign w:val="bottom"/>
          </w:tcPr>
          <w:p>
            <w:pPr>
              <w:spacing w:after="0"/>
              <w:rPr>
                <w:sz w:val="11"/>
                <w:szCs w:val="11"/>
                <w:color w:val="auto"/>
              </w:rPr>
            </w:pPr>
          </w:p>
        </w:tc>
        <w:tc>
          <w:tcPr>
            <w:tcW w:w="3520" w:type="dxa"/>
            <w:vAlign w:val="bottom"/>
            <w:tcBorders>
              <w:bottom w:val="single" w:sz="8" w:color="9A9A9A"/>
            </w:tcBorders>
          </w:tcPr>
          <w:p>
            <w:pPr>
              <w:spacing w:after="0"/>
              <w:rPr>
                <w:sz w:val="11"/>
                <w:szCs w:val="11"/>
                <w:color w:val="auto"/>
              </w:rPr>
            </w:pPr>
          </w:p>
        </w:tc>
        <w:tc>
          <w:tcPr>
            <w:tcW w:w="2860" w:type="dxa"/>
            <w:vAlign w:val="bottom"/>
            <w:tcBorders>
              <w:bottom w:val="single" w:sz="8" w:color="9A9A9A"/>
            </w:tcBorders>
          </w:tcPr>
          <w:p>
            <w:pPr>
              <w:spacing w:after="0"/>
              <w:rPr>
                <w:sz w:val="11"/>
                <w:szCs w:val="11"/>
                <w:color w:val="auto"/>
              </w:rPr>
            </w:pPr>
          </w:p>
        </w:tc>
        <w:tc>
          <w:tcPr>
            <w:tcW w:w="5020" w:type="dxa"/>
            <w:vAlign w:val="bottom"/>
            <w:tcBorders>
              <w:bottom w:val="single" w:sz="8" w:color="9A9A9A"/>
            </w:tcBorders>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3520" w:type="dxa"/>
            <w:vAlign w:val="bottom"/>
            <w:tcBorders>
              <w:bottom w:val="single" w:sz="8" w:color="EEEEEE"/>
            </w:tcBorders>
          </w:tcPr>
          <w:p>
            <w:pPr>
              <w:spacing w:after="0" w:line="20" w:lineRule="exact"/>
              <w:rPr>
                <w:sz w:val="1"/>
                <w:szCs w:val="1"/>
                <w:color w:val="auto"/>
              </w:rPr>
            </w:pPr>
          </w:p>
        </w:tc>
        <w:tc>
          <w:tcPr>
            <w:tcW w:w="2860" w:type="dxa"/>
            <w:vAlign w:val="bottom"/>
            <w:tcBorders>
              <w:bottom w:val="single" w:sz="8" w:color="EEEEEE"/>
            </w:tcBorders>
          </w:tcPr>
          <w:p>
            <w:pPr>
              <w:spacing w:after="0" w:line="20" w:lineRule="exact"/>
              <w:rPr>
                <w:sz w:val="1"/>
                <w:szCs w:val="1"/>
                <w:color w:val="auto"/>
              </w:rPr>
            </w:pPr>
          </w:p>
        </w:tc>
        <w:tc>
          <w:tcPr>
            <w:tcW w:w="502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8, 2019, Everspin Technologies, Inc. issued a press release, a copy of which is attached hereto as Exhibit 99.1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6"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u w:val="single" w:color="auto"/>
          <w:color w:val="auto"/>
        </w:rPr>
        <w:t>Exhibit No.</w:t>
      </w:r>
      <w:r>
        <w:rPr>
          <w:sz w:val="20"/>
          <w:szCs w:val="20"/>
          <w:color w:val="auto"/>
        </w:rPr>
        <w:tab/>
      </w:r>
      <w:r>
        <w:rPr>
          <w:rFonts w:ascii="Arial" w:cs="Arial" w:eastAsia="Arial" w:hAnsi="Arial"/>
          <w:sz w:val="19"/>
          <w:szCs w:val="19"/>
          <w:b w:val="1"/>
          <w:bCs w:val="1"/>
          <w:u w:val="single" w:color="auto"/>
          <w:color w:val="auto"/>
        </w:rPr>
        <w:t>Description</w:t>
      </w:r>
    </w:p>
    <w:p>
      <w:pPr>
        <w:spacing w:after="0" w:line="212" w:lineRule="exact"/>
        <w:rPr>
          <w:sz w:val="20"/>
          <w:szCs w:val="20"/>
          <w:color w:val="auto"/>
        </w:rPr>
      </w:pPr>
    </w:p>
    <w:p>
      <w:pPr>
        <w:spacing w:after="0"/>
        <w:tabs>
          <w:tab w:leader="none" w:pos="1500" w:val="left"/>
        </w:tabs>
        <w:rPr>
          <w:rFonts w:ascii="Arial" w:cs="Arial" w:eastAsia="Arial" w:hAnsi="Arial"/>
          <w:sz w:val="18"/>
          <w:szCs w:val="18"/>
          <w:u w:val="single" w:color="auto"/>
          <w:color w:val="0000EE"/>
        </w:rPr>
      </w:pPr>
      <w:hyperlink w:anchor="page3">
        <w:r>
          <w:rPr>
            <w:rFonts w:ascii="Arial" w:cs="Arial" w:eastAsia="Arial" w:hAnsi="Arial"/>
            <w:sz w:val="22"/>
            <w:szCs w:val="22"/>
            <w:u w:val="single" w:color="auto"/>
            <w:color w:val="0000EE"/>
          </w:rPr>
          <w:t>99.1</w:t>
        </w:r>
      </w:hyperlink>
      <w:r>
        <w:rPr>
          <w:rFonts w:ascii="Arial" w:cs="Arial" w:eastAsia="Arial" w:hAnsi="Arial"/>
          <w:sz w:val="22"/>
          <w:szCs w:val="22"/>
          <w:u w:val="single" w:color="auto"/>
          <w:color w:val="0000EE"/>
        </w:rPr>
        <w:tab/>
      </w:r>
      <w:hyperlink w:anchor="page3">
        <w:r>
          <w:rPr>
            <w:rFonts w:ascii="Arial" w:cs="Arial" w:eastAsia="Arial" w:hAnsi="Arial"/>
            <w:sz w:val="18"/>
            <w:szCs w:val="18"/>
            <w:u w:val="single" w:color="auto"/>
            <w:color w:val="0000EE"/>
          </w:rPr>
          <w:t>Press release dated May 8,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Everspin Technologies,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Dated:May 8, 2019</w:t>
      </w:r>
    </w:p>
    <w:p>
      <w:pPr>
        <w:spacing w:after="0" w:line="36" w:lineRule="exact"/>
        <w:rPr>
          <w:sz w:val="20"/>
          <w:szCs w:val="20"/>
          <w:color w:val="auto"/>
        </w:rPr>
      </w:pPr>
    </w:p>
    <w:p>
      <w:pPr>
        <w:ind w:left="6120"/>
        <w:spacing w:after="0"/>
        <w:tabs>
          <w:tab w:leader="none" w:pos="6640" w:val="left"/>
        </w:tabs>
        <w:rPr>
          <w:sz w:val="20"/>
          <w:szCs w:val="20"/>
          <w:color w:val="auto"/>
        </w:rPr>
      </w:pPr>
      <w:r>
        <w:rPr>
          <w:rFonts w:ascii="Arial" w:cs="Arial" w:eastAsia="Arial" w:hAnsi="Arial"/>
          <w:sz w:val="18"/>
          <w:szCs w:val="18"/>
          <w:color w:val="auto"/>
        </w:rPr>
        <w:t>By:</w:t>
        <w:tab/>
        <w:t>/s/ Jeffrey Winzeler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23495</wp:posOffset>
            </wp:positionV>
            <wp:extent cx="3078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30"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Jeffrey Winzeler</w:t>
      </w:r>
    </w:p>
    <w:p>
      <w:pPr>
        <w:spacing w:after="0" w:line="3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100"/>
          </w:cols>
          <w:pgMar w:left="240" w:top="111" w:right="55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Everspin Reports First Quarter 2019 Financial Results</w:t>
      </w:r>
    </w:p>
    <w:p>
      <w:pPr>
        <w:spacing w:after="0" w:line="212"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CHANDLER, Ariz.--(BUSINESS WIRE)--May 8, 2019--Everspin Technologies, Inc. (Nasdaq: MRAM), the market leader in MRAM, today announced financial results for the first quarter ended March 31, 2019.</w:t>
      </w:r>
    </w:p>
    <w:p>
      <w:pPr>
        <w:spacing w:after="0" w:line="167" w:lineRule="exact"/>
        <w:rPr>
          <w:sz w:val="20"/>
          <w:szCs w:val="20"/>
          <w:color w:val="auto"/>
        </w:rPr>
      </w:pPr>
    </w:p>
    <w:p>
      <w:pPr>
        <w:jc w:val="right"/>
        <w:ind w:right="8060"/>
        <w:spacing w:after="0"/>
        <w:rPr>
          <w:sz w:val="20"/>
          <w:szCs w:val="20"/>
          <w:color w:val="auto"/>
        </w:rPr>
      </w:pPr>
      <w:r>
        <w:rPr>
          <w:rFonts w:ascii="Arial" w:cs="Arial" w:eastAsia="Arial" w:hAnsi="Arial"/>
          <w:sz w:val="19"/>
          <w:szCs w:val="19"/>
          <w:b w:val="1"/>
          <w:bCs w:val="1"/>
          <w:color w:val="auto"/>
        </w:rPr>
        <w:t>First Quarter and Recent Highlights</w:t>
      </w:r>
    </w:p>
    <w:p>
      <w:pPr>
        <w:spacing w:after="0" w:line="247" w:lineRule="exact"/>
        <w:rPr>
          <w:sz w:val="20"/>
          <w:szCs w:val="20"/>
          <w:color w:val="auto"/>
        </w:rPr>
      </w:pPr>
    </w:p>
    <w:p>
      <w:pPr>
        <w:jc w:val="right"/>
        <w:ind w:right="8080"/>
        <w:spacing w:after="0"/>
        <w:rPr>
          <w:sz w:val="20"/>
          <w:szCs w:val="20"/>
          <w:color w:val="auto"/>
        </w:rPr>
      </w:pPr>
      <w:r>
        <w:rPr>
          <w:rFonts w:ascii="Arial" w:cs="Arial" w:eastAsia="Arial" w:hAnsi="Arial"/>
          <w:sz w:val="22"/>
          <w:szCs w:val="22"/>
          <w:color w:val="auto"/>
        </w:rPr>
        <w:t>Total revenue was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Gross margin improved sequentially to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Operating expenses decreased by 19%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Secured two design-ins for 28nm 1Gb STT-MRAM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05" w:lineRule="exact"/>
        <w:rPr>
          <w:sz w:val="20"/>
          <w:szCs w:val="20"/>
          <w:color w:val="auto"/>
        </w:rPr>
      </w:pPr>
    </w:p>
    <w:p>
      <w:pPr>
        <w:ind w:left="540" w:right="920"/>
        <w:spacing w:after="0" w:line="379" w:lineRule="auto"/>
        <w:rPr>
          <w:sz w:val="20"/>
          <w:szCs w:val="20"/>
          <w:color w:val="auto"/>
        </w:rPr>
      </w:pPr>
      <w:r>
        <w:rPr>
          <w:rFonts w:ascii="Arial" w:cs="Arial" w:eastAsia="Arial" w:hAnsi="Arial"/>
          <w:sz w:val="22"/>
          <w:szCs w:val="22"/>
          <w:color w:val="auto"/>
        </w:rPr>
        <w:t>Support extended for 256Mb STT-MRAM in third enterprise storage array product by lead all-flash array customer Appointed Troy Winslow as Vice President of Global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-445770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-205740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“Revenue in the quarter exceeded the high-end of our guidance range with gross margins improving 350 basis points sequentially, reflecting yield improvements on Toggle production,” stated Kevin Conley, Everspin’s President and CEO. “We also continued to advance sampling of our 1Gb STT-MRAM product with select customers and recently secured two design-ins since introducing the product only a few months ago.</w:t>
      </w:r>
    </w:p>
    <w:p>
      <w:pPr>
        <w:spacing w:after="0" w:line="185"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color w:val="auto"/>
        </w:rPr>
        <w:t>“Our first quarter results represent the new baseline upon which we are building our future growth strategy. We remain focused on strategically expanding high-value Toggle revenue opportunities, broadening the customer base and ecosystem partners for our STT-MRAM products, as well as maintaining disciplined execution across all areas of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2019 Results</w:t>
      </w:r>
    </w:p>
    <w:p>
      <w:pPr>
        <w:spacing w:after="0" w:line="212"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Total revenue for the first quarter of 2019 was $10.0 million, compared to $14.9 million in the first quarter of 2018, which included $5.5 million in licensing, royalty and other revenue, and $12.3 million in the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right="200"/>
        <w:spacing w:after="0" w:line="251" w:lineRule="auto"/>
        <w:rPr>
          <w:sz w:val="20"/>
          <w:szCs w:val="20"/>
          <w:color w:val="auto"/>
        </w:rPr>
      </w:pPr>
      <w:r>
        <w:rPr>
          <w:rFonts w:ascii="Arial" w:cs="Arial" w:eastAsia="Arial" w:hAnsi="Arial"/>
          <w:sz w:val="22"/>
          <w:szCs w:val="22"/>
          <w:color w:val="auto"/>
        </w:rPr>
        <w:t>Gross margin for the first quarter of 2019 was 47.7%, compared to 67.0% in the first quarter of 2018, which included the benefit from a material one-time licensing agreement, and 44.2% in the previous quarter.</w:t>
      </w:r>
    </w:p>
    <w:p>
      <w:pPr>
        <w:spacing w:after="0" w:line="174"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Operating expenses for the first quarter of 2019 were $9.0 million, compared to $11.1 million in the year-ago quarter and $8.8 million in the previous quarter.</w:t>
      </w:r>
    </w:p>
    <w:p>
      <w:pPr>
        <w:spacing w:after="0" w:line="17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Net loss for the first quarter of 2019 was $4.3 million, or ($0.25) per share, based on 17.1 million weighted-average shares outstanding, compared to a net loss of $1.3 million, or ($0.09) per share, in the first quarter of 2018, and a net loss of $3.5 million, or ($0.20) per share, in the fourth quarter of 2018.</w:t>
      </w:r>
    </w:p>
    <w:p>
      <w:pPr>
        <w:spacing w:after="0" w:line="186"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Cash and cash equivalents as of March 31, 2019 were $18.5 million, compared to $23.4 million at the end of the fourth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For the second quarter of 2019, Everspin expects total revenue in the range of $9.6 million and $10.0 million. Net loss per share is expected to be between ($0.27) and ($0.23) based on an weighted-average share count of 17.2 million shares outstanding.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Everspin will host a conference call for analysts and investors today at 5:00 p.m. Eastern Time. Interested participants can access the call by dialing </w:t>
      </w:r>
      <w:r>
        <w:rPr>
          <w:rFonts w:ascii="Arial" w:cs="Arial" w:eastAsia="Arial" w:hAnsi="Arial"/>
          <w:sz w:val="22"/>
          <w:szCs w:val="22"/>
          <w:b w:val="1"/>
          <w:bCs w:val="1"/>
          <w:color w:val="auto"/>
        </w:rPr>
        <w:t>1-844-889-7788</w:t>
      </w:r>
      <w:r>
        <w:rPr>
          <w:rFonts w:ascii="Arial" w:cs="Arial" w:eastAsia="Arial" w:hAnsi="Arial"/>
          <w:sz w:val="22"/>
          <w:szCs w:val="22"/>
          <w:color w:val="auto"/>
        </w:rPr>
        <w:t xml:space="preserve"> and providing passcode </w:t>
      </w:r>
      <w:r>
        <w:rPr>
          <w:rFonts w:ascii="Arial" w:cs="Arial" w:eastAsia="Arial" w:hAnsi="Arial"/>
          <w:sz w:val="22"/>
          <w:szCs w:val="22"/>
          <w:b w:val="1"/>
          <w:bCs w:val="1"/>
          <w:color w:val="auto"/>
        </w:rPr>
        <w:t>1435658</w:t>
      </w:r>
      <w:r>
        <w:rPr>
          <w:rFonts w:ascii="Arial" w:cs="Arial" w:eastAsia="Arial" w:hAnsi="Arial"/>
          <w:sz w:val="22"/>
          <w:szCs w:val="22"/>
          <w:color w:val="auto"/>
        </w:rPr>
        <w:t>.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until May 15, 2019, at midnight Eastern Time. The replay can be accessed by dialing 1-855-859-2056 and using the passcode 1435658. International callers should dial +1-404-537-3406 and enter the same passcode at the prompt.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20"/>
          </w:cols>
          <w:pgMar w:left="240" w:top="118"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3"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 xml:space="preserve">Headquartered in Chandler, Arizona, Everspin Technologies, Inc. is the worldwide leader in the design, volume production and distribution of Magnetoresistive RAM (MRAM) into markets and applications where data persistence, performance, and endurance are paramount. Serving applications across the data center, industrial, and transportation markets, Everspin has built the strongest and fastest-growing foundation of MRAM users in the world. For more information, visit </w:t>
      </w:r>
      <w:r>
        <w:rPr>
          <w:rFonts w:ascii="Arial" w:cs="Arial" w:eastAsia="Arial" w:hAnsi="Arial"/>
          <w:sz w:val="19"/>
          <w:szCs w:val="19"/>
          <w:u w:val="single" w:color="auto"/>
          <w:color w:val="auto"/>
        </w:rPr>
        <w:t>www.everspin.com</w:t>
      </w:r>
      <w:r>
        <w:rPr>
          <w:rFonts w:ascii="Arial" w:cs="Arial" w:eastAsia="Arial" w:hAnsi="Arial"/>
          <w:sz w:val="19"/>
          <w:szCs w:val="19"/>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contains forward-looking statements regarding future events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10-K filed with the Securities and Exchange Commission on March 15, 2019,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March 31,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w:t>
            </w:r>
          </w:p>
        </w:tc>
        <w:tc>
          <w:tcPr>
            <w:tcW w:w="0" w:type="dxa"/>
            <w:vAlign w:val="bottom"/>
          </w:tcPr>
          <w:p>
            <w:pPr>
              <w:spacing w:after="0"/>
              <w:rPr>
                <w:sz w:val="1"/>
                <w:szCs w:val="1"/>
                <w:color w:val="auto"/>
              </w:rPr>
            </w:pPr>
          </w:p>
        </w:tc>
      </w:tr>
      <w:tr>
        <w:trPr>
          <w:trHeight w:val="185"/>
        </w:trPr>
        <w:tc>
          <w:tcPr>
            <w:tcW w:w="9900" w:type="dxa"/>
            <w:vAlign w:val="bottom"/>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31,</w:t>
            </w:r>
          </w:p>
        </w:tc>
        <w:tc>
          <w:tcPr>
            <w:tcW w:w="0" w:type="dxa"/>
            <w:vAlign w:val="bottom"/>
          </w:tcPr>
          <w:p>
            <w:pPr>
              <w:spacing w:after="0"/>
              <w:rPr>
                <w:sz w:val="1"/>
                <w:szCs w:val="1"/>
                <w:color w:val="auto"/>
              </w:rPr>
            </w:pPr>
          </w:p>
        </w:tc>
      </w:tr>
      <w:tr>
        <w:trPr>
          <w:trHeight w:val="169"/>
        </w:trPr>
        <w:tc>
          <w:tcPr>
            <w:tcW w:w="9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64"/>
        </w:trPr>
        <w:tc>
          <w:tcPr>
            <w:tcW w:w="990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18,515</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23,379</w:t>
            </w: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Accounts receivable, net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7,522</w:t>
            </w: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9,659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9,097</w:t>
            </w:r>
          </w:p>
        </w:tc>
        <w:tc>
          <w:tcPr>
            <w:tcW w:w="0" w:type="dxa"/>
            <w:vAlign w:val="bottom"/>
          </w:tcPr>
          <w:p>
            <w:pPr>
              <w:spacing w:after="0"/>
              <w:rPr>
                <w:sz w:val="1"/>
                <w:szCs w:val="1"/>
                <w:color w:val="auto"/>
              </w:rPr>
            </w:pPr>
          </w:p>
        </w:tc>
      </w:tr>
      <w:tr>
        <w:trPr>
          <w:trHeight w:val="181"/>
        </w:trPr>
        <w:tc>
          <w:tcPr>
            <w:tcW w:w="990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164"/>
        </w:trPr>
        <w:tc>
          <w:tcPr>
            <w:tcW w:w="9900" w:type="dxa"/>
            <w:vAlign w:val="bottom"/>
          </w:tcPr>
          <w:p>
            <w:pPr>
              <w:ind w:left="42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34,751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40,686</w:t>
            </w: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4,108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4,286</w:t>
            </w: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Right-of-use assets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9900" w:type="dxa"/>
            <w:vAlign w:val="bottom"/>
          </w:tcPr>
          <w:p>
            <w:pPr>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9"/>
        </w:trPr>
        <w:tc>
          <w:tcPr>
            <w:tcW w:w="9900" w:type="dxa"/>
            <w:vAlign w:val="bottom"/>
          </w:tcPr>
          <w:p>
            <w:pPr>
              <w:ind w:left="4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42,204</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45,045</w:t>
            </w:r>
          </w:p>
        </w:tc>
        <w:tc>
          <w:tcPr>
            <w:tcW w:w="0" w:type="dxa"/>
            <w:vAlign w:val="bottom"/>
          </w:tcPr>
          <w:p>
            <w:pPr>
              <w:spacing w:after="0"/>
              <w:rPr>
                <w:sz w:val="1"/>
                <w:szCs w:val="1"/>
                <w:color w:val="auto"/>
              </w:rPr>
            </w:pPr>
          </w:p>
        </w:tc>
      </w:tr>
      <w:tr>
        <w:trPr>
          <w:trHeight w:val="20"/>
        </w:trPr>
        <w:tc>
          <w:tcPr>
            <w:tcW w:w="99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1,692</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2,637</w:t>
            </w: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5,001</w:t>
            </w: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5,972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5,977</w:t>
            </w:r>
          </w:p>
        </w:tc>
        <w:tc>
          <w:tcPr>
            <w:tcW w:w="0" w:type="dxa"/>
            <w:vAlign w:val="bottom"/>
          </w:tcPr>
          <w:p>
            <w:pPr>
              <w:spacing w:after="0"/>
              <w:rPr>
                <w:sz w:val="1"/>
                <w:szCs w:val="1"/>
                <w:color w:val="auto"/>
              </w:rPr>
            </w:pPr>
          </w:p>
        </w:tc>
      </w:tr>
      <w:tr>
        <w:trPr>
          <w:trHeight w:val="181"/>
        </w:trPr>
        <w:tc>
          <w:tcPr>
            <w:tcW w:w="9900" w:type="dxa"/>
            <w:vAlign w:val="bottom"/>
          </w:tcPr>
          <w:p>
            <w:pPr>
              <w:ind w:left="220"/>
              <w:spacing w:after="0"/>
              <w:rPr>
                <w:sz w:val="20"/>
                <w:szCs w:val="20"/>
                <w:color w:val="auto"/>
              </w:rPr>
            </w:pPr>
            <w:r>
              <w:rPr>
                <w:rFonts w:ascii="Arial" w:cs="Arial" w:eastAsia="Arial" w:hAnsi="Arial"/>
                <w:sz w:val="14"/>
                <w:szCs w:val="14"/>
                <w:color w:val="auto"/>
              </w:rPr>
              <w:t>Lease liabilities</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4"/>
        </w:trPr>
        <w:tc>
          <w:tcPr>
            <w:tcW w:w="9900" w:type="dxa"/>
            <w:vAlign w:val="bottom"/>
          </w:tcPr>
          <w:p>
            <w:pPr>
              <w:ind w:left="420"/>
              <w:spacing w:after="0"/>
              <w:rPr>
                <w:sz w:val="20"/>
                <w:szCs w:val="20"/>
                <w:color w:val="auto"/>
              </w:rPr>
            </w:pPr>
            <w:r>
              <w:rPr>
                <w:rFonts w:ascii="Arial" w:cs="Arial" w:eastAsia="Arial" w:hAnsi="Arial"/>
                <w:sz w:val="14"/>
                <w:szCs w:val="14"/>
                <w:color w:val="auto"/>
              </w:rPr>
              <w:t>Total current liabilities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13,615</w:t>
            </w: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6,509</w:t>
            </w:r>
          </w:p>
        </w:tc>
        <w:tc>
          <w:tcPr>
            <w:tcW w:w="0" w:type="dxa"/>
            <w:vAlign w:val="bottom"/>
          </w:tcPr>
          <w:p>
            <w:pPr>
              <w:spacing w:after="0"/>
              <w:rPr>
                <w:sz w:val="1"/>
                <w:szCs w:val="1"/>
                <w:color w:val="auto"/>
              </w:rPr>
            </w:pPr>
          </w:p>
        </w:tc>
      </w:tr>
      <w:tr>
        <w:trPr>
          <w:trHeight w:val="181"/>
        </w:trPr>
        <w:tc>
          <w:tcPr>
            <w:tcW w:w="9900" w:type="dxa"/>
            <w:vAlign w:val="bottom"/>
          </w:tcPr>
          <w:p>
            <w:pPr>
              <w:spacing w:after="0"/>
              <w:rPr>
                <w:sz w:val="20"/>
                <w:szCs w:val="20"/>
                <w:color w:val="auto"/>
              </w:rPr>
            </w:pPr>
            <w:r>
              <w:rPr>
                <w:rFonts w:ascii="Arial" w:cs="Arial" w:eastAsia="Arial" w:hAnsi="Arial"/>
                <w:sz w:val="14"/>
                <w:szCs w:val="14"/>
                <w:color w:val="auto"/>
              </w:rPr>
              <w:t>Lease liabilities, net of current portion</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2,117</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9900" w:type="dxa"/>
            <w:vAlign w:val="bottom"/>
          </w:tcPr>
          <w:p>
            <w:pPr>
              <w:ind w:left="42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20,124</w:t>
            </w:r>
          </w:p>
        </w:tc>
        <w:tc>
          <w:tcPr>
            <w:tcW w:w="0" w:type="dxa"/>
            <w:vAlign w:val="bottom"/>
          </w:tcPr>
          <w:p>
            <w:pPr>
              <w:spacing w:after="0"/>
              <w:rPr>
                <w:sz w:val="1"/>
                <w:szCs w:val="1"/>
                <w:color w:val="auto"/>
              </w:rPr>
            </w:pPr>
          </w:p>
        </w:tc>
      </w:tr>
      <w:tr>
        <w:trPr>
          <w:trHeight w:val="164"/>
        </w:trPr>
        <w:tc>
          <w:tcPr>
            <w:tcW w:w="990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900" w:type="dxa"/>
            <w:vAlign w:val="bottom"/>
          </w:tcPr>
          <w:p>
            <w:pPr>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w w:val="99"/>
              </w:rPr>
              <w:t>Preferred stock, $0.0001 par value per share; 5,000,000 shares authorized; no shares issued and outstanding as of March 31, 2019 and December 31, 2018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900" w:type="dxa"/>
            <w:vAlign w:val="bottom"/>
          </w:tcPr>
          <w:p>
            <w:pPr>
              <w:ind w:left="220"/>
              <w:spacing w:after="0" w:line="149" w:lineRule="exact"/>
              <w:rPr>
                <w:sz w:val="20"/>
                <w:szCs w:val="20"/>
                <w:color w:val="auto"/>
              </w:rPr>
            </w:pPr>
            <w:r>
              <w:rPr>
                <w:rFonts w:ascii="Arial" w:cs="Arial" w:eastAsia="Arial" w:hAnsi="Arial"/>
                <w:sz w:val="14"/>
                <w:szCs w:val="14"/>
                <w:color w:val="auto"/>
                <w:w w:val="95"/>
              </w:rPr>
              <w:t>Common stock, $0.0001 par value per share; 100,000,000 shares authorized; 17,108,063 and 17,095,456 shares issued and outstanding as of March 31, 2019 and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December 31, 2018</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99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159,629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w w:val="98"/>
              </w:rPr>
              <w:t>158,912</w:t>
            </w:r>
          </w:p>
        </w:tc>
        <w:tc>
          <w:tcPr>
            <w:tcW w:w="0" w:type="dxa"/>
            <w:vAlign w:val="bottom"/>
          </w:tcPr>
          <w:p>
            <w:pPr>
              <w:spacing w:after="0"/>
              <w:rPr>
                <w:sz w:val="1"/>
                <w:szCs w:val="1"/>
                <w:color w:val="auto"/>
              </w:rPr>
            </w:pPr>
          </w:p>
        </w:tc>
      </w:tr>
      <w:tr>
        <w:trPr>
          <w:trHeight w:val="181"/>
        </w:trPr>
        <w:tc>
          <w:tcPr>
            <w:tcW w:w="990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(138,249)</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(133,993)</w:t>
            </w:r>
          </w:p>
        </w:tc>
        <w:tc>
          <w:tcPr>
            <w:tcW w:w="0" w:type="dxa"/>
            <w:vAlign w:val="bottom"/>
          </w:tcPr>
          <w:p>
            <w:pPr>
              <w:spacing w:after="0"/>
              <w:rPr>
                <w:sz w:val="1"/>
                <w:szCs w:val="1"/>
                <w:color w:val="auto"/>
              </w:rPr>
            </w:pPr>
          </w:p>
        </w:tc>
      </w:tr>
      <w:tr>
        <w:trPr>
          <w:trHeight w:val="169"/>
        </w:trPr>
        <w:tc>
          <w:tcPr>
            <w:tcW w:w="9900" w:type="dxa"/>
            <w:vAlign w:val="bottom"/>
          </w:tcPr>
          <w:p>
            <w:pPr>
              <w:ind w:left="42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21,382</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r>
        <w:trPr>
          <w:trHeight w:val="169"/>
        </w:trPr>
        <w:tc>
          <w:tcPr>
            <w:tcW w:w="9900" w:type="dxa"/>
            <w:vAlign w:val="bottom"/>
          </w:tcPr>
          <w:p>
            <w:pPr>
              <w:ind w:left="4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42,204</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45,045</w:t>
            </w:r>
          </w:p>
        </w:tc>
        <w:tc>
          <w:tcPr>
            <w:tcW w:w="0" w:type="dxa"/>
            <w:vAlign w:val="bottom"/>
          </w:tcPr>
          <w:p>
            <w:pPr>
              <w:spacing w:after="0"/>
              <w:rPr>
                <w:sz w:val="1"/>
                <w:szCs w:val="1"/>
                <w:color w:val="auto"/>
              </w:rPr>
            </w:pPr>
          </w:p>
        </w:tc>
      </w:tr>
      <w:tr>
        <w:trPr>
          <w:trHeight w:val="20"/>
        </w:trPr>
        <w:tc>
          <w:tcPr>
            <w:tcW w:w="9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99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5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8580" w:type="dxa"/>
            <w:vAlign w:val="bottom"/>
          </w:tcPr>
          <w:p>
            <w:pPr>
              <w:spacing w:after="0"/>
              <w:rPr>
                <w:sz w:val="20"/>
                <w:szCs w:val="20"/>
                <w:color w:val="auto"/>
              </w:rPr>
            </w:pPr>
            <w:r>
              <w:rPr>
                <w:rFonts w:ascii="Arial" w:cs="Arial" w:eastAsia="Arial" w:hAnsi="Arial"/>
                <w:sz w:val="14"/>
                <w:szCs w:val="14"/>
                <w:color w:val="auto"/>
              </w:rPr>
              <w:t>Product sales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9,023</w:t>
            </w:r>
          </w:p>
        </w:tc>
        <w:tc>
          <w:tcPr>
            <w:tcW w:w="220" w:type="dxa"/>
            <w:vAlign w:val="bottom"/>
          </w:tcPr>
          <w:p>
            <w:pPr>
              <w:spacing w:after="0"/>
              <w:rPr>
                <w:sz w:val="14"/>
                <w:szCs w:val="14"/>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Licensing, royalty, and other revenue</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1,003</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5,488</w:t>
            </w:r>
          </w:p>
        </w:tc>
        <w:tc>
          <w:tcPr>
            <w:tcW w:w="0" w:type="dxa"/>
            <w:vAlign w:val="bottom"/>
          </w:tcPr>
          <w:p>
            <w:pPr>
              <w:spacing w:after="0"/>
              <w:rPr>
                <w:sz w:val="1"/>
                <w:szCs w:val="1"/>
                <w:color w:val="auto"/>
              </w:rPr>
            </w:pPr>
          </w:p>
        </w:tc>
      </w:tr>
      <w:tr>
        <w:trPr>
          <w:trHeight w:val="164"/>
        </w:trPr>
        <w:tc>
          <w:tcPr>
            <w:tcW w:w="8580" w:type="dxa"/>
            <w:vAlign w:val="bottom"/>
          </w:tcPr>
          <w:p>
            <w:pPr>
              <w:ind w:left="220"/>
              <w:spacing w:after="0"/>
              <w:rPr>
                <w:sz w:val="20"/>
                <w:szCs w:val="20"/>
                <w:color w:val="auto"/>
              </w:rPr>
            </w:pPr>
            <w:r>
              <w:rPr>
                <w:rFonts w:ascii="Arial" w:cs="Arial" w:eastAsia="Arial" w:hAnsi="Arial"/>
                <w:sz w:val="14"/>
                <w:szCs w:val="14"/>
                <w:color w:val="auto"/>
              </w:rPr>
              <w:t>Total revenue</w:t>
            </w:r>
          </w:p>
        </w:tc>
        <w:tc>
          <w:tcPr>
            <w:tcW w:w="3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10,026</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14,853</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5,241</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4,898</w:t>
            </w:r>
          </w:p>
        </w:tc>
        <w:tc>
          <w:tcPr>
            <w:tcW w:w="0" w:type="dxa"/>
            <w:vAlign w:val="bottom"/>
          </w:tcPr>
          <w:p>
            <w:pPr>
              <w:spacing w:after="0"/>
              <w:rPr>
                <w:sz w:val="1"/>
                <w:szCs w:val="1"/>
                <w:color w:val="auto"/>
              </w:rPr>
            </w:pPr>
          </w:p>
        </w:tc>
      </w:tr>
      <w:tr>
        <w:trPr>
          <w:trHeight w:val="164"/>
        </w:trPr>
        <w:tc>
          <w:tcPr>
            <w:tcW w:w="8580" w:type="dxa"/>
            <w:vAlign w:val="bottom"/>
          </w:tcPr>
          <w:p>
            <w:pPr>
              <w:ind w:left="22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4,785</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9,955</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580" w:type="dxa"/>
            <w:vAlign w:val="bottom"/>
          </w:tcPr>
          <w:p>
            <w:pPr>
              <w:ind w:left="2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3,998</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176"/>
        </w:trPr>
        <w:tc>
          <w:tcPr>
            <w:tcW w:w="8580" w:type="dxa"/>
            <w:vAlign w:val="bottom"/>
          </w:tcPr>
          <w:p>
            <w:pPr>
              <w:ind w:left="22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3,595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3,219</w:t>
            </w:r>
          </w:p>
        </w:tc>
        <w:tc>
          <w:tcPr>
            <w:tcW w:w="0" w:type="dxa"/>
            <w:vAlign w:val="bottom"/>
          </w:tcPr>
          <w:p>
            <w:pPr>
              <w:spacing w:after="0"/>
              <w:rPr>
                <w:sz w:val="1"/>
                <w:szCs w:val="1"/>
                <w:color w:val="auto"/>
              </w:rPr>
            </w:pPr>
          </w:p>
        </w:tc>
      </w:tr>
      <w:tr>
        <w:trPr>
          <w:trHeight w:val="181"/>
        </w:trPr>
        <w:tc>
          <w:tcPr>
            <w:tcW w:w="8580" w:type="dxa"/>
            <w:vAlign w:val="bottom"/>
          </w:tcPr>
          <w:p>
            <w:pPr>
              <w:ind w:left="220"/>
              <w:spacing w:after="0"/>
              <w:rPr>
                <w:sz w:val="20"/>
                <w:szCs w:val="20"/>
                <w:color w:val="auto"/>
              </w:rPr>
            </w:pPr>
            <w:r>
              <w:rPr>
                <w:rFonts w:ascii="Arial" w:cs="Arial" w:eastAsia="Arial" w:hAnsi="Arial"/>
                <w:sz w:val="14"/>
                <w:szCs w:val="14"/>
                <w:color w:val="auto"/>
              </w:rPr>
              <w:t>Sales and marketing</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1,364</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1,366</w:t>
            </w:r>
          </w:p>
        </w:tc>
        <w:tc>
          <w:tcPr>
            <w:tcW w:w="0" w:type="dxa"/>
            <w:vAlign w:val="bottom"/>
          </w:tcPr>
          <w:p>
            <w:pPr>
              <w:spacing w:after="0"/>
              <w:rPr>
                <w:sz w:val="1"/>
                <w:szCs w:val="1"/>
                <w:color w:val="auto"/>
              </w:rPr>
            </w:pPr>
          </w:p>
        </w:tc>
      </w:tr>
      <w:tr>
        <w:trPr>
          <w:trHeight w:val="169"/>
        </w:trPr>
        <w:tc>
          <w:tcPr>
            <w:tcW w:w="8580" w:type="dxa"/>
            <w:vAlign w:val="bottom"/>
          </w:tcPr>
          <w:p>
            <w:pPr>
              <w:ind w:left="42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8,957</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11,065</w:t>
            </w:r>
          </w:p>
        </w:tc>
        <w:tc>
          <w:tcPr>
            <w:tcW w:w="0" w:type="dxa"/>
            <w:vAlign w:val="bottom"/>
          </w:tcPr>
          <w:p>
            <w:pPr>
              <w:spacing w:after="0"/>
              <w:rPr>
                <w:sz w:val="1"/>
                <w:szCs w:val="1"/>
                <w:color w:val="auto"/>
              </w:rPr>
            </w:pPr>
          </w:p>
        </w:tc>
      </w:tr>
      <w:tr>
        <w:trPr>
          <w:trHeight w:val="164"/>
        </w:trPr>
        <w:tc>
          <w:tcPr>
            <w:tcW w:w="8580" w:type="dxa"/>
            <w:vAlign w:val="bottom"/>
          </w:tcPr>
          <w:p>
            <w:pPr>
              <w:spacing w:after="0"/>
              <w:rPr>
                <w:sz w:val="20"/>
                <w:szCs w:val="20"/>
                <w:color w:val="auto"/>
              </w:rPr>
            </w:pPr>
            <w:r>
              <w:rPr>
                <w:rFonts w:ascii="Arial" w:cs="Arial" w:eastAsia="Arial" w:hAnsi="Arial"/>
                <w:sz w:val="14"/>
                <w:szCs w:val="14"/>
                <w:color w:val="auto"/>
              </w:rPr>
              <w:t>Loss from operations</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(4,172)</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(1,110)</w:t>
            </w:r>
          </w:p>
        </w:tc>
        <w:tc>
          <w:tcPr>
            <w:tcW w:w="0" w:type="dxa"/>
            <w:vAlign w:val="bottom"/>
          </w:tcPr>
          <w:p>
            <w:pPr>
              <w:spacing w:after="0"/>
              <w:rPr>
                <w:sz w:val="1"/>
                <w:szCs w:val="1"/>
                <w:color w:val="auto"/>
              </w:rPr>
            </w:pPr>
          </w:p>
        </w:tc>
      </w:tr>
      <w:tr>
        <w:trPr>
          <w:trHeight w:val="176"/>
        </w:trPr>
        <w:tc>
          <w:tcPr>
            <w:tcW w:w="8580" w:type="dxa"/>
            <w:vAlign w:val="bottom"/>
          </w:tcPr>
          <w:p>
            <w:pPr>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20"/>
                <w:szCs w:val="20"/>
                <w:color w:val="auto"/>
              </w:rPr>
            </w:pPr>
            <w:r>
              <w:rPr>
                <w:rFonts w:ascii="Arial" w:cs="Arial" w:eastAsia="Arial" w:hAnsi="Arial"/>
                <w:sz w:val="14"/>
                <w:szCs w:val="14"/>
                <w:color w:val="auto"/>
              </w:rPr>
              <w:t>Other income, net</w:t>
            </w:r>
          </w:p>
        </w:tc>
        <w:tc>
          <w:tcPr>
            <w:tcW w:w="3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2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9"/>
        </w:trPr>
        <w:tc>
          <w:tcPr>
            <w:tcW w:w="8580" w:type="dxa"/>
            <w:vAlign w:val="bottom"/>
          </w:tcPr>
          <w:p>
            <w:pPr>
              <w:spacing w:after="0"/>
              <w:rPr>
                <w:sz w:val="20"/>
                <w:szCs w:val="20"/>
                <w:color w:val="auto"/>
              </w:rPr>
            </w:pPr>
            <w:r>
              <w:rPr>
                <w:rFonts w:ascii="Arial" w:cs="Arial" w:eastAsia="Arial" w:hAnsi="Arial"/>
                <w:sz w:val="14"/>
                <w:szCs w:val="14"/>
                <w:color w:val="auto"/>
              </w:rPr>
              <w:t>Net loss and comprehensive loss</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Net loss per common share, basic and diluted</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vMerge w:val="continue"/>
          </w:tcPr>
          <w:p>
            <w:pPr>
              <w:spacing w:after="0"/>
              <w:rPr>
                <w:sz w:val="13"/>
                <w:szCs w:val="13"/>
                <w:color w:val="auto"/>
              </w:rPr>
            </w:pPr>
          </w:p>
        </w:tc>
        <w:tc>
          <w:tcPr>
            <w:tcW w:w="320" w:type="dxa"/>
            <w:vAlign w:val="bottom"/>
            <w:tcBorders>
              <w:top w:val="single" w:sz="8" w:color="auto"/>
              <w:bottom w:val="single" w:sz="8" w:color="auto"/>
            </w:tcBorders>
          </w:tcPr>
          <w:p>
            <w:pPr>
              <w:jc w:val="right"/>
              <w:ind w:right="128"/>
              <w:spacing w:after="0" w:line="156"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(0.25)</w:t>
            </w:r>
          </w:p>
        </w:tc>
        <w:tc>
          <w:tcPr>
            <w:tcW w:w="2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168"/>
              <w:spacing w:after="0" w:line="156"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Weighted-average shares used to compute net loss per common share, basic and diluted</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17,097,999</w:t>
            </w:r>
          </w:p>
        </w:tc>
        <w:tc>
          <w:tcPr>
            <w:tcW w:w="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8"/>
              <w:spacing w:after="0" w:line="156" w:lineRule="exact"/>
              <w:rPr>
                <w:sz w:val="20"/>
                <w:szCs w:val="20"/>
                <w:color w:val="auto"/>
              </w:rPr>
            </w:pPr>
            <w:r>
              <w:rPr>
                <w:rFonts w:ascii="Arial" w:cs="Arial" w:eastAsia="Arial" w:hAnsi="Arial"/>
                <w:sz w:val="14"/>
                <w:szCs w:val="14"/>
                <w:color w:val="auto"/>
              </w:rPr>
              <w:t>14,789,036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EVERSPIN TECHNOLOGIES,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Statement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9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4"/>
        </w:trPr>
        <w:tc>
          <w:tcPr>
            <w:tcW w:w="92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(4,256)</w:t>
            </w:r>
          </w:p>
        </w:tc>
        <w:tc>
          <w:tcPr>
            <w:tcW w:w="5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Loss on disposal of property and equipment</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704</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Non-cash interest expense</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Compensation expense related to vesting of common stock to GLOBALFOUNDRIES</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1,540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(5,580)</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Accrued liabilities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76"/>
        </w:trPr>
        <w:tc>
          <w:tcPr>
            <w:tcW w:w="9280" w:type="dxa"/>
            <w:vAlign w:val="bottom"/>
          </w:tcPr>
          <w:p>
            <w:pPr>
              <w:ind w:left="220"/>
              <w:spacing w:after="0"/>
              <w:rPr>
                <w:sz w:val="20"/>
                <w:szCs w:val="20"/>
                <w:color w:val="auto"/>
              </w:rPr>
            </w:pPr>
            <w:r>
              <w:rPr>
                <w:rFonts w:ascii="Arial" w:cs="Arial" w:eastAsia="Arial" w:hAnsi="Arial"/>
                <w:sz w:val="14"/>
                <w:szCs w:val="14"/>
                <w:color w:val="auto"/>
              </w:rPr>
              <w:t>Lease liabilities</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9280" w:type="dxa"/>
            <w:vAlign w:val="bottom"/>
          </w:tcPr>
          <w:p>
            <w:pPr>
              <w:ind w:left="220"/>
              <w:spacing w:after="0"/>
              <w:rPr>
                <w:sz w:val="20"/>
                <w:szCs w:val="20"/>
                <w:color w:val="auto"/>
              </w:rPr>
            </w:pPr>
            <w:r>
              <w:rPr>
                <w:rFonts w:ascii="Arial" w:cs="Arial" w:eastAsia="Arial" w:hAnsi="Arial"/>
                <w:sz w:val="14"/>
                <w:szCs w:val="14"/>
                <w:color w:val="auto"/>
              </w:rPr>
              <w:t>Shipping term reversal</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9"/>
        </w:trPr>
        <w:tc>
          <w:tcPr>
            <w:tcW w:w="9280" w:type="dxa"/>
            <w:vAlign w:val="bottom"/>
          </w:tcPr>
          <w:p>
            <w:pPr>
              <w:ind w:left="220"/>
              <w:spacing w:after="0"/>
              <w:rPr>
                <w:sz w:val="20"/>
                <w:szCs w:val="20"/>
                <w:color w:val="auto"/>
              </w:rPr>
            </w:pPr>
            <w:r>
              <w:rPr>
                <w:rFonts w:ascii="Arial" w:cs="Arial" w:eastAsia="Arial" w:hAnsi="Arial"/>
                <w:sz w:val="14"/>
                <w:szCs w:val="14"/>
                <w:color w:val="auto"/>
              </w:rPr>
              <w:t>Net cash used in operating activities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(3,149)</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(3,738)</w:t>
            </w:r>
          </w:p>
        </w:tc>
        <w:tc>
          <w:tcPr>
            <w:tcW w:w="0" w:type="dxa"/>
            <w:vAlign w:val="bottom"/>
          </w:tcPr>
          <w:p>
            <w:pPr>
              <w:spacing w:after="0"/>
              <w:rPr>
                <w:sz w:val="1"/>
                <w:szCs w:val="1"/>
                <w:color w:val="auto"/>
              </w:rPr>
            </w:pPr>
          </w:p>
        </w:tc>
      </w:tr>
      <w:tr>
        <w:trPr>
          <w:trHeight w:val="164"/>
        </w:trPr>
        <w:tc>
          <w:tcPr>
            <w:tcW w:w="928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92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9"/>
        </w:trPr>
        <w:tc>
          <w:tcPr>
            <w:tcW w:w="9280" w:type="dxa"/>
            <w:vAlign w:val="bottom"/>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4"/>
        </w:trPr>
        <w:tc>
          <w:tcPr>
            <w:tcW w:w="92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Proceeds from the issuance of common stock, net of offering costs</w:t>
            </w:r>
          </w:p>
        </w:tc>
        <w:tc>
          <w:tcPr>
            <w:tcW w:w="220" w:type="dxa"/>
            <w:vAlign w:val="bottom"/>
          </w:tcPr>
          <w:p>
            <w:pPr>
              <w:spacing w:after="0"/>
              <w:rPr>
                <w:sz w:val="15"/>
                <w:szCs w:val="15"/>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24,609</w:t>
            </w: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Payments on debt</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(1,500)</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9280" w:type="dxa"/>
            <w:vAlign w:val="bottom"/>
          </w:tcPr>
          <w:p>
            <w:pPr>
              <w:spacing w:after="0"/>
              <w:rPr>
                <w:sz w:val="20"/>
                <w:szCs w:val="20"/>
                <w:color w:val="auto"/>
              </w:rPr>
            </w:pPr>
            <w:r>
              <w:rPr>
                <w:rFonts w:ascii="Arial" w:cs="Arial" w:eastAsia="Arial" w:hAnsi="Arial"/>
                <w:sz w:val="14"/>
                <w:szCs w:val="14"/>
                <w:color w:val="auto"/>
              </w:rPr>
              <w:t>Payments on finance lease obligation</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9280" w:type="dxa"/>
            <w:vAlign w:val="bottom"/>
          </w:tcPr>
          <w:p>
            <w:pPr>
              <w:spacing w:after="0"/>
              <w:rPr>
                <w:sz w:val="20"/>
                <w:szCs w:val="20"/>
                <w:color w:val="auto"/>
              </w:rPr>
            </w:pPr>
            <w:r>
              <w:rPr>
                <w:rFonts w:ascii="Arial" w:cs="Arial" w:eastAsia="Arial" w:hAnsi="Arial"/>
                <w:sz w:val="14"/>
                <w:szCs w:val="14"/>
                <w:color w:val="auto"/>
              </w:rPr>
              <w:t>Proceeds from exercise of stock options and purchase of shares in employee stock purchase plan</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69"/>
        </w:trPr>
        <w:tc>
          <w:tcPr>
            <w:tcW w:w="9280" w:type="dxa"/>
            <w:vAlign w:val="bottom"/>
          </w:tcPr>
          <w:p>
            <w:pPr>
              <w:ind w:left="220"/>
              <w:spacing w:after="0"/>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24,915</w:t>
            </w:r>
          </w:p>
        </w:tc>
        <w:tc>
          <w:tcPr>
            <w:tcW w:w="0" w:type="dxa"/>
            <w:vAlign w:val="bottom"/>
          </w:tcPr>
          <w:p>
            <w:pPr>
              <w:spacing w:after="0"/>
              <w:rPr>
                <w:sz w:val="1"/>
                <w:szCs w:val="1"/>
                <w:color w:val="auto"/>
              </w:rPr>
            </w:pPr>
          </w:p>
        </w:tc>
      </w:tr>
      <w:tr>
        <w:trPr>
          <w:trHeight w:val="164"/>
        </w:trPr>
        <w:tc>
          <w:tcPr>
            <w:tcW w:w="9280" w:type="dxa"/>
            <w:vAlign w:val="bottom"/>
          </w:tcPr>
          <w:p>
            <w:pPr>
              <w:spacing w:after="0"/>
              <w:rPr>
                <w:sz w:val="20"/>
                <w:szCs w:val="20"/>
                <w:color w:val="auto"/>
              </w:rPr>
            </w:pPr>
            <w:r>
              <w:rPr>
                <w:rFonts w:ascii="Arial" w:cs="Arial" w:eastAsia="Arial" w:hAnsi="Arial"/>
                <w:sz w:val="14"/>
                <w:szCs w:val="14"/>
                <w:color w:val="auto"/>
              </w:rPr>
              <w:t>Net (decrease) increase in cash and cash equivalents</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(4,864)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20,933</w:t>
            </w:r>
          </w:p>
        </w:tc>
        <w:tc>
          <w:tcPr>
            <w:tcW w:w="0" w:type="dxa"/>
            <w:vAlign w:val="bottom"/>
          </w:tcPr>
          <w:p>
            <w:pPr>
              <w:spacing w:after="0"/>
              <w:rPr>
                <w:sz w:val="1"/>
                <w:szCs w:val="1"/>
                <w:color w:val="auto"/>
              </w:rPr>
            </w:pPr>
          </w:p>
        </w:tc>
      </w:tr>
      <w:tr>
        <w:trPr>
          <w:trHeight w:val="181"/>
        </w:trPr>
        <w:tc>
          <w:tcPr>
            <w:tcW w:w="928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23,379</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12,950</w:t>
            </w:r>
          </w:p>
        </w:tc>
        <w:tc>
          <w:tcPr>
            <w:tcW w:w="0" w:type="dxa"/>
            <w:vAlign w:val="bottom"/>
          </w:tcPr>
          <w:p>
            <w:pPr>
              <w:spacing w:after="0"/>
              <w:rPr>
                <w:sz w:val="1"/>
                <w:szCs w:val="1"/>
                <w:color w:val="auto"/>
              </w:rPr>
            </w:pPr>
          </w:p>
        </w:tc>
      </w:tr>
      <w:tr>
        <w:trPr>
          <w:trHeight w:val="169"/>
        </w:trPr>
        <w:tc>
          <w:tcPr>
            <w:tcW w:w="9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18,515</w:t>
            </w:r>
          </w:p>
        </w:tc>
        <w:tc>
          <w:tcPr>
            <w:tcW w:w="220" w:type="dxa"/>
            <w:vAlign w:val="bottom"/>
          </w:tcPr>
          <w:p>
            <w:pPr>
              <w:spacing w:after="0"/>
              <w:rPr>
                <w:sz w:val="14"/>
                <w:szCs w:val="14"/>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33,883</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cash flow information:</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280" w:type="dxa"/>
            <w:vAlign w:val="bottom"/>
          </w:tcPr>
          <w:p>
            <w:pPr>
              <w:spacing w:after="0"/>
              <w:rPr>
                <w:sz w:val="20"/>
                <w:szCs w:val="20"/>
                <w:color w:val="auto"/>
              </w:rPr>
            </w:pPr>
            <w:r>
              <w:rPr>
                <w:rFonts w:ascii="Arial" w:cs="Arial" w:eastAsia="Arial" w:hAnsi="Arial"/>
                <w:sz w:val="14"/>
                <w:szCs w:val="14"/>
                <w:color w:val="auto"/>
              </w:rPr>
              <w:t>Interest paid</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15"/>
                <w:szCs w:val="15"/>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4"/>
                <w:szCs w:val="14"/>
                <w:color w:val="auto"/>
              </w:rPr>
              <w:t>Operating cash flows paid for operating leases</w:t>
            </w: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80" w:type="dxa"/>
            <w:vAlign w:val="bottom"/>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416</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4"/>
                <w:szCs w:val="14"/>
                <w:color w:val="auto"/>
              </w:rPr>
              <w:t>Financing cash flows paid for finance leases</w:t>
            </w: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80" w:type="dxa"/>
            <w:vAlign w:val="bottom"/>
            <w:vMerge w:val="continue"/>
          </w:tcPr>
          <w:p>
            <w:pPr>
              <w:spacing w:after="0"/>
              <w:rPr>
                <w:sz w:val="13"/>
                <w:szCs w:val="13"/>
                <w:color w:val="auto"/>
              </w:rPr>
            </w:pPr>
          </w:p>
        </w:tc>
        <w:tc>
          <w:tcPr>
            <w:tcW w:w="22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line="156"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68"/>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280" w:type="dxa"/>
            <w:vAlign w:val="bottom"/>
            <w:vMerge w:val="restart"/>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92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9280" w:type="dxa"/>
            <w:vAlign w:val="bottom"/>
          </w:tcPr>
          <w:p>
            <w:pPr>
              <w:spacing w:after="0"/>
              <w:rPr>
                <w:sz w:val="20"/>
                <w:szCs w:val="20"/>
                <w:color w:val="auto"/>
              </w:rPr>
            </w:pPr>
            <w:r>
              <w:rPr>
                <w:rFonts w:ascii="Arial" w:cs="Arial" w:eastAsia="Arial" w:hAnsi="Arial"/>
                <w:sz w:val="14"/>
                <w:szCs w:val="14"/>
                <w:color w:val="auto"/>
              </w:rPr>
              <w:t>Purchases of property and equipment in accounts payable</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5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Everspin Investor Relations Contact:</w:t>
      </w:r>
    </w:p>
    <w:p>
      <w:pPr>
        <w:spacing w:after="0" w:line="230" w:lineRule="auto"/>
        <w:rPr>
          <w:sz w:val="20"/>
          <w:szCs w:val="20"/>
          <w:color w:val="auto"/>
        </w:rPr>
      </w:pPr>
      <w:r>
        <w:rPr>
          <w:rFonts w:ascii="Arial" w:cs="Arial" w:eastAsia="Arial" w:hAnsi="Arial"/>
          <w:sz w:val="22"/>
          <w:szCs w:val="22"/>
          <w:color w:val="auto"/>
        </w:rPr>
        <w:t>Leanne K. Sievers, President</w:t>
      </w:r>
    </w:p>
    <w:p>
      <w:pPr>
        <w:spacing w:after="0" w:line="231" w:lineRule="auto"/>
        <w:rPr>
          <w:sz w:val="20"/>
          <w:szCs w:val="20"/>
          <w:color w:val="auto"/>
        </w:rPr>
      </w:pPr>
      <w:r>
        <w:rPr>
          <w:rFonts w:ascii="Arial" w:cs="Arial" w:eastAsia="Arial" w:hAnsi="Arial"/>
          <w:sz w:val="22"/>
          <w:szCs w:val="22"/>
          <w:color w:val="auto"/>
        </w:rPr>
        <w:t>Shelton Group Investor Relations</w:t>
      </w:r>
    </w:p>
    <w:p>
      <w:pPr>
        <w:spacing w:after="0" w:line="231" w:lineRule="auto"/>
        <w:rPr>
          <w:sz w:val="20"/>
          <w:szCs w:val="20"/>
          <w:color w:val="auto"/>
        </w:rPr>
      </w:pPr>
      <w:r>
        <w:rPr>
          <w:rFonts w:ascii="Arial" w:cs="Arial" w:eastAsia="Arial" w:hAnsi="Arial"/>
          <w:sz w:val="22"/>
          <w:szCs w:val="22"/>
          <w:color w:val="auto"/>
        </w:rPr>
        <w:t>T: 949-224-3874</w:t>
      </w:r>
    </w:p>
    <w:p>
      <w:pPr>
        <w:ind w:left="260" w:hanging="252"/>
        <w:spacing w:after="0"/>
        <w:tabs>
          <w:tab w:leader="none" w:pos="26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sheltonir@sheltongroup.com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2019-12-28T12:51:47Z</dcterms:created>
  <dcterms:modified xsi:type="dcterms:W3CDTF">2019-12-28T12:51:47Z</dcterms:modified>
</cp:coreProperties>
</file>