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148590</wp:posOffset>
            </wp:positionV>
            <wp:extent cx="72891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Report (Date of earliest event reported): March 14,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Everspin Technologies,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3200" w:type="dxa"/>
            <w:vAlign w:val="bottom"/>
          </w:tcPr>
          <w:p>
            <w:pPr>
              <w:jc w:val="center"/>
              <w:ind w:right="1070"/>
              <w:spacing w:after="0"/>
              <w:rPr>
                <w:sz w:val="20"/>
                <w:szCs w:val="20"/>
                <w:color w:val="auto"/>
              </w:rPr>
            </w:pPr>
            <w:r>
              <w:rPr>
                <w:rFonts w:ascii="Arial" w:cs="Arial" w:eastAsia="Arial" w:hAnsi="Arial"/>
                <w:sz w:val="18"/>
                <w:szCs w:val="18"/>
                <w:b w:val="1"/>
                <w:bCs w:val="1"/>
                <w:color w:val="auto"/>
                <w:w w:val="91"/>
              </w:rPr>
              <w:t>Delaware</w:t>
            </w:r>
          </w:p>
        </w:tc>
        <w:tc>
          <w:tcPr>
            <w:tcW w:w="34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001-37900</w:t>
            </w:r>
          </w:p>
        </w:tc>
        <w:tc>
          <w:tcPr>
            <w:tcW w:w="2700" w:type="dxa"/>
            <w:vAlign w:val="bottom"/>
          </w:tcPr>
          <w:p>
            <w:pPr>
              <w:jc w:val="center"/>
              <w:ind w:left="1210"/>
              <w:spacing w:after="0"/>
              <w:rPr>
                <w:sz w:val="20"/>
                <w:szCs w:val="20"/>
                <w:color w:val="auto"/>
              </w:rPr>
            </w:pPr>
            <w:r>
              <w:rPr>
                <w:rFonts w:ascii="Arial" w:cs="Arial" w:eastAsia="Arial" w:hAnsi="Arial"/>
                <w:sz w:val="18"/>
                <w:szCs w:val="18"/>
                <w:b w:val="1"/>
                <w:bCs w:val="1"/>
                <w:color w:val="auto"/>
                <w:w w:val="91"/>
              </w:rPr>
              <w:t>26-2640654</w:t>
            </w:r>
          </w:p>
        </w:tc>
      </w:tr>
      <w:tr>
        <w:trPr>
          <w:trHeight w:val="225"/>
        </w:trPr>
        <w:tc>
          <w:tcPr>
            <w:tcW w:w="3200" w:type="dxa"/>
            <w:vAlign w:val="bottom"/>
          </w:tcPr>
          <w:p>
            <w:pPr>
              <w:jc w:val="center"/>
              <w:ind w:right="1050"/>
              <w:spacing w:after="0"/>
              <w:rPr>
                <w:sz w:val="20"/>
                <w:szCs w:val="20"/>
                <w:color w:val="auto"/>
              </w:rPr>
            </w:pPr>
            <w:r>
              <w:rPr>
                <w:rFonts w:ascii="Arial" w:cs="Arial" w:eastAsia="Arial" w:hAnsi="Arial"/>
                <w:sz w:val="18"/>
                <w:szCs w:val="18"/>
                <w:b w:val="1"/>
                <w:bCs w:val="1"/>
                <w:color w:val="auto"/>
                <w:w w:val="91"/>
              </w:rPr>
              <w:t>(State or other jurisdiction</w:t>
            </w:r>
          </w:p>
        </w:tc>
        <w:tc>
          <w:tcPr>
            <w:tcW w:w="34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(Commission</w:t>
            </w:r>
          </w:p>
        </w:tc>
        <w:tc>
          <w:tcPr>
            <w:tcW w:w="2700" w:type="dxa"/>
            <w:vAlign w:val="bottom"/>
          </w:tcPr>
          <w:p>
            <w:pPr>
              <w:jc w:val="center"/>
              <w:ind w:left="1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200" w:type="dxa"/>
            <w:vAlign w:val="bottom"/>
          </w:tcPr>
          <w:p>
            <w:pPr>
              <w:jc w:val="center"/>
              <w:ind w:right="1070"/>
              <w:spacing w:after="0"/>
              <w:rPr>
                <w:sz w:val="20"/>
                <w:szCs w:val="20"/>
                <w:color w:val="auto"/>
              </w:rPr>
            </w:pPr>
            <w:r>
              <w:rPr>
                <w:rFonts w:ascii="Arial" w:cs="Arial" w:eastAsia="Arial" w:hAnsi="Arial"/>
                <w:sz w:val="18"/>
                <w:szCs w:val="18"/>
                <w:b w:val="1"/>
                <w:bCs w:val="1"/>
                <w:color w:val="auto"/>
                <w:w w:val="91"/>
              </w:rPr>
              <w:t>of incorporation)</w:t>
            </w:r>
          </w:p>
        </w:tc>
        <w:tc>
          <w:tcPr>
            <w:tcW w:w="348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File Number)</w:t>
            </w:r>
          </w:p>
        </w:tc>
        <w:tc>
          <w:tcPr>
            <w:tcW w:w="2700" w:type="dxa"/>
            <w:vAlign w:val="bottom"/>
          </w:tcPr>
          <w:p>
            <w:pPr>
              <w:jc w:val="center"/>
              <w:ind w:left="1210"/>
              <w:spacing w:after="0"/>
              <w:rPr>
                <w:sz w:val="20"/>
                <w:szCs w:val="20"/>
                <w:color w:val="auto"/>
              </w:rPr>
            </w:pPr>
            <w:r>
              <w:rPr>
                <w:rFonts w:ascii="Arial" w:cs="Arial" w:eastAsia="Arial" w:hAnsi="Arial"/>
                <w:sz w:val="18"/>
                <w:szCs w:val="18"/>
                <w:b w:val="1"/>
                <w:bCs w:val="1"/>
                <w:color w:val="auto"/>
                <w:w w:val="92"/>
              </w:rPr>
              <w:t>Identification No.)</w:t>
            </w:r>
          </w:p>
        </w:tc>
      </w:tr>
    </w:tbl>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5670 W. Chandler Blvd.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Suite 100</w:t>
      </w:r>
    </w:p>
    <w:p>
      <w:pPr>
        <w:jc w:val="center"/>
        <w:spacing w:after="0" w:line="230" w:lineRule="auto"/>
        <w:rPr>
          <w:sz w:val="20"/>
          <w:szCs w:val="20"/>
          <w:color w:val="auto"/>
        </w:rPr>
      </w:pPr>
      <w:r>
        <w:rPr>
          <w:rFonts w:ascii="Arial" w:cs="Arial" w:eastAsia="Arial" w:hAnsi="Arial"/>
          <w:sz w:val="22"/>
          <w:szCs w:val="22"/>
          <w:b w:val="1"/>
          <w:bCs w:val="1"/>
          <w:color w:val="auto"/>
        </w:rPr>
        <w:t>Chandler, Arizona 85226</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(Address of principal executive offices, including zip code)</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(480) 347-1111</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18"/>
          <w:szCs w:val="18"/>
          <w:b w:val="1"/>
          <w:bCs w:val="1"/>
          <w:color w:val="auto"/>
        </w:rPr>
        <w:t>Registrant’s telephone number, including area code)</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Not Applicable</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60"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21"/>
          <w:szCs w:val="21"/>
          <w:color w:val="auto"/>
        </w:rPr>
        <w:t>☑</w:t>
      </w:r>
    </w:p>
    <w:p>
      <w:pPr>
        <w:spacing w:after="0" w:line="169" w:lineRule="exact"/>
        <w:rPr>
          <w:sz w:val="24"/>
          <w:szCs w:val="24"/>
          <w:color w:val="auto"/>
        </w:rPr>
      </w:pPr>
    </w:p>
    <w:p>
      <w:pPr>
        <w:ind w:right="8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March 14, 2019, Everspin Technologies, Inc. issued a press release, a copy of which is attached hereto as Exhibit 99.1 and is incorporated herein by reference.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6"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u w:val="single" w:color="auto"/>
          <w:color w:val="auto"/>
        </w:rPr>
        <w:t>Exhibit No.</w:t>
      </w:r>
      <w:r>
        <w:rPr>
          <w:sz w:val="20"/>
          <w:szCs w:val="20"/>
          <w:color w:val="auto"/>
        </w:rPr>
        <w:tab/>
      </w:r>
      <w:r>
        <w:rPr>
          <w:rFonts w:ascii="Arial" w:cs="Arial" w:eastAsia="Arial" w:hAnsi="Arial"/>
          <w:sz w:val="19"/>
          <w:szCs w:val="19"/>
          <w:b w:val="1"/>
          <w:bCs w:val="1"/>
          <w:u w:val="single" w:color="auto"/>
          <w:color w:val="auto"/>
        </w:rPr>
        <w:t>Description</w:t>
      </w:r>
    </w:p>
    <w:p>
      <w:pPr>
        <w:spacing w:after="0" w:line="212" w:lineRule="exact"/>
        <w:rPr>
          <w:sz w:val="20"/>
          <w:szCs w:val="20"/>
          <w:color w:val="auto"/>
        </w:rPr>
      </w:pPr>
    </w:p>
    <w:p>
      <w:pPr>
        <w:spacing w:after="0"/>
        <w:tabs>
          <w:tab w:leader="none" w:pos="1500" w:val="left"/>
        </w:tabs>
        <w:rPr>
          <w:rFonts w:ascii="Arial" w:cs="Arial" w:eastAsia="Arial" w:hAnsi="Arial"/>
          <w:sz w:val="19"/>
          <w:szCs w:val="19"/>
          <w:u w:val="single" w:color="auto"/>
          <w:color w:val="0000EE"/>
        </w:rPr>
      </w:pPr>
      <w:hyperlink w:anchor="page3">
        <w:r>
          <w:rPr>
            <w:rFonts w:ascii="Arial" w:cs="Arial" w:eastAsia="Arial" w:hAnsi="Arial"/>
            <w:sz w:val="22"/>
            <w:szCs w:val="22"/>
            <w:u w:val="single" w:color="auto"/>
            <w:color w:val="0000EE"/>
          </w:rPr>
          <w:t>99.1</w:t>
        </w:r>
      </w:hyperlink>
      <w:r>
        <w:rPr>
          <w:rFonts w:ascii="Arial" w:cs="Arial" w:eastAsia="Arial" w:hAnsi="Arial"/>
          <w:sz w:val="22"/>
          <w:szCs w:val="22"/>
          <w:u w:val="single" w:color="auto"/>
          <w:color w:val="0000EE"/>
        </w:rPr>
        <w:tab/>
      </w:r>
      <w:hyperlink w:anchor="page3">
        <w:r>
          <w:rPr>
            <w:rFonts w:ascii="Arial" w:cs="Arial" w:eastAsia="Arial" w:hAnsi="Arial"/>
            <w:sz w:val="19"/>
            <w:szCs w:val="19"/>
            <w:u w:val="single" w:color="auto"/>
            <w:color w:val="0000EE"/>
          </w:rPr>
          <w:t>Press release dated March 14, 2019.</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9"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Everspin Technologies, Inc.</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Dated:March 14, 2019</w:t>
      </w:r>
    </w:p>
    <w:p>
      <w:pPr>
        <w:spacing w:after="0" w:line="36" w:lineRule="exact"/>
        <w:rPr>
          <w:sz w:val="20"/>
          <w:szCs w:val="20"/>
          <w:color w:val="auto"/>
        </w:rPr>
      </w:pPr>
    </w:p>
    <w:p>
      <w:pPr>
        <w:ind w:left="6120"/>
        <w:spacing w:after="0"/>
        <w:tabs>
          <w:tab w:leader="none" w:pos="6640" w:val="left"/>
        </w:tabs>
        <w:rPr>
          <w:sz w:val="20"/>
          <w:szCs w:val="20"/>
          <w:color w:val="auto"/>
        </w:rPr>
      </w:pPr>
      <w:r>
        <w:rPr>
          <w:rFonts w:ascii="Arial" w:cs="Arial" w:eastAsia="Arial" w:hAnsi="Arial"/>
          <w:sz w:val="18"/>
          <w:szCs w:val="18"/>
          <w:color w:val="auto"/>
        </w:rPr>
        <w:t>By:</w:t>
        <w:tab/>
        <w:t>/s/ Jeffrey Winzeler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23495</wp:posOffset>
            </wp:positionV>
            <wp:extent cx="30784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30"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Jeffrey Winzeler</w:t>
      </w:r>
    </w:p>
    <w:p>
      <w:pPr>
        <w:spacing w:after="0" w:line="3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320"/>
          </w:cols>
          <w:pgMar w:left="240" w:top="111"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Everspin Reports Fourth Quarter and Fiscal Year 2018 Financial Results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Fourth Quarter Revenue Increases 21% Year-over-Year and Full Year Revenue Grows 38%</w:t>
      </w:r>
    </w:p>
    <w:p>
      <w:pPr>
        <w:spacing w:after="0" w:line="206" w:lineRule="exact"/>
        <w:rPr>
          <w:sz w:val="20"/>
          <w:szCs w:val="20"/>
          <w:color w:val="auto"/>
        </w:rPr>
      </w:pPr>
    </w:p>
    <w:p>
      <w:pPr>
        <w:ind w:right="220"/>
        <w:spacing w:after="0" w:line="274" w:lineRule="auto"/>
        <w:rPr>
          <w:sz w:val="20"/>
          <w:szCs w:val="20"/>
          <w:color w:val="auto"/>
        </w:rPr>
      </w:pPr>
      <w:r>
        <w:rPr>
          <w:rFonts w:ascii="Arial" w:cs="Arial" w:eastAsia="Arial" w:hAnsi="Arial"/>
          <w:sz w:val="21"/>
          <w:szCs w:val="21"/>
          <w:color w:val="auto"/>
        </w:rPr>
        <w:t>CHANDLER, Ariz.--(BUSINESS WIRE)--March 14, 2019--Everspin Technologies, Inc. (Nasdaq: MRAM), the market leader in MRAM, today announced financial results for the fourth quarter and full year ended December 31, 2018.</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Fourth Quarter and Full Year Highlights</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Fourth quarter total revenue grew 21% year-over-year to $12.3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1540"/>
        <w:spacing w:after="0" w:line="375" w:lineRule="auto"/>
        <w:rPr>
          <w:sz w:val="20"/>
          <w:szCs w:val="20"/>
          <w:color w:val="auto"/>
        </w:rPr>
      </w:pPr>
      <w:r>
        <w:rPr>
          <w:rFonts w:ascii="Arial" w:cs="Arial" w:eastAsia="Arial" w:hAnsi="Arial"/>
          <w:sz w:val="21"/>
          <w:szCs w:val="21"/>
          <w:color w:val="auto"/>
        </w:rPr>
        <w:t>Full year total revenue grew 38% over 2017 to $49.4 million, with MRAM product revenue increasing 40% Shipped world’s first pre-production customer samples of 28nm 1Gb STT-MRAM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-417830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-177165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320"/>
        <w:spacing w:after="0" w:line="379" w:lineRule="auto"/>
        <w:rPr>
          <w:sz w:val="20"/>
          <w:szCs w:val="20"/>
          <w:color w:val="auto"/>
        </w:rPr>
      </w:pPr>
      <w:r>
        <w:rPr>
          <w:rFonts w:ascii="Arial" w:cs="Arial" w:eastAsia="Arial" w:hAnsi="Arial"/>
          <w:sz w:val="22"/>
          <w:szCs w:val="22"/>
          <w:color w:val="auto"/>
        </w:rPr>
        <w:t>Increased volume production of 40nm 256Mb STT-MRAM in support of lead flash array customer Ended the year with cash and cash equivalents of $23.4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-445770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-205740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color w:val="auto"/>
        </w:rPr>
        <w:t>“2018 marked a transformational year for Everspin, with measurable progress on our MRAM initiatives resulting in</w:t>
      </w:r>
    </w:p>
    <w:p>
      <w:pPr>
        <w:spacing w:after="0" w:line="8" w:lineRule="exact"/>
        <w:rPr>
          <w:sz w:val="20"/>
          <w:szCs w:val="20"/>
          <w:color w:val="auto"/>
        </w:rPr>
      </w:pPr>
    </w:p>
    <w:p>
      <w:pPr>
        <w:jc w:val="both"/>
        <w:ind w:right="180"/>
        <w:spacing w:after="0" w:line="234" w:lineRule="auto"/>
        <w:rPr>
          <w:sz w:val="20"/>
          <w:szCs w:val="20"/>
          <w:color w:val="auto"/>
        </w:rPr>
      </w:pPr>
      <w:r>
        <w:rPr>
          <w:rFonts w:ascii="Arial" w:cs="Arial" w:eastAsia="Arial" w:hAnsi="Arial"/>
          <w:sz w:val="22"/>
          <w:szCs w:val="22"/>
          <w:color w:val="auto"/>
        </w:rPr>
        <w:t>MRAM product revenue growth of 40%,” stated Kevin Conley, Everspin’s President and CEO. “We successfully ramped volume production of our 256Mb STT-MRAM product, developed key manufacturing and licensing partnerships, as well as demonstrated continued improvements on Toggle production.</w:t>
      </w:r>
    </w:p>
    <w:p>
      <w:pPr>
        <w:spacing w:after="0" w:line="187" w:lineRule="exact"/>
        <w:rPr>
          <w:sz w:val="20"/>
          <w:szCs w:val="20"/>
          <w:color w:val="auto"/>
        </w:rPr>
      </w:pPr>
    </w:p>
    <w:p>
      <w:pPr>
        <w:ind w:right="60"/>
        <w:spacing w:after="0"/>
        <w:rPr>
          <w:sz w:val="20"/>
          <w:szCs w:val="20"/>
          <w:color w:val="auto"/>
        </w:rPr>
      </w:pPr>
      <w:r>
        <w:rPr>
          <w:rFonts w:ascii="Arial" w:cs="Arial" w:eastAsia="Arial" w:hAnsi="Arial"/>
          <w:sz w:val="22"/>
          <w:szCs w:val="22"/>
          <w:color w:val="auto"/>
        </w:rPr>
        <w:t>“Further, we achieved a significant milestone of shipping pre-production samples of our 28nm 1Gb STT-MRAM product to customers with positive initial feedback. We are actively preparing for qualifications and production ramp in the second half of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 w:name="page4"/>
    <w:bookmarkEnd w:id="3"/>
    <w:p>
      <w:pPr>
        <w:ind w:right="380"/>
        <w:spacing w:after="0" w:line="251" w:lineRule="auto"/>
        <w:rPr>
          <w:sz w:val="20"/>
          <w:szCs w:val="20"/>
          <w:color w:val="auto"/>
        </w:rPr>
      </w:pPr>
      <w:r>
        <w:rPr>
          <w:rFonts w:ascii="Arial" w:cs="Arial" w:eastAsia="Arial" w:hAnsi="Arial"/>
          <w:sz w:val="22"/>
          <w:szCs w:val="22"/>
          <w:color w:val="auto"/>
        </w:rPr>
        <w:t>“Looking forward, we continue to be focused on disciplined execution, operational excellence and technology leadership as we work to expand the pipeline of opportunities for both our Toggle and STT-MRAM products.”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Fourth Quarter and Full Year Results</w:t>
      </w:r>
    </w:p>
    <w:p>
      <w:pPr>
        <w:spacing w:after="0" w:line="212" w:lineRule="exact"/>
        <w:rPr>
          <w:sz w:val="20"/>
          <w:szCs w:val="20"/>
          <w:color w:val="auto"/>
        </w:rPr>
      </w:pPr>
    </w:p>
    <w:p>
      <w:pPr>
        <w:ind w:right="60"/>
        <w:spacing w:after="0"/>
        <w:rPr>
          <w:sz w:val="20"/>
          <w:szCs w:val="20"/>
          <w:color w:val="auto"/>
        </w:rPr>
      </w:pPr>
      <w:r>
        <w:rPr>
          <w:rFonts w:ascii="Arial" w:cs="Arial" w:eastAsia="Arial" w:hAnsi="Arial"/>
          <w:sz w:val="22"/>
          <w:szCs w:val="22"/>
          <w:color w:val="auto"/>
        </w:rPr>
        <w:t>Total revenue for the fourth quarter of 2018 was $12.3 million, a 21% increase over the $10.1 million reported in the fourth quarter of 2017 and a 7% increase over the $11.5 million in the previous quarter. For the full year, total revenue increased 38% to $49.4 million from $35.9 million in 2017.</w:t>
      </w:r>
    </w:p>
    <w:p>
      <w:pPr>
        <w:spacing w:after="0" w:line="186" w:lineRule="exact"/>
        <w:rPr>
          <w:sz w:val="20"/>
          <w:szCs w:val="20"/>
          <w:color w:val="auto"/>
        </w:rPr>
      </w:pPr>
    </w:p>
    <w:p>
      <w:pPr>
        <w:ind w:right="560"/>
        <w:spacing w:after="0" w:line="274" w:lineRule="auto"/>
        <w:rPr>
          <w:sz w:val="20"/>
          <w:szCs w:val="20"/>
          <w:color w:val="auto"/>
        </w:rPr>
      </w:pPr>
      <w:r>
        <w:rPr>
          <w:rFonts w:ascii="Arial" w:cs="Arial" w:eastAsia="Arial" w:hAnsi="Arial"/>
          <w:sz w:val="21"/>
          <w:szCs w:val="21"/>
          <w:color w:val="auto"/>
        </w:rPr>
        <w:t>Gross margin for the fourth quarter of 2018 was 44.2%, compared to gross margin of 61.5% in the fourth quarter of 2017 and 47.0% in the previous quarter. The full year 2018 gross margin was 51.3% compared to 59.8% in 2017.</w:t>
      </w:r>
    </w:p>
    <w:p>
      <w:pPr>
        <w:spacing w:after="0" w:line="151" w:lineRule="exact"/>
        <w:rPr>
          <w:sz w:val="20"/>
          <w:szCs w:val="20"/>
          <w:color w:val="auto"/>
        </w:rPr>
      </w:pPr>
    </w:p>
    <w:p>
      <w:pPr>
        <w:ind w:right="200"/>
        <w:spacing w:after="0" w:line="328" w:lineRule="auto"/>
        <w:rPr>
          <w:sz w:val="20"/>
          <w:szCs w:val="20"/>
          <w:color w:val="auto"/>
        </w:rPr>
      </w:pPr>
      <w:r>
        <w:rPr>
          <w:rFonts w:ascii="Arial" w:cs="Arial" w:eastAsia="Arial" w:hAnsi="Arial"/>
          <w:sz w:val="19"/>
          <w:szCs w:val="19"/>
          <w:color w:val="auto"/>
        </w:rPr>
        <w:t>Operating expenses for the fourth quarter of 2018 were $8.8 million, compared to $10.5 million in the year-ago quarter and $10.9 million in the previous quarter. For the full year, operating expenses were $42.7 compared to $41.7 million in 2017.</w:t>
      </w:r>
    </w:p>
    <w:p>
      <w:pPr>
        <w:spacing w:after="0" w:line="105"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Net loss for the fourth quarter of 2018 was ($3.5 million), or ($0.20) per share, based on 17.1 million weighted-average shares outstanding, compared to a net loss of ($4.4 million), or ($0.35) per share, in the fourth quarter of 2017 and a net loss of ($5.6 million), or ($0.33) per share, in the third quarter of 2018. The full year 2018 net loss was ($17.8 million), or ($1.08) per share, based on 16.4 million weighted-average shares outstanding, compared to a net loss of ($21.1 million), or ($1.69) per share, in 2017.</w:t>
      </w:r>
    </w:p>
    <w:p>
      <w:pPr>
        <w:spacing w:after="0" w:line="14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Cash and cash equivalents as of December 31, 2018 were $23.4 million, compared to $31.4 million at the end of the third quarter of 2018.</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Outlook</w:t>
      </w:r>
    </w:p>
    <w:p>
      <w:pPr>
        <w:spacing w:after="0" w:line="212" w:lineRule="exact"/>
        <w:rPr>
          <w:sz w:val="20"/>
          <w:szCs w:val="20"/>
          <w:color w:val="auto"/>
        </w:rPr>
      </w:pPr>
    </w:p>
    <w:p>
      <w:pPr>
        <w:ind w:right="480"/>
        <w:spacing w:after="0" w:line="328" w:lineRule="auto"/>
        <w:rPr>
          <w:sz w:val="20"/>
          <w:szCs w:val="20"/>
          <w:color w:val="auto"/>
        </w:rPr>
      </w:pPr>
      <w:r>
        <w:rPr>
          <w:rFonts w:ascii="Arial" w:cs="Arial" w:eastAsia="Arial" w:hAnsi="Arial"/>
          <w:sz w:val="19"/>
          <w:szCs w:val="19"/>
          <w:color w:val="auto"/>
        </w:rPr>
        <w:t>For the first quarter of 2019, Everspin expects total revenue in the range of $9.5 million and $9.9 million. Net loss per share is expected to be between ($0.28) and ($0.24) based on an weighted-average share count of 17.4 million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27202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Conference Call</w:t>
      </w:r>
    </w:p>
    <w:p>
      <w:pPr>
        <w:spacing w:after="0" w:line="213"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 xml:space="preserve">Everspin will host a conference call for analysts and investors today at 5:00 p.m. Eastern Time. Interested participants can access the call by dialing </w:t>
      </w:r>
      <w:r>
        <w:rPr>
          <w:rFonts w:ascii="Arial" w:cs="Arial" w:eastAsia="Arial" w:hAnsi="Arial"/>
          <w:sz w:val="22"/>
          <w:szCs w:val="22"/>
          <w:b w:val="1"/>
          <w:bCs w:val="1"/>
          <w:color w:val="auto"/>
        </w:rPr>
        <w:t>1-844-889-7788</w:t>
      </w:r>
      <w:r>
        <w:rPr>
          <w:rFonts w:ascii="Arial" w:cs="Arial" w:eastAsia="Arial" w:hAnsi="Arial"/>
          <w:sz w:val="22"/>
          <w:szCs w:val="22"/>
          <w:color w:val="auto"/>
        </w:rPr>
        <w:t xml:space="preserve"> and providing passcode </w:t>
      </w:r>
      <w:r>
        <w:rPr>
          <w:rFonts w:ascii="Arial" w:cs="Arial" w:eastAsia="Arial" w:hAnsi="Arial"/>
          <w:sz w:val="22"/>
          <w:szCs w:val="22"/>
          <w:b w:val="1"/>
          <w:bCs w:val="1"/>
          <w:color w:val="auto"/>
        </w:rPr>
        <w:t>2959487</w:t>
      </w:r>
      <w:r>
        <w:rPr>
          <w:rFonts w:ascii="Arial" w:cs="Arial" w:eastAsia="Arial" w:hAnsi="Arial"/>
          <w:sz w:val="22"/>
          <w:szCs w:val="22"/>
          <w:color w:val="auto"/>
        </w:rPr>
        <w:t>. International callers may join the call by dialing +1-661-378-9932, using the same code. The call will also be available as a live and archived webcast in the Investor Relations section of the company’s website at investor.everspin.com.</w:t>
      </w:r>
    </w:p>
    <w:p>
      <w:pPr>
        <w:spacing w:after="0" w:line="185" w:lineRule="exact"/>
        <w:rPr>
          <w:sz w:val="20"/>
          <w:szCs w:val="20"/>
          <w:color w:val="auto"/>
        </w:rPr>
      </w:pPr>
    </w:p>
    <w:p>
      <w:pPr>
        <w:jc w:val="both"/>
        <w:ind w:right="140"/>
        <w:spacing w:after="0"/>
        <w:rPr>
          <w:sz w:val="20"/>
          <w:szCs w:val="20"/>
          <w:color w:val="auto"/>
        </w:rPr>
      </w:pPr>
      <w:r>
        <w:rPr>
          <w:rFonts w:ascii="Arial" w:cs="Arial" w:eastAsia="Arial" w:hAnsi="Arial"/>
          <w:sz w:val="22"/>
          <w:szCs w:val="22"/>
          <w:color w:val="auto"/>
        </w:rPr>
        <w:t>A telephone replay of the conference call will be available approximately two hours after the call until Thursday, March 21, 2019, at 10:00pm, Eastern Time. The replay can be accessed by dialing 1-855-859-2056 and using the passcode 2959487. International callers should dial +1-404-537-3406 and enter the same passcode at the prompt.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Everspin Technologies</w:t>
      </w:r>
    </w:p>
    <w:p>
      <w:pPr>
        <w:spacing w:after="0" w:line="212"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 xml:space="preserve">Headquartered in Chandler, Arizona, Everspin Technologies, Inc. is the worldwide leader in the design, volume production and distribution of Magnetoresistive RAM (MRAM) into markets and applications where data persistence, performance, and endurance are paramount. Serving applications across the data center, industrial, and transportation markets, Everspin has built the strongest and fastest-growing foundation of MRAM users in the world. For more information, visit </w:t>
      </w:r>
      <w:r>
        <w:rPr>
          <w:rFonts w:ascii="Arial" w:cs="Arial" w:eastAsia="Arial" w:hAnsi="Arial"/>
          <w:sz w:val="19"/>
          <w:szCs w:val="19"/>
          <w:u w:val="single" w:color="auto"/>
          <w:color w:val="auto"/>
        </w:rPr>
        <w:t>www.everspin.com</w:t>
      </w:r>
      <w:r>
        <w:rPr>
          <w:rFonts w:ascii="Arial" w:cs="Arial" w:eastAsia="Arial" w:hAnsi="Arial"/>
          <w:sz w:val="19"/>
          <w:szCs w:val="19"/>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12"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This press release contains forward-looking statements regarding future events that involve risks and uncertainties that could cause actual results or events to differ materially from the expectations disclosed in the forward-looking statements, including, but not limited to the statements made under the caption “Business Outlook.” Actual results could differ materially from these forward-looking statements as a result of certain factors, including, without limitation, the risks set forth in Everspin’s Form 10-Q filed with the Securities and Exchange Commission on November 14, 2018, under the caption “Risk Factors.” Subsequent events may cause these expectations to change, and Everspin disclaims any obligations to update or alter these forward-looking statements in the future,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27202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80"/>
          </w:cols>
          <w:pgMar w:left="240" w:top="112" w:right="27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EVERSPIN TECHNOLOGIES,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99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4"/>
        </w:trPr>
        <w:tc>
          <w:tcPr>
            <w:tcW w:w="99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940" w:type="dxa"/>
            <w:vAlign w:val="bottom"/>
          </w:tcPr>
          <w:p>
            <w:pPr>
              <w:spacing w:after="0"/>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94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23,379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12,950</w:t>
            </w:r>
          </w:p>
        </w:tc>
        <w:tc>
          <w:tcPr>
            <w:tcW w:w="0" w:type="dxa"/>
            <w:vAlign w:val="bottom"/>
          </w:tcPr>
          <w:p>
            <w:pPr>
              <w:spacing w:after="0"/>
              <w:rPr>
                <w:sz w:val="1"/>
                <w:szCs w:val="1"/>
                <w:color w:val="auto"/>
              </w:rPr>
            </w:pPr>
          </w:p>
        </w:tc>
      </w:tr>
      <w:tr>
        <w:trPr>
          <w:trHeight w:val="176"/>
        </w:trPr>
        <w:tc>
          <w:tcPr>
            <w:tcW w:w="9940" w:type="dxa"/>
            <w:vAlign w:val="bottom"/>
          </w:tcPr>
          <w:p>
            <w:pPr>
              <w:ind w:left="140"/>
              <w:spacing w:after="0"/>
              <w:rPr>
                <w:sz w:val="20"/>
                <w:szCs w:val="20"/>
                <w:color w:val="auto"/>
              </w:rPr>
            </w:pPr>
            <w:r>
              <w:rPr>
                <w:rFonts w:ascii="Arial" w:cs="Arial" w:eastAsia="Arial" w:hAnsi="Arial"/>
                <w:sz w:val="14"/>
                <w:szCs w:val="14"/>
                <w:color w:val="auto"/>
              </w:rPr>
              <w:t>Accounts receivable, net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7,522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4,041</w:t>
            </w:r>
          </w:p>
        </w:tc>
        <w:tc>
          <w:tcPr>
            <w:tcW w:w="0" w:type="dxa"/>
            <w:vAlign w:val="bottom"/>
          </w:tcPr>
          <w:p>
            <w:pPr>
              <w:spacing w:after="0"/>
              <w:rPr>
                <w:sz w:val="1"/>
                <w:szCs w:val="1"/>
                <w:color w:val="auto"/>
              </w:rPr>
            </w:pPr>
          </w:p>
        </w:tc>
      </w:tr>
      <w:tr>
        <w:trPr>
          <w:trHeight w:val="176"/>
        </w:trPr>
        <w:tc>
          <w:tcPr>
            <w:tcW w:w="9940" w:type="dxa"/>
            <w:vAlign w:val="bottom"/>
          </w:tcPr>
          <w:p>
            <w:pPr>
              <w:ind w:left="140"/>
              <w:spacing w:after="0"/>
              <w:rPr>
                <w:sz w:val="20"/>
                <w:szCs w:val="20"/>
                <w:color w:val="auto"/>
              </w:rPr>
            </w:pPr>
            <w:r>
              <w:rPr>
                <w:rFonts w:ascii="Arial" w:cs="Arial" w:eastAsia="Arial" w:hAnsi="Arial"/>
                <w:sz w:val="14"/>
                <w:szCs w:val="14"/>
                <w:color w:val="auto"/>
              </w:rPr>
              <w:t>Inventory</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9,097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9,837</w:t>
            </w:r>
          </w:p>
        </w:tc>
        <w:tc>
          <w:tcPr>
            <w:tcW w:w="0" w:type="dxa"/>
            <w:vAlign w:val="bottom"/>
          </w:tcPr>
          <w:p>
            <w:pPr>
              <w:spacing w:after="0"/>
              <w:rPr>
                <w:sz w:val="1"/>
                <w:szCs w:val="1"/>
                <w:color w:val="auto"/>
              </w:rPr>
            </w:pPr>
          </w:p>
        </w:tc>
      </w:tr>
      <w:tr>
        <w:trPr>
          <w:trHeight w:val="181"/>
        </w:trPr>
        <w:tc>
          <w:tcPr>
            <w:tcW w:w="9940" w:type="dxa"/>
            <w:vAlign w:val="bottom"/>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688</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164"/>
        </w:trPr>
        <w:tc>
          <w:tcPr>
            <w:tcW w:w="9940" w:type="dxa"/>
            <w:vAlign w:val="bottom"/>
          </w:tcPr>
          <w:p>
            <w:pPr>
              <w:ind w:left="280"/>
              <w:spacing w:after="0"/>
              <w:rPr>
                <w:sz w:val="20"/>
                <w:szCs w:val="20"/>
                <w:color w:val="auto"/>
              </w:rPr>
            </w:pPr>
            <w:r>
              <w:rPr>
                <w:rFonts w:ascii="Arial" w:cs="Arial" w:eastAsia="Arial" w:hAnsi="Arial"/>
                <w:sz w:val="14"/>
                <w:szCs w:val="14"/>
                <w:color w:val="auto"/>
              </w:rPr>
              <w:t>Total current assets</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40,686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27,418</w:t>
            </w:r>
          </w:p>
        </w:tc>
        <w:tc>
          <w:tcPr>
            <w:tcW w:w="0" w:type="dxa"/>
            <w:vAlign w:val="bottom"/>
          </w:tcPr>
          <w:p>
            <w:pPr>
              <w:spacing w:after="0"/>
              <w:rPr>
                <w:sz w:val="1"/>
                <w:szCs w:val="1"/>
                <w:color w:val="auto"/>
              </w:rPr>
            </w:pPr>
          </w:p>
        </w:tc>
      </w:tr>
      <w:tr>
        <w:trPr>
          <w:trHeight w:val="176"/>
        </w:trPr>
        <w:tc>
          <w:tcPr>
            <w:tcW w:w="99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4,286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3,946</w:t>
            </w:r>
          </w:p>
        </w:tc>
        <w:tc>
          <w:tcPr>
            <w:tcW w:w="0" w:type="dxa"/>
            <w:vAlign w:val="bottom"/>
          </w:tcPr>
          <w:p>
            <w:pPr>
              <w:spacing w:after="0"/>
              <w:rPr>
                <w:sz w:val="1"/>
                <w:szCs w:val="1"/>
                <w:color w:val="auto"/>
              </w:rPr>
            </w:pPr>
          </w:p>
        </w:tc>
      </w:tr>
      <w:tr>
        <w:trPr>
          <w:trHeight w:val="181"/>
        </w:trPr>
        <w:tc>
          <w:tcPr>
            <w:tcW w:w="9940" w:type="dxa"/>
            <w:vAlign w:val="bottom"/>
          </w:tcPr>
          <w:p>
            <w:pPr>
              <w:spacing w:after="0"/>
              <w:rPr>
                <w:sz w:val="20"/>
                <w:szCs w:val="20"/>
                <w:color w:val="auto"/>
              </w:rPr>
            </w:pPr>
            <w:r>
              <w:rPr>
                <w:rFonts w:ascii="Arial" w:cs="Arial" w:eastAsia="Arial" w:hAnsi="Arial"/>
                <w:sz w:val="14"/>
                <w:szCs w:val="14"/>
                <w:color w:val="auto"/>
              </w:rPr>
              <w:t>Other assets</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69"/>
        </w:trPr>
        <w:tc>
          <w:tcPr>
            <w:tcW w:w="9940" w:type="dxa"/>
            <w:vAlign w:val="bottom"/>
          </w:tcPr>
          <w:p>
            <w:pPr>
              <w:ind w:left="280"/>
              <w:spacing w:after="0"/>
              <w:rPr>
                <w:sz w:val="20"/>
                <w:szCs w:val="20"/>
                <w:color w:val="auto"/>
              </w:rPr>
            </w:pPr>
            <w:r>
              <w:rPr>
                <w:rFonts w:ascii="Arial" w:cs="Arial" w:eastAsia="Arial" w:hAnsi="Arial"/>
                <w:sz w:val="14"/>
                <w:szCs w:val="14"/>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45,045</w:t>
            </w:r>
          </w:p>
        </w:tc>
        <w:tc>
          <w:tcPr>
            <w:tcW w:w="1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31,437</w:t>
            </w:r>
          </w:p>
        </w:tc>
        <w:tc>
          <w:tcPr>
            <w:tcW w:w="0" w:type="dxa"/>
            <w:vAlign w:val="bottom"/>
          </w:tcPr>
          <w:p>
            <w:pPr>
              <w:spacing w:after="0"/>
              <w:rPr>
                <w:sz w:val="1"/>
                <w:szCs w:val="1"/>
                <w:color w:val="auto"/>
              </w:rPr>
            </w:pPr>
          </w:p>
        </w:tc>
      </w:tr>
      <w:tr>
        <w:trPr>
          <w:trHeight w:val="20"/>
        </w:trPr>
        <w:tc>
          <w:tcPr>
            <w:tcW w:w="99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9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9940" w:type="dxa"/>
            <w:vAlign w:val="bottom"/>
          </w:tcPr>
          <w:p>
            <w:pPr>
              <w:spacing w:after="0"/>
              <w:rPr>
                <w:sz w:val="20"/>
                <w:szCs w:val="20"/>
                <w:color w:val="auto"/>
              </w:rPr>
            </w:pPr>
            <w:r>
              <w:rPr>
                <w:rFonts w:ascii="Arial" w:cs="Arial" w:eastAsia="Arial" w:hAnsi="Arial"/>
                <w:sz w:val="14"/>
                <w:szCs w:val="14"/>
                <w:color w:val="auto"/>
              </w:rPr>
              <w:t>Current liabilities: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94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2,637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2,920</w:t>
            </w:r>
          </w:p>
        </w:tc>
        <w:tc>
          <w:tcPr>
            <w:tcW w:w="0" w:type="dxa"/>
            <w:vAlign w:val="bottom"/>
          </w:tcPr>
          <w:p>
            <w:pPr>
              <w:spacing w:after="0"/>
              <w:rPr>
                <w:sz w:val="1"/>
                <w:szCs w:val="1"/>
                <w:color w:val="auto"/>
              </w:rPr>
            </w:pPr>
          </w:p>
        </w:tc>
      </w:tr>
      <w:tr>
        <w:trPr>
          <w:trHeight w:val="176"/>
        </w:trPr>
        <w:tc>
          <w:tcPr>
            <w:tcW w:w="9940" w:type="dxa"/>
            <w:vAlign w:val="bottom"/>
          </w:tcPr>
          <w:p>
            <w:pPr>
              <w:ind w:left="140"/>
              <w:spacing w:after="0"/>
              <w:rPr>
                <w:sz w:val="20"/>
                <w:szCs w:val="20"/>
                <w:color w:val="auto"/>
              </w:rPr>
            </w:pPr>
            <w:r>
              <w:rPr>
                <w:rFonts w:ascii="Arial" w:cs="Arial" w:eastAsia="Arial" w:hAnsi="Arial"/>
                <w:sz w:val="14"/>
                <w:szCs w:val="14"/>
                <w:color w:val="auto"/>
              </w:rPr>
              <w:t>Accrued liabilities</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5,001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3,748</w:t>
            </w:r>
          </w:p>
        </w:tc>
        <w:tc>
          <w:tcPr>
            <w:tcW w:w="0" w:type="dxa"/>
            <w:vAlign w:val="bottom"/>
          </w:tcPr>
          <w:p>
            <w:pPr>
              <w:spacing w:after="0"/>
              <w:rPr>
                <w:sz w:val="1"/>
                <w:szCs w:val="1"/>
                <w:color w:val="auto"/>
              </w:rPr>
            </w:pPr>
          </w:p>
        </w:tc>
      </w:tr>
      <w:tr>
        <w:trPr>
          <w:trHeight w:val="176"/>
        </w:trPr>
        <w:tc>
          <w:tcPr>
            <w:tcW w:w="9940" w:type="dxa"/>
            <w:vAlign w:val="bottom"/>
          </w:tcPr>
          <w:p>
            <w:pPr>
              <w:ind w:left="140"/>
              <w:spacing w:after="0"/>
              <w:rPr>
                <w:sz w:val="20"/>
                <w:szCs w:val="20"/>
                <w:color w:val="auto"/>
              </w:rPr>
            </w:pPr>
            <w:r>
              <w:rPr>
                <w:rFonts w:ascii="Arial" w:cs="Arial" w:eastAsia="Arial" w:hAnsi="Arial"/>
                <w:sz w:val="14"/>
                <w:szCs w:val="14"/>
                <w:color w:val="auto"/>
              </w:rPr>
              <w:t>Deferred income on shipments to distributors</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1,720</w:t>
            </w:r>
          </w:p>
        </w:tc>
        <w:tc>
          <w:tcPr>
            <w:tcW w:w="0" w:type="dxa"/>
            <w:vAlign w:val="bottom"/>
          </w:tcPr>
          <w:p>
            <w:pPr>
              <w:spacing w:after="0"/>
              <w:rPr>
                <w:sz w:val="1"/>
                <w:szCs w:val="1"/>
                <w:color w:val="auto"/>
              </w:rPr>
            </w:pPr>
          </w:p>
        </w:tc>
      </w:tr>
      <w:tr>
        <w:trPr>
          <w:trHeight w:val="181"/>
        </w:trPr>
        <w:tc>
          <w:tcPr>
            <w:tcW w:w="9940" w:type="dxa"/>
            <w:vAlign w:val="bottom"/>
          </w:tcPr>
          <w:p>
            <w:pPr>
              <w:ind w:left="140"/>
              <w:spacing w:after="0"/>
              <w:rPr>
                <w:sz w:val="20"/>
                <w:szCs w:val="20"/>
                <w:color w:val="auto"/>
              </w:rPr>
            </w:pPr>
            <w:r>
              <w:rPr>
                <w:rFonts w:ascii="Arial" w:cs="Arial" w:eastAsia="Arial" w:hAnsi="Arial"/>
                <w:sz w:val="14"/>
                <w:szCs w:val="14"/>
                <w:color w:val="auto"/>
              </w:rPr>
              <w:t>Current portion of long-term debt</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5,977</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3,987</w:t>
            </w:r>
          </w:p>
        </w:tc>
        <w:tc>
          <w:tcPr>
            <w:tcW w:w="0" w:type="dxa"/>
            <w:vAlign w:val="bottom"/>
          </w:tcPr>
          <w:p>
            <w:pPr>
              <w:spacing w:after="0"/>
              <w:rPr>
                <w:sz w:val="1"/>
                <w:szCs w:val="1"/>
                <w:color w:val="auto"/>
              </w:rPr>
            </w:pPr>
          </w:p>
        </w:tc>
      </w:tr>
      <w:tr>
        <w:trPr>
          <w:trHeight w:val="164"/>
        </w:trPr>
        <w:tc>
          <w:tcPr>
            <w:tcW w:w="9940" w:type="dxa"/>
            <w:vAlign w:val="bottom"/>
          </w:tcPr>
          <w:p>
            <w:pPr>
              <w:ind w:left="280"/>
              <w:spacing w:after="0"/>
              <w:rPr>
                <w:sz w:val="20"/>
                <w:szCs w:val="20"/>
                <w:color w:val="auto"/>
              </w:rPr>
            </w:pPr>
            <w:r>
              <w:rPr>
                <w:rFonts w:ascii="Arial" w:cs="Arial" w:eastAsia="Arial" w:hAnsi="Arial"/>
                <w:sz w:val="14"/>
                <w:szCs w:val="14"/>
                <w:color w:val="auto"/>
              </w:rPr>
              <w:t>Total current liabilities</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13,615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12,375</w:t>
            </w:r>
          </w:p>
        </w:tc>
        <w:tc>
          <w:tcPr>
            <w:tcW w:w="0" w:type="dxa"/>
            <w:vAlign w:val="bottom"/>
          </w:tcPr>
          <w:p>
            <w:pPr>
              <w:spacing w:after="0"/>
              <w:rPr>
                <w:sz w:val="1"/>
                <w:szCs w:val="1"/>
                <w:color w:val="auto"/>
              </w:rPr>
            </w:pPr>
          </w:p>
        </w:tc>
      </w:tr>
      <w:tr>
        <w:trPr>
          <w:trHeight w:val="181"/>
        </w:trPr>
        <w:tc>
          <w:tcPr>
            <w:tcW w:w="9940" w:type="dxa"/>
            <w:vAlign w:val="bottom"/>
          </w:tcPr>
          <w:p>
            <w:pPr>
              <w:spacing w:after="0"/>
              <w:rPr>
                <w:sz w:val="20"/>
                <w:szCs w:val="20"/>
                <w:color w:val="auto"/>
              </w:rPr>
            </w:pPr>
            <w:r>
              <w:rPr>
                <w:rFonts w:ascii="Arial" w:cs="Arial" w:eastAsia="Arial" w:hAnsi="Arial"/>
                <w:sz w:val="14"/>
                <w:szCs w:val="14"/>
                <w:color w:val="auto"/>
              </w:rPr>
              <w:t>Long-term debt, net of current portion</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6,509</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8,178</w:t>
            </w:r>
          </w:p>
        </w:tc>
        <w:tc>
          <w:tcPr>
            <w:tcW w:w="0" w:type="dxa"/>
            <w:vAlign w:val="bottom"/>
          </w:tcPr>
          <w:p>
            <w:pPr>
              <w:spacing w:after="0"/>
              <w:rPr>
                <w:sz w:val="1"/>
                <w:szCs w:val="1"/>
                <w:color w:val="auto"/>
              </w:rPr>
            </w:pPr>
          </w:p>
        </w:tc>
      </w:tr>
      <w:tr>
        <w:trPr>
          <w:trHeight w:val="169"/>
        </w:trPr>
        <w:tc>
          <w:tcPr>
            <w:tcW w:w="9940" w:type="dxa"/>
            <w:vAlign w:val="bottom"/>
          </w:tcPr>
          <w:p>
            <w:pPr>
              <w:ind w:left="280"/>
              <w:spacing w:after="0"/>
              <w:rPr>
                <w:sz w:val="20"/>
                <w:szCs w:val="20"/>
                <w:color w:val="auto"/>
              </w:rPr>
            </w:pPr>
            <w:r>
              <w:rPr>
                <w:rFonts w:ascii="Arial" w:cs="Arial" w:eastAsia="Arial" w:hAnsi="Arial"/>
                <w:sz w:val="14"/>
                <w:szCs w:val="14"/>
                <w:color w:val="auto"/>
              </w:rPr>
              <w:t>Total liabilities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20,124</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20,553</w:t>
            </w:r>
          </w:p>
        </w:tc>
        <w:tc>
          <w:tcPr>
            <w:tcW w:w="0" w:type="dxa"/>
            <w:vAlign w:val="bottom"/>
          </w:tcPr>
          <w:p>
            <w:pPr>
              <w:spacing w:after="0"/>
              <w:rPr>
                <w:sz w:val="1"/>
                <w:szCs w:val="1"/>
                <w:color w:val="auto"/>
              </w:rPr>
            </w:pPr>
          </w:p>
        </w:tc>
      </w:tr>
      <w:tr>
        <w:trPr>
          <w:trHeight w:val="164"/>
        </w:trPr>
        <w:tc>
          <w:tcPr>
            <w:tcW w:w="9940" w:type="dxa"/>
            <w:vAlign w:val="bottom"/>
          </w:tcPr>
          <w:p>
            <w:pPr>
              <w:spacing w:after="0"/>
              <w:rPr>
                <w:sz w:val="20"/>
                <w:szCs w:val="20"/>
                <w:color w:val="auto"/>
              </w:rPr>
            </w:pPr>
            <w:r>
              <w:rPr>
                <w:rFonts w:ascii="Arial" w:cs="Arial" w:eastAsia="Arial" w:hAnsi="Arial"/>
                <w:sz w:val="14"/>
                <w:szCs w:val="14"/>
                <w:color w:val="auto"/>
              </w:rPr>
              <w:t>Commitments and contingencies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940" w:type="dxa"/>
            <w:vAlign w:val="bottom"/>
          </w:tcPr>
          <w:p>
            <w:pPr>
              <w:spacing w:after="0"/>
              <w:rPr>
                <w:sz w:val="20"/>
                <w:szCs w:val="20"/>
                <w:color w:val="auto"/>
              </w:rPr>
            </w:pPr>
            <w:r>
              <w:rPr>
                <w:rFonts w:ascii="Arial" w:cs="Arial" w:eastAsia="Arial" w:hAnsi="Arial"/>
                <w:sz w:val="14"/>
                <w:szCs w:val="14"/>
                <w:color w:val="auto"/>
              </w:rPr>
              <w:t>Stockholders’ equity:</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940" w:type="dxa"/>
            <w:vAlign w:val="bottom"/>
          </w:tcPr>
          <w:p>
            <w:pPr>
              <w:spacing w:after="0"/>
              <w:rPr>
                <w:sz w:val="20"/>
                <w:szCs w:val="20"/>
                <w:color w:val="auto"/>
              </w:rPr>
            </w:pPr>
            <w:r>
              <w:rPr>
                <w:rFonts w:ascii="Arial" w:cs="Arial" w:eastAsia="Arial" w:hAnsi="Arial"/>
                <w:sz w:val="14"/>
                <w:szCs w:val="14"/>
                <w:color w:val="auto"/>
                <w:w w:val="99"/>
              </w:rPr>
              <w:t>Preferred stock, $0.0001 par value per share; 5,000,000 shares authorized; no shares issued and outstanding as of December 31, 2018 and December 31, 2017</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940" w:type="dxa"/>
            <w:vAlign w:val="bottom"/>
          </w:tcPr>
          <w:p>
            <w:pPr>
              <w:spacing w:after="0" w:line="149" w:lineRule="exact"/>
              <w:rPr>
                <w:sz w:val="20"/>
                <w:szCs w:val="20"/>
                <w:color w:val="auto"/>
              </w:rPr>
            </w:pPr>
            <w:r>
              <w:rPr>
                <w:rFonts w:ascii="Arial" w:cs="Arial" w:eastAsia="Arial" w:hAnsi="Arial"/>
                <w:sz w:val="14"/>
                <w:szCs w:val="14"/>
                <w:color w:val="auto"/>
                <w:w w:val="95"/>
              </w:rPr>
              <w:t>Common stock, $0.0001 par value per share; 100,000,000 shares authorized; 17,095,456 and 12,817,201 shares issued and outstanding as of December 31, 2018 and</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9940" w:type="dxa"/>
            <w:vAlign w:val="bottom"/>
          </w:tcPr>
          <w:p>
            <w:pPr>
              <w:spacing w:after="0"/>
              <w:rPr>
                <w:sz w:val="20"/>
                <w:szCs w:val="20"/>
                <w:color w:val="auto"/>
              </w:rPr>
            </w:pPr>
            <w:r>
              <w:rPr>
                <w:rFonts w:ascii="Arial" w:cs="Arial" w:eastAsia="Arial" w:hAnsi="Arial"/>
                <w:sz w:val="14"/>
                <w:szCs w:val="14"/>
                <w:color w:val="auto"/>
              </w:rPr>
              <w:t>December 31, 2017</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6"/>
        </w:trPr>
        <w:tc>
          <w:tcPr>
            <w:tcW w:w="994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158,912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128,422</w:t>
            </w:r>
          </w:p>
        </w:tc>
        <w:tc>
          <w:tcPr>
            <w:tcW w:w="0" w:type="dxa"/>
            <w:vAlign w:val="bottom"/>
          </w:tcPr>
          <w:p>
            <w:pPr>
              <w:spacing w:after="0"/>
              <w:rPr>
                <w:sz w:val="1"/>
                <w:szCs w:val="1"/>
                <w:color w:val="auto"/>
              </w:rPr>
            </w:pPr>
          </w:p>
        </w:tc>
      </w:tr>
      <w:tr>
        <w:trPr>
          <w:trHeight w:val="181"/>
        </w:trPr>
        <w:tc>
          <w:tcPr>
            <w:tcW w:w="9940" w:type="dxa"/>
            <w:vAlign w:val="bottom"/>
          </w:tcPr>
          <w:p>
            <w:pPr>
              <w:spacing w:after="0"/>
              <w:rPr>
                <w:sz w:val="20"/>
                <w:szCs w:val="20"/>
                <w:color w:val="auto"/>
              </w:rPr>
            </w:pPr>
            <w:r>
              <w:rPr>
                <w:rFonts w:ascii="Arial" w:cs="Arial" w:eastAsia="Arial" w:hAnsi="Arial"/>
                <w:sz w:val="14"/>
                <w:szCs w:val="14"/>
                <w:color w:val="auto"/>
              </w:rPr>
              <w:t>Accumulated deficit</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(133,993)</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(117,539)</w:t>
            </w:r>
          </w:p>
        </w:tc>
        <w:tc>
          <w:tcPr>
            <w:tcW w:w="0" w:type="dxa"/>
            <w:vAlign w:val="bottom"/>
          </w:tcPr>
          <w:p>
            <w:pPr>
              <w:spacing w:after="0"/>
              <w:rPr>
                <w:sz w:val="1"/>
                <w:szCs w:val="1"/>
                <w:color w:val="auto"/>
              </w:rPr>
            </w:pPr>
          </w:p>
        </w:tc>
      </w:tr>
      <w:tr>
        <w:trPr>
          <w:trHeight w:val="169"/>
        </w:trPr>
        <w:tc>
          <w:tcPr>
            <w:tcW w:w="9940" w:type="dxa"/>
            <w:vAlign w:val="bottom"/>
          </w:tcPr>
          <w:p>
            <w:pPr>
              <w:ind w:left="280"/>
              <w:spacing w:after="0"/>
              <w:rPr>
                <w:sz w:val="20"/>
                <w:szCs w:val="20"/>
                <w:color w:val="auto"/>
              </w:rPr>
            </w:pPr>
            <w:r>
              <w:rPr>
                <w:rFonts w:ascii="Arial" w:cs="Arial" w:eastAsia="Arial" w:hAnsi="Arial"/>
                <w:sz w:val="14"/>
                <w:szCs w:val="14"/>
                <w:color w:val="auto"/>
              </w:rPr>
              <w:t>Total stockholders’ equity</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24,921</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10,884</w:t>
            </w:r>
          </w:p>
        </w:tc>
        <w:tc>
          <w:tcPr>
            <w:tcW w:w="0" w:type="dxa"/>
            <w:vAlign w:val="bottom"/>
          </w:tcPr>
          <w:p>
            <w:pPr>
              <w:spacing w:after="0"/>
              <w:rPr>
                <w:sz w:val="1"/>
                <w:szCs w:val="1"/>
                <w:color w:val="auto"/>
              </w:rPr>
            </w:pPr>
          </w:p>
        </w:tc>
      </w:tr>
      <w:tr>
        <w:trPr>
          <w:trHeight w:val="169"/>
        </w:trPr>
        <w:tc>
          <w:tcPr>
            <w:tcW w:w="9940" w:type="dxa"/>
            <w:vAlign w:val="bottom"/>
          </w:tcPr>
          <w:p>
            <w:pPr>
              <w:ind w:left="280"/>
              <w:spacing w:after="0"/>
              <w:rPr>
                <w:sz w:val="20"/>
                <w:szCs w:val="20"/>
                <w:color w:val="auto"/>
              </w:rPr>
            </w:pPr>
            <w:r>
              <w:rPr>
                <w:rFonts w:ascii="Arial" w:cs="Arial" w:eastAsia="Arial" w:hAnsi="Arial"/>
                <w:sz w:val="14"/>
                <w:szCs w:val="14"/>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45,045</w:t>
            </w:r>
          </w:p>
        </w:tc>
        <w:tc>
          <w:tcPr>
            <w:tcW w:w="1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31,437</w:t>
            </w:r>
          </w:p>
        </w:tc>
        <w:tc>
          <w:tcPr>
            <w:tcW w:w="0" w:type="dxa"/>
            <w:vAlign w:val="bottom"/>
          </w:tcPr>
          <w:p>
            <w:pPr>
              <w:spacing w:after="0"/>
              <w:rPr>
                <w:sz w:val="1"/>
                <w:szCs w:val="1"/>
                <w:color w:val="auto"/>
              </w:rPr>
            </w:pPr>
          </w:p>
        </w:tc>
      </w:tr>
      <w:tr>
        <w:trPr>
          <w:trHeight w:val="20"/>
        </w:trPr>
        <w:tc>
          <w:tcPr>
            <w:tcW w:w="9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99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EVERSPIN TECHNOLOGIES, INC.</w:t>
      </w:r>
    </w:p>
    <w:p>
      <w:pPr>
        <w:spacing w:after="0" w:line="25" w:lineRule="exact"/>
        <w:rPr>
          <w:sz w:val="20"/>
          <w:szCs w:val="20"/>
          <w:color w:val="auto"/>
        </w:rPr>
      </w:pPr>
    </w:p>
    <w:p>
      <w:pPr>
        <w:ind w:left="4140"/>
        <w:spacing w:after="0"/>
        <w:rPr>
          <w:sz w:val="20"/>
          <w:szCs w:val="20"/>
          <w:color w:val="auto"/>
        </w:rPr>
      </w:pPr>
      <w:r>
        <w:rPr>
          <w:rFonts w:ascii="Arial" w:cs="Arial" w:eastAsia="Arial" w:hAnsi="Arial"/>
          <w:sz w:val="14"/>
          <w:szCs w:val="14"/>
          <w:b w:val="1"/>
          <w:bCs w:val="1"/>
          <w:color w:val="auto"/>
        </w:rPr>
        <w:t>Statements of Operations and Comprehensive Loss</w:t>
      </w:r>
    </w:p>
    <w:p>
      <w:pPr>
        <w:spacing w:after="0" w:line="15" w:lineRule="exact"/>
        <w:rPr>
          <w:sz w:val="20"/>
          <w:szCs w:val="20"/>
          <w:color w:val="auto"/>
        </w:rPr>
      </w:pPr>
    </w:p>
    <w:p>
      <w:pPr>
        <w:ind w:left="4120"/>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85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4"/>
        </w:trPr>
        <w:tc>
          <w:tcPr>
            <w:tcW w:w="8580" w:type="dxa"/>
            <w:vAlign w:val="bottom"/>
          </w:tcPr>
          <w:p>
            <w:pPr>
              <w:spacing w:after="0"/>
              <w:rPr>
                <w:sz w:val="20"/>
                <w:szCs w:val="20"/>
                <w:color w:val="auto"/>
              </w:rPr>
            </w:pPr>
            <w:r>
              <w:rPr>
                <w:rFonts w:ascii="Arial" w:cs="Arial" w:eastAsia="Arial" w:hAnsi="Arial"/>
                <w:sz w:val="14"/>
                <w:szCs w:val="14"/>
                <w:color w:val="auto"/>
              </w:rPr>
              <w:t>Product sales</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39,514</w:t>
            </w:r>
          </w:p>
        </w:tc>
        <w:tc>
          <w:tcPr>
            <w:tcW w:w="220" w:type="dxa"/>
            <w:vAlign w:val="bottom"/>
          </w:tcPr>
          <w:p>
            <w:pPr>
              <w:spacing w:after="0"/>
              <w:rPr>
                <w:sz w:val="14"/>
                <w:szCs w:val="14"/>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30,838</w:t>
            </w:r>
          </w:p>
        </w:tc>
        <w:tc>
          <w:tcPr>
            <w:tcW w:w="0" w:type="dxa"/>
            <w:vAlign w:val="bottom"/>
          </w:tcPr>
          <w:p>
            <w:pPr>
              <w:spacing w:after="0"/>
              <w:rPr>
                <w:sz w:val="1"/>
                <w:szCs w:val="1"/>
                <w:color w:val="auto"/>
              </w:rPr>
            </w:pPr>
          </w:p>
        </w:tc>
      </w:tr>
      <w:tr>
        <w:trPr>
          <w:trHeight w:val="181"/>
        </w:trPr>
        <w:tc>
          <w:tcPr>
            <w:tcW w:w="8580" w:type="dxa"/>
            <w:vAlign w:val="bottom"/>
          </w:tcPr>
          <w:p>
            <w:pPr>
              <w:spacing w:after="0"/>
              <w:rPr>
                <w:sz w:val="20"/>
                <w:szCs w:val="20"/>
                <w:color w:val="auto"/>
              </w:rPr>
            </w:pPr>
            <w:r>
              <w:rPr>
                <w:rFonts w:ascii="Arial" w:cs="Arial" w:eastAsia="Arial" w:hAnsi="Arial"/>
                <w:sz w:val="14"/>
                <w:szCs w:val="14"/>
                <w:color w:val="auto"/>
              </w:rPr>
              <w:t>Licensing, royalty, and other revenue</w:t>
            </w: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9,903</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5,098</w:t>
            </w:r>
          </w:p>
        </w:tc>
        <w:tc>
          <w:tcPr>
            <w:tcW w:w="0" w:type="dxa"/>
            <w:vAlign w:val="bottom"/>
          </w:tcPr>
          <w:p>
            <w:pPr>
              <w:spacing w:after="0"/>
              <w:rPr>
                <w:sz w:val="1"/>
                <w:szCs w:val="1"/>
                <w:color w:val="auto"/>
              </w:rPr>
            </w:pPr>
          </w:p>
        </w:tc>
      </w:tr>
      <w:tr>
        <w:trPr>
          <w:trHeight w:val="164"/>
        </w:trPr>
        <w:tc>
          <w:tcPr>
            <w:tcW w:w="8580" w:type="dxa"/>
            <w:vAlign w:val="bottom"/>
          </w:tcPr>
          <w:p>
            <w:pPr>
              <w:ind w:left="140"/>
              <w:spacing w:after="0"/>
              <w:rPr>
                <w:sz w:val="20"/>
                <w:szCs w:val="20"/>
                <w:color w:val="auto"/>
              </w:rPr>
            </w:pPr>
            <w:r>
              <w:rPr>
                <w:rFonts w:ascii="Arial" w:cs="Arial" w:eastAsia="Arial" w:hAnsi="Arial"/>
                <w:sz w:val="14"/>
                <w:szCs w:val="14"/>
                <w:color w:val="auto"/>
              </w:rPr>
              <w:t>Total revenue</w:t>
            </w:r>
          </w:p>
        </w:tc>
        <w:tc>
          <w:tcPr>
            <w:tcW w:w="32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49,417</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35,936</w:t>
            </w:r>
          </w:p>
        </w:tc>
        <w:tc>
          <w:tcPr>
            <w:tcW w:w="0" w:type="dxa"/>
            <w:vAlign w:val="bottom"/>
          </w:tcPr>
          <w:p>
            <w:pPr>
              <w:spacing w:after="0"/>
              <w:rPr>
                <w:sz w:val="1"/>
                <w:szCs w:val="1"/>
                <w:color w:val="auto"/>
              </w:rPr>
            </w:pPr>
          </w:p>
        </w:tc>
      </w:tr>
      <w:tr>
        <w:trPr>
          <w:trHeight w:val="181"/>
        </w:trPr>
        <w:tc>
          <w:tcPr>
            <w:tcW w:w="8580" w:type="dxa"/>
            <w:vAlign w:val="bottom"/>
          </w:tcPr>
          <w:p>
            <w:pPr>
              <w:spacing w:after="0"/>
              <w:rPr>
                <w:sz w:val="20"/>
                <w:szCs w:val="20"/>
                <w:color w:val="auto"/>
              </w:rPr>
            </w:pPr>
            <w:r>
              <w:rPr>
                <w:rFonts w:ascii="Arial" w:cs="Arial" w:eastAsia="Arial" w:hAnsi="Arial"/>
                <w:sz w:val="14"/>
                <w:szCs w:val="14"/>
                <w:color w:val="auto"/>
              </w:rPr>
              <w:t>Cost of sales</w:t>
            </w: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24,083</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14,451</w:t>
            </w:r>
          </w:p>
        </w:tc>
        <w:tc>
          <w:tcPr>
            <w:tcW w:w="0" w:type="dxa"/>
            <w:vAlign w:val="bottom"/>
          </w:tcPr>
          <w:p>
            <w:pPr>
              <w:spacing w:after="0"/>
              <w:rPr>
                <w:sz w:val="1"/>
                <w:szCs w:val="1"/>
                <w:color w:val="auto"/>
              </w:rPr>
            </w:pPr>
          </w:p>
        </w:tc>
      </w:tr>
      <w:tr>
        <w:trPr>
          <w:trHeight w:val="164"/>
        </w:trPr>
        <w:tc>
          <w:tcPr>
            <w:tcW w:w="8580" w:type="dxa"/>
            <w:vAlign w:val="bottom"/>
          </w:tcPr>
          <w:p>
            <w:pPr>
              <w:ind w:left="140"/>
              <w:spacing w:after="0"/>
              <w:rPr>
                <w:sz w:val="20"/>
                <w:szCs w:val="20"/>
                <w:color w:val="auto"/>
              </w:rPr>
            </w:pPr>
            <w:r>
              <w:rPr>
                <w:rFonts w:ascii="Arial" w:cs="Arial" w:eastAsia="Arial" w:hAnsi="Arial"/>
                <w:sz w:val="14"/>
                <w:szCs w:val="14"/>
                <w:color w:val="auto"/>
              </w:rPr>
              <w:t>Gross profit</w:t>
            </w:r>
          </w:p>
        </w:tc>
        <w:tc>
          <w:tcPr>
            <w:tcW w:w="32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25,334</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21,485</w:t>
            </w:r>
          </w:p>
        </w:tc>
        <w:tc>
          <w:tcPr>
            <w:tcW w:w="0" w:type="dxa"/>
            <w:vAlign w:val="bottom"/>
          </w:tcPr>
          <w:p>
            <w:pPr>
              <w:spacing w:after="0"/>
              <w:rPr>
                <w:sz w:val="1"/>
                <w:szCs w:val="1"/>
                <w:color w:val="auto"/>
              </w:rPr>
            </w:pPr>
          </w:p>
        </w:tc>
      </w:tr>
      <w:tr>
        <w:trPr>
          <w:trHeight w:val="176"/>
        </w:trPr>
        <w:tc>
          <w:tcPr>
            <w:tcW w:w="8580" w:type="dxa"/>
            <w:vAlign w:val="bottom"/>
          </w:tcPr>
          <w:p>
            <w:pPr>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580" w:type="dxa"/>
            <w:vAlign w:val="bottom"/>
          </w:tcPr>
          <w:p>
            <w:pPr>
              <w:ind w:left="140"/>
              <w:spacing w:after="0"/>
              <w:rPr>
                <w:sz w:val="20"/>
                <w:szCs w:val="20"/>
                <w:color w:val="auto"/>
              </w:rPr>
            </w:pPr>
            <w:r>
              <w:rPr>
                <w:rFonts w:ascii="Arial" w:cs="Arial" w:eastAsia="Arial" w:hAnsi="Arial"/>
                <w:sz w:val="14"/>
                <w:szCs w:val="14"/>
                <w:color w:val="auto"/>
              </w:rPr>
              <w:t>Research and development</w:t>
            </w:r>
          </w:p>
        </w:tc>
        <w:tc>
          <w:tcPr>
            <w:tcW w:w="32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23,637</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25,437</w:t>
            </w:r>
          </w:p>
        </w:tc>
        <w:tc>
          <w:tcPr>
            <w:tcW w:w="0" w:type="dxa"/>
            <w:vAlign w:val="bottom"/>
          </w:tcPr>
          <w:p>
            <w:pPr>
              <w:spacing w:after="0"/>
              <w:rPr>
                <w:sz w:val="1"/>
                <w:szCs w:val="1"/>
                <w:color w:val="auto"/>
              </w:rPr>
            </w:pPr>
          </w:p>
        </w:tc>
      </w:tr>
      <w:tr>
        <w:trPr>
          <w:trHeight w:val="176"/>
        </w:trPr>
        <w:tc>
          <w:tcPr>
            <w:tcW w:w="858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32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12,551</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11,516</w:t>
            </w:r>
          </w:p>
        </w:tc>
        <w:tc>
          <w:tcPr>
            <w:tcW w:w="0" w:type="dxa"/>
            <w:vAlign w:val="bottom"/>
          </w:tcPr>
          <w:p>
            <w:pPr>
              <w:spacing w:after="0"/>
              <w:rPr>
                <w:sz w:val="1"/>
                <w:szCs w:val="1"/>
                <w:color w:val="auto"/>
              </w:rPr>
            </w:pPr>
          </w:p>
        </w:tc>
      </w:tr>
      <w:tr>
        <w:trPr>
          <w:trHeight w:val="181"/>
        </w:trPr>
        <w:tc>
          <w:tcPr>
            <w:tcW w:w="8580" w:type="dxa"/>
            <w:vAlign w:val="bottom"/>
          </w:tcPr>
          <w:p>
            <w:pPr>
              <w:ind w:left="140"/>
              <w:spacing w:after="0"/>
              <w:rPr>
                <w:sz w:val="20"/>
                <w:szCs w:val="20"/>
                <w:color w:val="auto"/>
              </w:rPr>
            </w:pPr>
            <w:r>
              <w:rPr>
                <w:rFonts w:ascii="Arial" w:cs="Arial" w:eastAsia="Arial" w:hAnsi="Arial"/>
                <w:sz w:val="14"/>
                <w:szCs w:val="14"/>
                <w:color w:val="auto"/>
              </w:rPr>
              <w:t>Sales and marketing</w:t>
            </w: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6,467</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4,740</w:t>
            </w:r>
          </w:p>
        </w:tc>
        <w:tc>
          <w:tcPr>
            <w:tcW w:w="0" w:type="dxa"/>
            <w:vAlign w:val="bottom"/>
          </w:tcPr>
          <w:p>
            <w:pPr>
              <w:spacing w:after="0"/>
              <w:rPr>
                <w:sz w:val="1"/>
                <w:szCs w:val="1"/>
                <w:color w:val="auto"/>
              </w:rPr>
            </w:pPr>
          </w:p>
        </w:tc>
      </w:tr>
      <w:tr>
        <w:trPr>
          <w:trHeight w:val="169"/>
        </w:trPr>
        <w:tc>
          <w:tcPr>
            <w:tcW w:w="8580" w:type="dxa"/>
            <w:vAlign w:val="bottom"/>
          </w:tcPr>
          <w:p>
            <w:pPr>
              <w:ind w:left="28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42,655</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41,693</w:t>
            </w:r>
          </w:p>
        </w:tc>
        <w:tc>
          <w:tcPr>
            <w:tcW w:w="0" w:type="dxa"/>
            <w:vAlign w:val="bottom"/>
          </w:tcPr>
          <w:p>
            <w:pPr>
              <w:spacing w:after="0"/>
              <w:rPr>
                <w:sz w:val="1"/>
                <w:szCs w:val="1"/>
                <w:color w:val="auto"/>
              </w:rPr>
            </w:pPr>
          </w:p>
        </w:tc>
      </w:tr>
      <w:tr>
        <w:trPr>
          <w:trHeight w:val="164"/>
        </w:trPr>
        <w:tc>
          <w:tcPr>
            <w:tcW w:w="8580" w:type="dxa"/>
            <w:vAlign w:val="bottom"/>
          </w:tcPr>
          <w:p>
            <w:pPr>
              <w:spacing w:after="0"/>
              <w:rPr>
                <w:sz w:val="20"/>
                <w:szCs w:val="20"/>
                <w:color w:val="auto"/>
              </w:rPr>
            </w:pPr>
            <w:r>
              <w:rPr>
                <w:rFonts w:ascii="Arial" w:cs="Arial" w:eastAsia="Arial" w:hAnsi="Arial"/>
                <w:sz w:val="14"/>
                <w:szCs w:val="14"/>
                <w:color w:val="auto"/>
              </w:rPr>
              <w:t>Loss from operations</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(17,321)</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(20,208)</w:t>
            </w:r>
          </w:p>
        </w:tc>
        <w:tc>
          <w:tcPr>
            <w:tcW w:w="0" w:type="dxa"/>
            <w:vAlign w:val="bottom"/>
          </w:tcPr>
          <w:p>
            <w:pPr>
              <w:spacing w:after="0"/>
              <w:rPr>
                <w:sz w:val="1"/>
                <w:szCs w:val="1"/>
                <w:color w:val="auto"/>
              </w:rPr>
            </w:pPr>
          </w:p>
        </w:tc>
      </w:tr>
      <w:tr>
        <w:trPr>
          <w:trHeight w:val="176"/>
        </w:trPr>
        <w:tc>
          <w:tcPr>
            <w:tcW w:w="8580" w:type="dxa"/>
            <w:vAlign w:val="bottom"/>
          </w:tcPr>
          <w:p>
            <w:pPr>
              <w:spacing w:after="0"/>
              <w:rPr>
                <w:sz w:val="20"/>
                <w:szCs w:val="20"/>
                <w:color w:val="auto"/>
              </w:rPr>
            </w:pPr>
            <w:r>
              <w:rPr>
                <w:rFonts w:ascii="Arial" w:cs="Arial" w:eastAsia="Arial" w:hAnsi="Arial"/>
                <w:sz w:val="14"/>
                <w:szCs w:val="14"/>
                <w:color w:val="auto"/>
              </w:rPr>
              <w:t>Interest expense</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(890)</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(764)</w:t>
            </w:r>
          </w:p>
        </w:tc>
        <w:tc>
          <w:tcPr>
            <w:tcW w:w="0" w:type="dxa"/>
            <w:vAlign w:val="bottom"/>
          </w:tcPr>
          <w:p>
            <w:pPr>
              <w:spacing w:after="0"/>
              <w:rPr>
                <w:sz w:val="1"/>
                <w:szCs w:val="1"/>
                <w:color w:val="auto"/>
              </w:rPr>
            </w:pPr>
          </w:p>
        </w:tc>
      </w:tr>
      <w:tr>
        <w:trPr>
          <w:trHeight w:val="176"/>
        </w:trPr>
        <w:tc>
          <w:tcPr>
            <w:tcW w:w="8580" w:type="dxa"/>
            <w:vAlign w:val="bottom"/>
          </w:tcPr>
          <w:p>
            <w:pPr>
              <w:spacing w:after="0"/>
              <w:rPr>
                <w:sz w:val="20"/>
                <w:szCs w:val="20"/>
                <w:color w:val="auto"/>
              </w:rPr>
            </w:pPr>
            <w:r>
              <w:rPr>
                <w:rFonts w:ascii="Arial" w:cs="Arial" w:eastAsia="Arial" w:hAnsi="Arial"/>
                <w:sz w:val="14"/>
                <w:szCs w:val="14"/>
                <w:color w:val="auto"/>
              </w:rPr>
              <w:t>Other income, net</w:t>
            </w:r>
          </w:p>
        </w:tc>
        <w:tc>
          <w:tcPr>
            <w:tcW w:w="32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457</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81"/>
        </w:trPr>
        <w:tc>
          <w:tcPr>
            <w:tcW w:w="8580" w:type="dxa"/>
            <w:vAlign w:val="bottom"/>
          </w:tcPr>
          <w:p>
            <w:pPr>
              <w:spacing w:after="0"/>
              <w:rPr>
                <w:sz w:val="20"/>
                <w:szCs w:val="20"/>
                <w:color w:val="auto"/>
              </w:rPr>
            </w:pPr>
            <w:r>
              <w:rPr>
                <w:rFonts w:ascii="Arial" w:cs="Arial" w:eastAsia="Arial" w:hAnsi="Arial"/>
                <w:sz w:val="14"/>
                <w:szCs w:val="14"/>
                <w:color w:val="auto"/>
              </w:rPr>
              <w:t>Loss on extinguishment of debt</w:t>
            </w: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169"/>
        </w:trPr>
        <w:tc>
          <w:tcPr>
            <w:tcW w:w="8580" w:type="dxa"/>
            <w:vAlign w:val="bottom"/>
          </w:tcPr>
          <w:p>
            <w:pPr>
              <w:spacing w:after="0"/>
              <w:rPr>
                <w:sz w:val="20"/>
                <w:szCs w:val="20"/>
                <w:color w:val="auto"/>
              </w:rPr>
            </w:pPr>
            <w:r>
              <w:rPr>
                <w:rFonts w:ascii="Arial" w:cs="Arial" w:eastAsia="Arial" w:hAnsi="Arial"/>
                <w:sz w:val="14"/>
                <w:szCs w:val="14"/>
                <w:color w:val="auto"/>
              </w:rPr>
              <w:t>Net loss and comprehensive loss</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(17,754)</w:t>
            </w:r>
          </w:p>
        </w:tc>
        <w:tc>
          <w:tcPr>
            <w:tcW w:w="220" w:type="dxa"/>
            <w:vAlign w:val="bottom"/>
          </w:tcPr>
          <w:p>
            <w:pPr>
              <w:spacing w:after="0"/>
              <w:rPr>
                <w:sz w:val="14"/>
                <w:szCs w:val="14"/>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(21,100)</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4"/>
                <w:szCs w:val="14"/>
                <w:color w:val="auto"/>
              </w:rPr>
              <w:t>Net loss per common share, basic and diluted</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80" w:type="dxa"/>
            <w:vAlign w:val="bottom"/>
            <w:vMerge w:val="continue"/>
          </w:tcPr>
          <w:p>
            <w:pPr>
              <w:spacing w:after="0"/>
              <w:rPr>
                <w:sz w:val="13"/>
                <w:szCs w:val="13"/>
                <w:color w:val="auto"/>
              </w:rPr>
            </w:pPr>
          </w:p>
        </w:tc>
        <w:tc>
          <w:tcPr>
            <w:tcW w:w="320" w:type="dxa"/>
            <w:vAlign w:val="bottom"/>
            <w:tcBorders>
              <w:top w:val="single" w:sz="8" w:color="auto"/>
              <w:bottom w:val="single" w:sz="8" w:color="auto"/>
            </w:tcBorders>
          </w:tcPr>
          <w:p>
            <w:pPr>
              <w:jc w:val="right"/>
              <w:ind w:right="128"/>
              <w:spacing w:after="0" w:line="156"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(1.08)</w:t>
            </w:r>
          </w:p>
        </w:tc>
        <w:tc>
          <w:tcPr>
            <w:tcW w:w="22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28"/>
              <w:spacing w:after="0" w:line="156"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4"/>
                <w:szCs w:val="14"/>
                <w:color w:val="auto"/>
              </w:rPr>
              <w:t>Weighted-average shares used to compute net loss per common share, basic and diluted</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80" w:type="dxa"/>
            <w:vAlign w:val="bottom"/>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8"/>
              <w:spacing w:after="0" w:line="156" w:lineRule="exact"/>
              <w:rPr>
                <w:sz w:val="20"/>
                <w:szCs w:val="20"/>
                <w:color w:val="auto"/>
              </w:rPr>
            </w:pPr>
            <w:r>
              <w:rPr>
                <w:rFonts w:ascii="Arial" w:cs="Arial" w:eastAsia="Arial" w:hAnsi="Arial"/>
                <w:sz w:val="14"/>
                <w:szCs w:val="14"/>
                <w:color w:val="auto"/>
              </w:rPr>
              <w:t>16,372,638</w:t>
            </w:r>
          </w:p>
        </w:tc>
        <w:tc>
          <w:tcPr>
            <w:tcW w:w="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12,484,984</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EVERSPIN TECHNOLOGIES,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Statement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8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4"/>
        </w:trPr>
        <w:tc>
          <w:tcPr>
            <w:tcW w:w="8880" w:type="dxa"/>
            <w:vAlign w:val="bottom"/>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880" w:type="dxa"/>
            <w:vAlign w:val="bottom"/>
          </w:tcPr>
          <w:p>
            <w:pPr>
              <w:spacing w:after="0"/>
              <w:rPr>
                <w:sz w:val="20"/>
                <w:szCs w:val="20"/>
                <w:color w:val="auto"/>
              </w:rPr>
            </w:pPr>
            <w:r>
              <w:rPr>
                <w:rFonts w:ascii="Arial" w:cs="Arial" w:eastAsia="Arial" w:hAnsi="Arial"/>
                <w:sz w:val="14"/>
                <w:szCs w:val="14"/>
                <w:color w:val="auto"/>
              </w:rPr>
              <w:t>Net loss</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(17,754)</w:t>
            </w:r>
          </w:p>
        </w:tc>
        <w:tc>
          <w:tcPr>
            <w:tcW w:w="5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(21,100)</w:t>
            </w:r>
          </w:p>
        </w:tc>
        <w:tc>
          <w:tcPr>
            <w:tcW w:w="0" w:type="dxa"/>
            <w:vAlign w:val="bottom"/>
          </w:tcPr>
          <w:p>
            <w:pPr>
              <w:spacing w:after="0"/>
              <w:rPr>
                <w:sz w:val="1"/>
                <w:szCs w:val="1"/>
                <w:color w:val="auto"/>
              </w:rPr>
            </w:pPr>
          </w:p>
        </w:tc>
      </w:tr>
      <w:tr>
        <w:trPr>
          <w:trHeight w:val="176"/>
        </w:trPr>
        <w:tc>
          <w:tcPr>
            <w:tcW w:w="8880" w:type="dxa"/>
            <w:vAlign w:val="bottom"/>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88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1,450</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1,191</w:t>
            </w:r>
          </w:p>
        </w:tc>
        <w:tc>
          <w:tcPr>
            <w:tcW w:w="0" w:type="dxa"/>
            <w:vAlign w:val="bottom"/>
          </w:tcPr>
          <w:p>
            <w:pPr>
              <w:spacing w:after="0"/>
              <w:rPr>
                <w:sz w:val="1"/>
                <w:szCs w:val="1"/>
                <w:color w:val="auto"/>
              </w:rPr>
            </w:pPr>
          </w:p>
        </w:tc>
      </w:tr>
      <w:tr>
        <w:trPr>
          <w:trHeight w:val="176"/>
        </w:trPr>
        <w:tc>
          <w:tcPr>
            <w:tcW w:w="8880" w:type="dxa"/>
            <w:vAlign w:val="bottom"/>
          </w:tcPr>
          <w:p>
            <w:pPr>
              <w:ind w:left="140"/>
              <w:spacing w:after="0"/>
              <w:rPr>
                <w:sz w:val="20"/>
                <w:szCs w:val="20"/>
                <w:color w:val="auto"/>
              </w:rPr>
            </w:pPr>
            <w:r>
              <w:rPr>
                <w:rFonts w:ascii="Arial" w:cs="Arial" w:eastAsia="Arial" w:hAnsi="Arial"/>
                <w:sz w:val="14"/>
                <w:szCs w:val="14"/>
                <w:color w:val="auto"/>
              </w:rPr>
              <w:t>Loss on disposal of property and equipment</w:t>
            </w:r>
          </w:p>
        </w:tc>
        <w:tc>
          <w:tcPr>
            <w:tcW w:w="2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888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2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2,668</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2,048</w:t>
            </w:r>
          </w:p>
        </w:tc>
        <w:tc>
          <w:tcPr>
            <w:tcW w:w="0" w:type="dxa"/>
            <w:vAlign w:val="bottom"/>
          </w:tcPr>
          <w:p>
            <w:pPr>
              <w:spacing w:after="0"/>
              <w:rPr>
                <w:sz w:val="1"/>
                <w:szCs w:val="1"/>
                <w:color w:val="auto"/>
              </w:rPr>
            </w:pPr>
          </w:p>
        </w:tc>
      </w:tr>
      <w:tr>
        <w:trPr>
          <w:trHeight w:val="176"/>
        </w:trPr>
        <w:tc>
          <w:tcPr>
            <w:tcW w:w="8880" w:type="dxa"/>
            <w:vAlign w:val="bottom"/>
          </w:tcPr>
          <w:p>
            <w:pPr>
              <w:ind w:left="140"/>
              <w:spacing w:after="0"/>
              <w:rPr>
                <w:sz w:val="20"/>
                <w:szCs w:val="20"/>
                <w:color w:val="auto"/>
              </w:rPr>
            </w:pPr>
            <w:r>
              <w:rPr>
                <w:rFonts w:ascii="Arial" w:cs="Arial" w:eastAsia="Arial" w:hAnsi="Arial"/>
                <w:sz w:val="14"/>
                <w:szCs w:val="14"/>
                <w:color w:val="auto"/>
              </w:rPr>
              <w:t>Non-cash loss on extinguishment of debt</w:t>
            </w:r>
          </w:p>
        </w:tc>
        <w:tc>
          <w:tcPr>
            <w:tcW w:w="2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76"/>
        </w:trPr>
        <w:tc>
          <w:tcPr>
            <w:tcW w:w="8880" w:type="dxa"/>
            <w:vAlign w:val="bottom"/>
          </w:tcPr>
          <w:p>
            <w:pPr>
              <w:ind w:left="140"/>
              <w:spacing w:after="0"/>
              <w:rPr>
                <w:sz w:val="20"/>
                <w:szCs w:val="20"/>
                <w:color w:val="auto"/>
              </w:rPr>
            </w:pPr>
            <w:r>
              <w:rPr>
                <w:rFonts w:ascii="Arial" w:cs="Arial" w:eastAsia="Arial" w:hAnsi="Arial"/>
                <w:sz w:val="14"/>
                <w:szCs w:val="14"/>
                <w:color w:val="auto"/>
              </w:rPr>
              <w:t>Non-cash interest expense</w:t>
            </w:r>
          </w:p>
        </w:tc>
        <w:tc>
          <w:tcPr>
            <w:tcW w:w="2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375</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76"/>
        </w:trPr>
        <w:tc>
          <w:tcPr>
            <w:tcW w:w="8880" w:type="dxa"/>
            <w:vAlign w:val="bottom"/>
          </w:tcPr>
          <w:p>
            <w:pPr>
              <w:ind w:left="140"/>
              <w:spacing w:after="0"/>
              <w:rPr>
                <w:sz w:val="20"/>
                <w:szCs w:val="20"/>
                <w:color w:val="auto"/>
              </w:rPr>
            </w:pPr>
            <w:r>
              <w:rPr>
                <w:rFonts w:ascii="Arial" w:cs="Arial" w:eastAsia="Arial" w:hAnsi="Arial"/>
                <w:sz w:val="14"/>
                <w:szCs w:val="14"/>
                <w:color w:val="auto"/>
              </w:rPr>
              <w:t>Compensation expense related to vesting of common stock to GLOBALFOUNDRIES</w:t>
            </w:r>
          </w:p>
        </w:tc>
        <w:tc>
          <w:tcPr>
            <w:tcW w:w="2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753</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1,472</w:t>
            </w:r>
          </w:p>
        </w:tc>
        <w:tc>
          <w:tcPr>
            <w:tcW w:w="0" w:type="dxa"/>
            <w:vAlign w:val="bottom"/>
          </w:tcPr>
          <w:p>
            <w:pPr>
              <w:spacing w:after="0"/>
              <w:rPr>
                <w:sz w:val="1"/>
                <w:szCs w:val="1"/>
                <w:color w:val="auto"/>
              </w:rPr>
            </w:pPr>
          </w:p>
        </w:tc>
      </w:tr>
      <w:tr>
        <w:trPr>
          <w:trHeight w:val="176"/>
        </w:trPr>
        <w:tc>
          <w:tcPr>
            <w:tcW w:w="888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880" w:type="dxa"/>
            <w:vAlign w:val="bottom"/>
          </w:tcPr>
          <w:p>
            <w:pPr>
              <w:ind w:left="140"/>
              <w:spacing w:after="0"/>
              <w:rPr>
                <w:sz w:val="20"/>
                <w:szCs w:val="20"/>
                <w:color w:val="auto"/>
              </w:rPr>
            </w:pPr>
            <w:r>
              <w:rPr>
                <w:rFonts w:ascii="Arial" w:cs="Arial" w:eastAsia="Arial" w:hAnsi="Arial"/>
                <w:sz w:val="14"/>
                <w:szCs w:val="14"/>
                <w:color w:val="auto"/>
              </w:rPr>
              <w:t>Accounts receivable</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(3,816)</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76"/>
        </w:trPr>
        <w:tc>
          <w:tcPr>
            <w:tcW w:w="8880" w:type="dxa"/>
            <w:vAlign w:val="bottom"/>
          </w:tcPr>
          <w:p>
            <w:pPr>
              <w:ind w:left="140"/>
              <w:spacing w:after="0"/>
              <w:rPr>
                <w:sz w:val="20"/>
                <w:szCs w:val="20"/>
                <w:color w:val="auto"/>
              </w:rPr>
            </w:pPr>
            <w:r>
              <w:rPr>
                <w:rFonts w:ascii="Arial" w:cs="Arial" w:eastAsia="Arial" w:hAnsi="Arial"/>
                <w:sz w:val="14"/>
                <w:szCs w:val="14"/>
                <w:color w:val="auto"/>
              </w:rPr>
              <w:t>Inventory</w:t>
            </w:r>
          </w:p>
        </w:tc>
        <w:tc>
          <w:tcPr>
            <w:tcW w:w="2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694</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(3,871)</w:t>
            </w:r>
          </w:p>
        </w:tc>
        <w:tc>
          <w:tcPr>
            <w:tcW w:w="0" w:type="dxa"/>
            <w:vAlign w:val="bottom"/>
          </w:tcPr>
          <w:p>
            <w:pPr>
              <w:spacing w:after="0"/>
              <w:rPr>
                <w:sz w:val="1"/>
                <w:szCs w:val="1"/>
                <w:color w:val="auto"/>
              </w:rPr>
            </w:pPr>
          </w:p>
        </w:tc>
      </w:tr>
      <w:tr>
        <w:trPr>
          <w:trHeight w:val="176"/>
        </w:trPr>
        <w:tc>
          <w:tcPr>
            <w:tcW w:w="8880" w:type="dxa"/>
            <w:vAlign w:val="bottom"/>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(98)</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176"/>
        </w:trPr>
        <w:tc>
          <w:tcPr>
            <w:tcW w:w="8880" w:type="dxa"/>
            <w:vAlign w:val="bottom"/>
          </w:tcPr>
          <w:p>
            <w:pPr>
              <w:ind w:left="140"/>
              <w:spacing w:after="0"/>
              <w:rPr>
                <w:sz w:val="20"/>
                <w:szCs w:val="20"/>
                <w:color w:val="auto"/>
              </w:rPr>
            </w:pPr>
            <w:r>
              <w:rPr>
                <w:rFonts w:ascii="Arial" w:cs="Arial" w:eastAsia="Arial" w:hAnsi="Arial"/>
                <w:sz w:val="14"/>
                <w:szCs w:val="14"/>
                <w:color w:val="auto"/>
              </w:rPr>
              <w:t>Other assets</w:t>
            </w:r>
          </w:p>
        </w:tc>
        <w:tc>
          <w:tcPr>
            <w:tcW w:w="2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76"/>
        </w:trPr>
        <w:tc>
          <w:tcPr>
            <w:tcW w:w="888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(178)</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809</w:t>
            </w:r>
          </w:p>
        </w:tc>
        <w:tc>
          <w:tcPr>
            <w:tcW w:w="0" w:type="dxa"/>
            <w:vAlign w:val="bottom"/>
          </w:tcPr>
          <w:p>
            <w:pPr>
              <w:spacing w:after="0"/>
              <w:rPr>
                <w:sz w:val="1"/>
                <w:szCs w:val="1"/>
                <w:color w:val="auto"/>
              </w:rPr>
            </w:pPr>
          </w:p>
        </w:tc>
      </w:tr>
      <w:tr>
        <w:trPr>
          <w:trHeight w:val="176"/>
        </w:trPr>
        <w:tc>
          <w:tcPr>
            <w:tcW w:w="8880" w:type="dxa"/>
            <w:vAlign w:val="bottom"/>
          </w:tcPr>
          <w:p>
            <w:pPr>
              <w:ind w:left="140"/>
              <w:spacing w:after="0"/>
              <w:rPr>
                <w:sz w:val="20"/>
                <w:szCs w:val="20"/>
                <w:color w:val="auto"/>
              </w:rPr>
            </w:pPr>
            <w:r>
              <w:rPr>
                <w:rFonts w:ascii="Arial" w:cs="Arial" w:eastAsia="Arial" w:hAnsi="Arial"/>
                <w:sz w:val="14"/>
                <w:szCs w:val="14"/>
                <w:color w:val="auto"/>
              </w:rPr>
              <w:t>Accrued liabilities</w:t>
            </w:r>
          </w:p>
        </w:tc>
        <w:tc>
          <w:tcPr>
            <w:tcW w:w="2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1,253</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76"/>
        </w:trPr>
        <w:tc>
          <w:tcPr>
            <w:tcW w:w="8880" w:type="dxa"/>
            <w:vAlign w:val="bottom"/>
          </w:tcPr>
          <w:p>
            <w:pPr>
              <w:ind w:left="140"/>
              <w:spacing w:after="0"/>
              <w:rPr>
                <w:sz w:val="20"/>
                <w:szCs w:val="20"/>
                <w:color w:val="auto"/>
              </w:rPr>
            </w:pPr>
            <w:r>
              <w:rPr>
                <w:rFonts w:ascii="Arial" w:cs="Arial" w:eastAsia="Arial" w:hAnsi="Arial"/>
                <w:sz w:val="14"/>
                <w:szCs w:val="14"/>
                <w:color w:val="auto"/>
              </w:rPr>
              <w:t>Deferred income on shipments to distributors</w:t>
            </w:r>
          </w:p>
        </w:tc>
        <w:tc>
          <w:tcPr>
            <w:tcW w:w="2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81"/>
        </w:trPr>
        <w:tc>
          <w:tcPr>
            <w:tcW w:w="8880" w:type="dxa"/>
            <w:vAlign w:val="bottom"/>
          </w:tcPr>
          <w:p>
            <w:pPr>
              <w:ind w:left="140"/>
              <w:spacing w:after="0"/>
              <w:rPr>
                <w:sz w:val="20"/>
                <w:szCs w:val="20"/>
                <w:color w:val="auto"/>
              </w:rPr>
            </w:pPr>
            <w:r>
              <w:rPr>
                <w:rFonts w:ascii="Arial" w:cs="Arial" w:eastAsia="Arial" w:hAnsi="Arial"/>
                <w:sz w:val="14"/>
                <w:szCs w:val="14"/>
                <w:color w:val="auto"/>
              </w:rPr>
              <w:t>Shipping term reversal</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8880" w:type="dxa"/>
            <w:vAlign w:val="bottom"/>
          </w:tcPr>
          <w:p>
            <w:pPr>
              <w:ind w:left="140"/>
              <w:spacing w:after="0"/>
              <w:rPr>
                <w:sz w:val="20"/>
                <w:szCs w:val="20"/>
                <w:color w:val="auto"/>
              </w:rPr>
            </w:pPr>
            <w:r>
              <w:rPr>
                <w:rFonts w:ascii="Arial" w:cs="Arial" w:eastAsia="Arial" w:hAnsi="Arial"/>
                <w:sz w:val="14"/>
                <w:szCs w:val="14"/>
                <w:color w:val="auto"/>
              </w:rPr>
              <w:t>Net cash used in operating activities</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(14,673)</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(18,888)</w:t>
            </w:r>
          </w:p>
        </w:tc>
        <w:tc>
          <w:tcPr>
            <w:tcW w:w="0" w:type="dxa"/>
            <w:vAlign w:val="bottom"/>
          </w:tcPr>
          <w:p>
            <w:pPr>
              <w:spacing w:after="0"/>
              <w:rPr>
                <w:sz w:val="1"/>
                <w:szCs w:val="1"/>
                <w:color w:val="auto"/>
              </w:rPr>
            </w:pPr>
          </w:p>
        </w:tc>
      </w:tr>
      <w:tr>
        <w:trPr>
          <w:trHeight w:val="164"/>
        </w:trPr>
        <w:tc>
          <w:tcPr>
            <w:tcW w:w="888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880" w:type="dxa"/>
            <w:vAlign w:val="bottom"/>
          </w:tcPr>
          <w:p>
            <w:pPr>
              <w:spacing w:after="0"/>
              <w:rPr>
                <w:sz w:val="20"/>
                <w:szCs w:val="20"/>
                <w:color w:val="auto"/>
              </w:rPr>
            </w:pPr>
            <w:r>
              <w:rPr>
                <w:rFonts w:ascii="Arial" w:cs="Arial" w:eastAsia="Arial" w:hAnsi="Arial"/>
                <w:sz w:val="14"/>
                <w:szCs w:val="14"/>
                <w:color w:val="auto"/>
              </w:rPr>
              <w:t>Purchases of property and equipment</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(1,914)</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(3,070)</w:t>
            </w:r>
          </w:p>
        </w:tc>
        <w:tc>
          <w:tcPr>
            <w:tcW w:w="0" w:type="dxa"/>
            <w:vAlign w:val="bottom"/>
          </w:tcPr>
          <w:p>
            <w:pPr>
              <w:spacing w:after="0"/>
              <w:rPr>
                <w:sz w:val="1"/>
                <w:szCs w:val="1"/>
                <w:color w:val="auto"/>
              </w:rPr>
            </w:pPr>
          </w:p>
        </w:tc>
      </w:tr>
      <w:tr>
        <w:trPr>
          <w:trHeight w:val="169"/>
        </w:trPr>
        <w:tc>
          <w:tcPr>
            <w:tcW w:w="8880" w:type="dxa"/>
            <w:vAlign w:val="bottom"/>
          </w:tcPr>
          <w:p>
            <w:pPr>
              <w:ind w:left="140"/>
              <w:spacing w:after="0"/>
              <w:rPr>
                <w:sz w:val="20"/>
                <w:szCs w:val="20"/>
                <w:color w:val="auto"/>
              </w:rPr>
            </w:pPr>
            <w:r>
              <w:rPr>
                <w:rFonts w:ascii="Arial" w:cs="Arial" w:eastAsia="Arial" w:hAnsi="Arial"/>
                <w:sz w:val="14"/>
                <w:szCs w:val="14"/>
                <w:color w:val="auto"/>
              </w:rPr>
              <w:t>Net cash used in investing activities</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(1,914)</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(3,070)</w:t>
            </w:r>
          </w:p>
        </w:tc>
        <w:tc>
          <w:tcPr>
            <w:tcW w:w="0" w:type="dxa"/>
            <w:vAlign w:val="bottom"/>
          </w:tcPr>
          <w:p>
            <w:pPr>
              <w:spacing w:after="0"/>
              <w:rPr>
                <w:sz w:val="1"/>
                <w:szCs w:val="1"/>
                <w:color w:val="auto"/>
              </w:rPr>
            </w:pPr>
          </w:p>
        </w:tc>
      </w:tr>
      <w:tr>
        <w:trPr>
          <w:trHeight w:val="164"/>
        </w:trPr>
        <w:tc>
          <w:tcPr>
            <w:tcW w:w="888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880" w:type="dxa"/>
            <w:vAlign w:val="bottom"/>
          </w:tcPr>
          <w:p>
            <w:pPr>
              <w:spacing w:after="0"/>
              <w:rPr>
                <w:sz w:val="20"/>
                <w:szCs w:val="20"/>
                <w:color w:val="auto"/>
              </w:rPr>
            </w:pPr>
            <w:r>
              <w:rPr>
                <w:rFonts w:ascii="Arial" w:cs="Arial" w:eastAsia="Arial" w:hAnsi="Arial"/>
                <w:sz w:val="14"/>
                <w:szCs w:val="14"/>
                <w:color w:val="auto"/>
              </w:rPr>
              <w:t>Proceeds from the issuance of common stock, net of offering costs</w:t>
            </w:r>
          </w:p>
        </w:tc>
        <w:tc>
          <w:tcPr>
            <w:tcW w:w="2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24,524</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8880" w:type="dxa"/>
            <w:vAlign w:val="bottom"/>
          </w:tcPr>
          <w:p>
            <w:pPr>
              <w:spacing w:after="0"/>
              <w:rPr>
                <w:sz w:val="20"/>
                <w:szCs w:val="20"/>
                <w:color w:val="auto"/>
              </w:rPr>
            </w:pPr>
            <w:r>
              <w:rPr>
                <w:rFonts w:ascii="Arial" w:cs="Arial" w:eastAsia="Arial" w:hAnsi="Arial"/>
                <w:sz w:val="14"/>
                <w:szCs w:val="14"/>
                <w:color w:val="auto"/>
              </w:rPr>
              <w:t>Proceeds from debt</w:t>
            </w:r>
          </w:p>
        </w:tc>
        <w:tc>
          <w:tcPr>
            <w:tcW w:w="2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1,000</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12,000</w:t>
            </w:r>
          </w:p>
        </w:tc>
        <w:tc>
          <w:tcPr>
            <w:tcW w:w="0" w:type="dxa"/>
            <w:vAlign w:val="bottom"/>
          </w:tcPr>
          <w:p>
            <w:pPr>
              <w:spacing w:after="0"/>
              <w:rPr>
                <w:sz w:val="1"/>
                <w:szCs w:val="1"/>
                <w:color w:val="auto"/>
              </w:rPr>
            </w:pPr>
          </w:p>
        </w:tc>
      </w:tr>
      <w:tr>
        <w:trPr>
          <w:trHeight w:val="176"/>
        </w:trPr>
        <w:tc>
          <w:tcPr>
            <w:tcW w:w="8880" w:type="dxa"/>
            <w:vAlign w:val="bottom"/>
          </w:tcPr>
          <w:p>
            <w:pPr>
              <w:spacing w:after="0"/>
              <w:rPr>
                <w:sz w:val="20"/>
                <w:szCs w:val="20"/>
                <w:color w:val="auto"/>
              </w:rPr>
            </w:pPr>
            <w:r>
              <w:rPr>
                <w:rFonts w:ascii="Arial" w:cs="Arial" w:eastAsia="Arial" w:hAnsi="Arial"/>
                <w:sz w:val="14"/>
                <w:szCs w:val="14"/>
                <w:color w:val="auto"/>
              </w:rPr>
              <w:t>Payments on debt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(8,356)</w:t>
            </w:r>
          </w:p>
        </w:tc>
        <w:tc>
          <w:tcPr>
            <w:tcW w:w="0" w:type="dxa"/>
            <w:vAlign w:val="bottom"/>
          </w:tcPr>
          <w:p>
            <w:pPr>
              <w:spacing w:after="0"/>
              <w:rPr>
                <w:sz w:val="1"/>
                <w:szCs w:val="1"/>
                <w:color w:val="auto"/>
              </w:rPr>
            </w:pPr>
          </w:p>
        </w:tc>
      </w:tr>
      <w:tr>
        <w:trPr>
          <w:trHeight w:val="176"/>
        </w:trPr>
        <w:tc>
          <w:tcPr>
            <w:tcW w:w="8880" w:type="dxa"/>
            <w:vAlign w:val="bottom"/>
          </w:tcPr>
          <w:p>
            <w:pPr>
              <w:spacing w:after="0"/>
              <w:rPr>
                <w:sz w:val="20"/>
                <w:szCs w:val="20"/>
                <w:color w:val="auto"/>
              </w:rPr>
            </w:pPr>
            <w:r>
              <w:rPr>
                <w:rFonts w:ascii="Arial" w:cs="Arial" w:eastAsia="Arial" w:hAnsi="Arial"/>
                <w:sz w:val="14"/>
                <w:szCs w:val="14"/>
                <w:color w:val="auto"/>
              </w:rPr>
              <w:t>Payments of debt issuance costs</w:t>
            </w:r>
          </w:p>
        </w:tc>
        <w:tc>
          <w:tcPr>
            <w:tcW w:w="2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76"/>
        </w:trPr>
        <w:tc>
          <w:tcPr>
            <w:tcW w:w="8880" w:type="dxa"/>
            <w:vAlign w:val="bottom"/>
          </w:tcPr>
          <w:p>
            <w:pPr>
              <w:spacing w:after="0"/>
              <w:rPr>
                <w:sz w:val="20"/>
                <w:szCs w:val="20"/>
                <w:color w:val="auto"/>
              </w:rPr>
            </w:pPr>
            <w:r>
              <w:rPr>
                <w:rFonts w:ascii="Arial" w:cs="Arial" w:eastAsia="Arial" w:hAnsi="Arial"/>
                <w:sz w:val="14"/>
                <w:szCs w:val="14"/>
                <w:color w:val="auto"/>
              </w:rPr>
              <w:t>Payments on capital lease obligation</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1"/>
        </w:trPr>
        <w:tc>
          <w:tcPr>
            <w:tcW w:w="8880" w:type="dxa"/>
            <w:vAlign w:val="bottom"/>
          </w:tcPr>
          <w:p>
            <w:pPr>
              <w:spacing w:after="0"/>
              <w:rPr>
                <w:sz w:val="20"/>
                <w:szCs w:val="20"/>
                <w:color w:val="auto"/>
              </w:rPr>
            </w:pPr>
            <w:r>
              <w:rPr>
                <w:rFonts w:ascii="Arial" w:cs="Arial" w:eastAsia="Arial" w:hAnsi="Arial"/>
                <w:sz w:val="14"/>
                <w:szCs w:val="14"/>
                <w:color w:val="auto"/>
              </w:rPr>
              <w:t>Proceeds from exercise of stock options and purchase of shares in employee stock purchase plan</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2,503</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1,593</w:t>
            </w:r>
          </w:p>
        </w:tc>
        <w:tc>
          <w:tcPr>
            <w:tcW w:w="0" w:type="dxa"/>
            <w:vAlign w:val="bottom"/>
          </w:tcPr>
          <w:p>
            <w:pPr>
              <w:spacing w:after="0"/>
              <w:rPr>
                <w:sz w:val="1"/>
                <w:szCs w:val="1"/>
                <w:color w:val="auto"/>
              </w:rPr>
            </w:pPr>
          </w:p>
        </w:tc>
      </w:tr>
      <w:tr>
        <w:trPr>
          <w:trHeight w:val="169"/>
        </w:trPr>
        <w:tc>
          <w:tcPr>
            <w:tcW w:w="8880" w:type="dxa"/>
            <w:vAlign w:val="bottom"/>
          </w:tcPr>
          <w:p>
            <w:pPr>
              <w:ind w:left="140"/>
              <w:spacing w:after="0"/>
              <w:rPr>
                <w:sz w:val="20"/>
                <w:szCs w:val="20"/>
                <w:color w:val="auto"/>
              </w:rPr>
            </w:pPr>
            <w:r>
              <w:rPr>
                <w:rFonts w:ascii="Arial" w:cs="Arial" w:eastAsia="Arial" w:hAnsi="Arial"/>
                <w:sz w:val="14"/>
                <w:szCs w:val="14"/>
                <w:color w:val="auto"/>
              </w:rPr>
              <w:t>Net cash provided by financing activities</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27,016</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5,181</w:t>
            </w:r>
          </w:p>
        </w:tc>
        <w:tc>
          <w:tcPr>
            <w:tcW w:w="0" w:type="dxa"/>
            <w:vAlign w:val="bottom"/>
          </w:tcPr>
          <w:p>
            <w:pPr>
              <w:spacing w:after="0"/>
              <w:rPr>
                <w:sz w:val="1"/>
                <w:szCs w:val="1"/>
                <w:color w:val="auto"/>
              </w:rPr>
            </w:pPr>
          </w:p>
        </w:tc>
      </w:tr>
      <w:tr>
        <w:trPr>
          <w:trHeight w:val="164"/>
        </w:trPr>
        <w:tc>
          <w:tcPr>
            <w:tcW w:w="8880" w:type="dxa"/>
            <w:vAlign w:val="bottom"/>
          </w:tcPr>
          <w:p>
            <w:pPr>
              <w:spacing w:after="0"/>
              <w:rPr>
                <w:sz w:val="20"/>
                <w:szCs w:val="20"/>
                <w:color w:val="auto"/>
              </w:rPr>
            </w:pPr>
            <w:r>
              <w:rPr>
                <w:rFonts w:ascii="Arial" w:cs="Arial" w:eastAsia="Arial" w:hAnsi="Arial"/>
                <w:sz w:val="14"/>
                <w:szCs w:val="14"/>
                <w:color w:val="auto"/>
              </w:rPr>
              <w:t>Net increase (decrease) in cash and cash equivalents</w:t>
            </w:r>
          </w:p>
        </w:tc>
        <w:tc>
          <w:tcPr>
            <w:tcW w:w="2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10,429</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(16,777)</w:t>
            </w:r>
          </w:p>
        </w:tc>
        <w:tc>
          <w:tcPr>
            <w:tcW w:w="0" w:type="dxa"/>
            <w:vAlign w:val="bottom"/>
          </w:tcPr>
          <w:p>
            <w:pPr>
              <w:spacing w:after="0"/>
              <w:rPr>
                <w:sz w:val="1"/>
                <w:szCs w:val="1"/>
                <w:color w:val="auto"/>
              </w:rPr>
            </w:pPr>
          </w:p>
        </w:tc>
      </w:tr>
      <w:tr>
        <w:trPr>
          <w:trHeight w:val="181"/>
        </w:trPr>
        <w:tc>
          <w:tcPr>
            <w:tcW w:w="888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12,950</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29,727</w:t>
            </w:r>
          </w:p>
        </w:tc>
        <w:tc>
          <w:tcPr>
            <w:tcW w:w="0" w:type="dxa"/>
            <w:vAlign w:val="bottom"/>
          </w:tcPr>
          <w:p>
            <w:pPr>
              <w:spacing w:after="0"/>
              <w:rPr>
                <w:sz w:val="1"/>
                <w:szCs w:val="1"/>
                <w:color w:val="auto"/>
              </w:rPr>
            </w:pPr>
          </w:p>
        </w:tc>
      </w:tr>
      <w:tr>
        <w:trPr>
          <w:trHeight w:val="169"/>
        </w:trPr>
        <w:tc>
          <w:tcPr>
            <w:tcW w:w="888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23,379</w:t>
            </w:r>
          </w:p>
        </w:tc>
        <w:tc>
          <w:tcPr>
            <w:tcW w:w="260" w:type="dxa"/>
            <w:vAlign w:val="bottom"/>
          </w:tcPr>
          <w:p>
            <w:pPr>
              <w:spacing w:after="0"/>
              <w:rPr>
                <w:sz w:val="14"/>
                <w:szCs w:val="14"/>
                <w:color w:val="auto"/>
              </w:rPr>
            </w:pP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12,950</w:t>
            </w:r>
          </w:p>
        </w:tc>
        <w:tc>
          <w:tcPr>
            <w:tcW w:w="0" w:type="dxa"/>
            <w:vAlign w:val="bottom"/>
          </w:tcPr>
          <w:p>
            <w:pPr>
              <w:spacing w:after="0"/>
              <w:rPr>
                <w:sz w:val="1"/>
                <w:szCs w:val="1"/>
                <w:color w:val="auto"/>
              </w:rPr>
            </w:pPr>
          </w:p>
        </w:tc>
      </w:tr>
      <w:tr>
        <w:trPr>
          <w:trHeight w:val="20"/>
        </w:trPr>
        <w:tc>
          <w:tcPr>
            <w:tcW w:w="8880" w:type="dxa"/>
            <w:vAlign w:val="bottom"/>
            <w:vMerge w:val="restart"/>
          </w:tcPr>
          <w:p>
            <w:pPr>
              <w:spacing w:after="0"/>
              <w:rPr>
                <w:sz w:val="20"/>
                <w:szCs w:val="20"/>
                <w:color w:val="auto"/>
              </w:rPr>
            </w:pPr>
            <w:r>
              <w:rPr>
                <w:rFonts w:ascii="Arial" w:cs="Arial" w:eastAsia="Arial" w:hAnsi="Arial"/>
                <w:sz w:val="14"/>
                <w:szCs w:val="14"/>
                <w:b w:val="1"/>
                <w:bCs w:val="1"/>
                <w:color w:val="auto"/>
              </w:rPr>
              <w:t>Supplementary cash flow information:</w:t>
            </w: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8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880" w:type="dxa"/>
            <w:vAlign w:val="bottom"/>
          </w:tcPr>
          <w:p>
            <w:pPr>
              <w:spacing w:after="0"/>
              <w:rPr>
                <w:sz w:val="20"/>
                <w:szCs w:val="20"/>
                <w:color w:val="auto"/>
              </w:rPr>
            </w:pPr>
            <w:r>
              <w:rPr>
                <w:rFonts w:ascii="Arial" w:cs="Arial" w:eastAsia="Arial" w:hAnsi="Arial"/>
                <w:sz w:val="14"/>
                <w:szCs w:val="14"/>
                <w:color w:val="auto"/>
              </w:rPr>
              <w:t>Interest paid</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504</w:t>
            </w:r>
          </w:p>
        </w:tc>
        <w:tc>
          <w:tcPr>
            <w:tcW w:w="5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20"/>
        </w:trPr>
        <w:tc>
          <w:tcPr>
            <w:tcW w:w="8880" w:type="dxa"/>
            <w:vAlign w:val="bottom"/>
            <w:vMerge w:val="restart"/>
          </w:tcPr>
          <w:p>
            <w:pPr>
              <w:spacing w:after="0"/>
              <w:rPr>
                <w:sz w:val="20"/>
                <w:szCs w:val="20"/>
                <w:color w:val="auto"/>
              </w:rPr>
            </w:pPr>
            <w:r>
              <w:rPr>
                <w:rFonts w:ascii="Arial" w:cs="Arial" w:eastAsia="Arial" w:hAnsi="Arial"/>
                <w:sz w:val="14"/>
                <w:szCs w:val="14"/>
                <w:b w:val="1"/>
                <w:bCs w:val="1"/>
                <w:color w:val="auto"/>
              </w:rPr>
              <w:t>Non-cash investing and financing activities: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8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880" w:type="dxa"/>
            <w:vAlign w:val="bottom"/>
          </w:tcPr>
          <w:p>
            <w:pPr>
              <w:spacing w:after="0"/>
              <w:rPr>
                <w:sz w:val="20"/>
                <w:szCs w:val="20"/>
                <w:color w:val="auto"/>
              </w:rPr>
            </w:pPr>
            <w:r>
              <w:rPr>
                <w:rFonts w:ascii="Arial" w:cs="Arial" w:eastAsia="Arial" w:hAnsi="Arial"/>
                <w:sz w:val="14"/>
                <w:szCs w:val="14"/>
                <w:color w:val="auto"/>
              </w:rPr>
              <w:t>Purchases of property and equipment in accounts payable</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15"/>
                <w:szCs w:val="15"/>
                <w:color w:val="auto"/>
              </w:rPr>
            </w:pP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0"/>
        </w:trPr>
        <w:tc>
          <w:tcPr>
            <w:tcW w:w="8880" w:type="dxa"/>
            <w:vAlign w:val="bottom"/>
            <w:vMerge w:val="restart"/>
          </w:tcPr>
          <w:p>
            <w:pPr>
              <w:spacing w:after="0"/>
              <w:rPr>
                <w:sz w:val="20"/>
                <w:szCs w:val="20"/>
                <w:color w:val="auto"/>
              </w:rPr>
            </w:pPr>
            <w:r>
              <w:rPr>
                <w:rFonts w:ascii="Arial" w:cs="Arial" w:eastAsia="Arial" w:hAnsi="Arial"/>
                <w:sz w:val="14"/>
                <w:szCs w:val="14"/>
                <w:color w:val="auto"/>
              </w:rPr>
              <w:t>Purchases of property and equipment under capital lease obligations</w:t>
            </w: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80" w:type="dxa"/>
            <w:vAlign w:val="bottom"/>
            <w:vMerge w:val="continue"/>
          </w:tcPr>
          <w:p>
            <w:pPr>
              <w:spacing w:after="0"/>
              <w:rPr>
                <w:sz w:val="13"/>
                <w:szCs w:val="13"/>
                <w:color w:val="auto"/>
              </w:rPr>
            </w:pPr>
          </w:p>
        </w:tc>
        <w:tc>
          <w:tcPr>
            <w:tcW w:w="280" w:type="dxa"/>
            <w:vAlign w:val="bottom"/>
            <w:tcBorders>
              <w:top w:val="single" w:sz="8" w:color="auto"/>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88"/>
              <w:spacing w:after="0" w:line="156"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8"/>
              <w:spacing w:after="0" w:line="156"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
        </w:trPr>
        <w:tc>
          <w:tcPr>
            <w:tcW w:w="8880" w:type="dxa"/>
            <w:vAlign w:val="bottom"/>
            <w:vMerge w:val="restart"/>
          </w:tcPr>
          <w:p>
            <w:pPr>
              <w:spacing w:after="0"/>
              <w:rPr>
                <w:sz w:val="20"/>
                <w:szCs w:val="20"/>
                <w:color w:val="auto"/>
              </w:rPr>
            </w:pPr>
            <w:r>
              <w:rPr>
                <w:rFonts w:ascii="Arial" w:cs="Arial" w:eastAsia="Arial" w:hAnsi="Arial"/>
                <w:sz w:val="14"/>
                <w:szCs w:val="14"/>
                <w:color w:val="auto"/>
              </w:rPr>
              <w:t>Issuance of warrant in lieu of financing costs</w:t>
            </w: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80" w:type="dxa"/>
            <w:vAlign w:val="bottom"/>
            <w:vMerge w:val="continue"/>
          </w:tcPr>
          <w:p>
            <w:pPr>
              <w:spacing w:after="0"/>
              <w:rPr>
                <w:sz w:val="13"/>
                <w:szCs w:val="13"/>
                <w:color w:val="auto"/>
              </w:rPr>
            </w:pPr>
          </w:p>
        </w:tc>
        <w:tc>
          <w:tcPr>
            <w:tcW w:w="280" w:type="dxa"/>
            <w:vAlign w:val="bottom"/>
            <w:tcBorders>
              <w:top w:val="single" w:sz="8" w:color="auto"/>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43</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88"/>
              <w:spacing w:after="0" w:line="156"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8"/>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Everspin Investor Relations Contact:</w:t>
      </w:r>
    </w:p>
    <w:p>
      <w:pPr>
        <w:spacing w:after="0" w:line="230" w:lineRule="auto"/>
        <w:rPr>
          <w:sz w:val="20"/>
          <w:szCs w:val="20"/>
          <w:color w:val="auto"/>
        </w:rPr>
      </w:pPr>
      <w:r>
        <w:rPr>
          <w:rFonts w:ascii="Arial" w:cs="Arial" w:eastAsia="Arial" w:hAnsi="Arial"/>
          <w:sz w:val="22"/>
          <w:szCs w:val="22"/>
          <w:color w:val="auto"/>
        </w:rPr>
        <w:t>Leanne K. Sievers, President</w:t>
      </w:r>
    </w:p>
    <w:p>
      <w:pPr>
        <w:spacing w:after="0" w:line="231" w:lineRule="auto"/>
        <w:rPr>
          <w:sz w:val="20"/>
          <w:szCs w:val="20"/>
          <w:color w:val="auto"/>
        </w:rPr>
      </w:pPr>
      <w:r>
        <w:rPr>
          <w:rFonts w:ascii="Arial" w:cs="Arial" w:eastAsia="Arial" w:hAnsi="Arial"/>
          <w:sz w:val="22"/>
          <w:szCs w:val="22"/>
          <w:color w:val="auto"/>
        </w:rPr>
        <w:t>Shelton Group Investor Relations</w:t>
      </w:r>
    </w:p>
    <w:p>
      <w:pPr>
        <w:spacing w:after="0" w:line="231" w:lineRule="auto"/>
        <w:rPr>
          <w:sz w:val="20"/>
          <w:szCs w:val="20"/>
          <w:color w:val="auto"/>
        </w:rPr>
      </w:pPr>
      <w:r>
        <w:rPr>
          <w:rFonts w:ascii="Arial" w:cs="Arial" w:eastAsia="Arial" w:hAnsi="Arial"/>
          <w:sz w:val="22"/>
          <w:szCs w:val="22"/>
          <w:color w:val="auto"/>
        </w:rPr>
        <w:t>T: 949-224-3874</w:t>
      </w:r>
    </w:p>
    <w:p>
      <w:pPr>
        <w:ind w:left="260" w:hanging="252"/>
        <w:spacing w:after="0"/>
        <w:tabs>
          <w:tab w:leader="none" w:pos="260" w:val="left"/>
        </w:tabs>
        <w:numPr>
          <w:ilvl w:val="0"/>
          <w:numId w:val="1"/>
        </w:numPr>
        <w:rPr>
          <w:rFonts w:ascii="Arial" w:cs="Arial" w:eastAsia="Arial" w:hAnsi="Arial"/>
          <w:sz w:val="22"/>
          <w:szCs w:val="22"/>
          <w:color w:val="auto"/>
        </w:rPr>
      </w:pPr>
      <w:r>
        <w:rPr>
          <w:rFonts w:ascii="Arial" w:cs="Arial" w:eastAsia="Arial" w:hAnsi="Arial"/>
          <w:sz w:val="22"/>
          <w:szCs w:val="22"/>
          <w:u w:val="single" w:color="auto"/>
          <w:color w:val="auto"/>
        </w:rPr>
        <w:t>sheltonir@sheltongroup.com</w:t>
      </w:r>
    </w:p>
    <w:sectPr>
      <w:pgSz w:w="11900" w:h="16838" w:orient="portrait"/>
      <w:cols w:equalWidth="0" w:num="1">
        <w:col w:w="11420"/>
      </w:cols>
      <w:pgMar w:left="240" w:top="3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2019-12-28T14:21:59Z</dcterms:created>
  <dcterms:modified xsi:type="dcterms:W3CDTF">2019-12-28T14:21:59Z</dcterms:modified>
</cp:coreProperties>
</file>