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EVERSPIN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AWM Investment Company,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750,000.00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AWM Investment Company, Inc., a Delaware Corporation (AWM), is the investment adviser to Special Situations Fund III QP, L.P. (SSFQP), Special Situations Cayman Fund, L.P. (Cayman), Special Situations Technology Fund, L.P. (TECH) and Special Situations Technology Fund II, L.P. (TECH II), (SSFQP, Cayman, TECH and TECH II will hereafter be referred to as the Funds). As the investment adviser to the Funds, AWM holds sole voting and investment power over 289,445 shares of Common Stock of the Issuer (the Shares) held by SSFQP, 93,797 Shares held by Cayman, 61,380 Shares held by TECH and 305,378 Shares held by TECH 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EVERSPIN TECHNOLOGIES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5670 W. CHANDLER BOULEVARD, SUITE 130, CHANDLER, ARIZONA, 85226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person filing this report is AWM Investment Company, Inc., a Delaware corporation (AWM), which is the investment adviser to Special Situations Cayman Fund, L.P., a Cayman Islands Limited Partnership (CAYMAN), Special Situations Fund III QP, L.P., a Delaware limited partnership (SSFQP), Special Situations Technology Fund, L.P., a Delaware limited partnership (TECH) and Special Situations Technology Fund II, L.P., a Delaware limited partnership (TECH II), (CAYMAN, SSFQP, TECH and TECH II, will hereafter be referred to as the Funds). The principal business of each Fund is to invest in equity and equity-related securities and other securities of any kind or nature. David M. Greenhouse (Greenhouse) and Adam C. Stettner (Stettner) are members of: SSCayman, L.L.C., a Delaware limited liability company (SSCAY), the general partner of CAYMAN; MGP Advisers Limited Partnership, a Delaware limited partnership (MGP), the general partner of SSFQP and SST Advisers, L.L.C., a Delaware limited liability company (SSTA), the general partner of TECH and TECH II. Greenhouse and Stettner are also controlling principals of AWM.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AWM is c/o Special Situations Funds, 527 Madison Avenue, Suite 2600,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AWM is 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750,000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AWM is the investment adviser to each of the Funds. As the investment adviser to the Funds, AWM holds sole voting power over 289,445 shares of Common Stock of the Issuer (the Shares) held by SSFQP, 93,797 Shares held by Cayman, 61,380 Shares held by TECH and 305,378 Shares held by TECH II. Greenhouse and Stettner are members of: SSCAY, the general partner of CAYMAN; MGP, the general partner of SSFQP and SSTA, the general partner of TECH and TECH II. Greenhouse and Stettner are also controlling principals of AWM</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AWM is the investment adviser to each of the Funds. As the investment adviser to the Funds, AWM holds sole investment power over 289,445 shares of Common Stock of the Issuer (the Shares) held by SSFQP, 93,797 Shares held by Cayman, 61,380 Shares held by TECH and 305,378 Shares held by TECH II. Greenhouse and Stettner are members of: SSCAY, the general partner of CAYMAN; MGP, the general partner of SSFQP and SSTA, the general partner of TECH and TECH II. Greenhouse and Stettner are also controlling principals of AWM</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AWM Investment Company, Inc.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Adam Stettner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 xml:space="preserve">Executive Vice President </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1198</Words>
  <Characters>6213</Characters>
  <CharactersWithSpaces>7411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