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1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5"/>
        </w:trPr>
        <w:tc>
          <w:tcPr>
            <w:tcW w:w="1680" w:type="dxa"/>
            <w:vAlign w:val="bottom"/>
          </w:tcPr>
          <w:p>
            <w:pPr>
              <w:spacing w:after="0" w:line="185" w:lineRule="exact"/>
              <w:rPr>
                <w:sz w:val="20"/>
                <w:szCs w:val="20"/>
                <w:color w:val="auto"/>
              </w:rPr>
            </w:pPr>
            <w:r>
              <w:rPr>
                <w:rFonts w:ascii="Arial" w:cs="Arial" w:eastAsia="Arial" w:hAnsi="Arial"/>
                <w:sz w:val="18"/>
                <w:szCs w:val="18"/>
                <w:color w:val="auto"/>
                <w:w w:val="93"/>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85"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Arial" w:cs="Arial" w:eastAsia="Arial" w:hAnsi="Arial"/>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7"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 number of shares of the Registrant’s Common Stock outstanding as of November 11, 2021 was 19,608,354.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606425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40" w:type="dxa"/>
            <w:vAlign w:val="bottom"/>
            <w:gridSpan w:val="15"/>
            <w:vMerge w:val="restart"/>
          </w:tcPr>
          <w:p>
            <w:pPr>
              <w:jc w:val="center"/>
              <w:ind w:right="21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340" w:type="dxa"/>
            <w:vAlign w:val="bottom"/>
            <w:gridSpan w:val="15"/>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40" w:type="dxa"/>
            <w:vAlign w:val="bottom"/>
            <w:gridSpan w:val="2"/>
          </w:tcPr>
          <w:p>
            <w:pPr>
              <w:spacing w:after="0"/>
              <w:rPr>
                <w:sz w:val="18"/>
                <w:szCs w:val="18"/>
                <w:color w:val="auto"/>
              </w:rPr>
            </w:pPr>
          </w:p>
        </w:tc>
        <w:tc>
          <w:tcPr>
            <w:tcW w:w="3160" w:type="dxa"/>
            <w:vAlign w:val="bottom"/>
            <w:tcBorders>
              <w:top w:val="single" w:sz="8" w:color="0000EE"/>
            </w:tcBorders>
            <w:gridSpan w:val="9"/>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3"/>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Balance Sheets as of September 30, 2021 (unaudited) and December 31, 2020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Statements of Operations and Comprehensive Income (Loss) for the three and nine</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months ended September 30, 2021 and 2020 (unaudited)</w:t>
              </w:r>
            </w:hyperlink>
          </w:p>
        </w:tc>
        <w:tc>
          <w:tcPr>
            <w:tcW w:w="2480" w:type="dxa"/>
            <w:vAlign w:val="bottom"/>
            <w:tcBorders>
              <w:top w:val="single" w:sz="8" w:color="0000EE"/>
            </w:tcBorders>
            <w:gridSpan w:val="5"/>
          </w:tcPr>
          <w:p>
            <w:pPr>
              <w:spacing w:after="0"/>
              <w:rPr>
                <w:sz w:val="17"/>
                <w:szCs w:val="17"/>
                <w:color w:val="auto"/>
              </w:rPr>
            </w:pPr>
          </w:p>
        </w:tc>
        <w:tc>
          <w:tcPr>
            <w:tcW w:w="38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Stockholders’ Equity for the three and nine months ended September 30,</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 (unaudited)</w:t>
              </w:r>
            </w:hyperlink>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Statements of Cash Flows for the nine months ended September 30, 2021 and 2020</w:t>
              </w:r>
            </w:hyperlink>
          </w:p>
        </w:tc>
        <w:tc>
          <w:tcPr>
            <w:tcW w:w="3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1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10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7660" w:type="dxa"/>
            <w:vAlign w:val="bottom"/>
            <w:gridSpan w:val="26"/>
          </w:tcPr>
          <w:p>
            <w:pPr>
              <w:ind w:left="160"/>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II—OTHER INFORMATION</w:t>
              </w:r>
            </w:hyperlink>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7660" w:type="dxa"/>
            <w:vAlign w:val="bottom"/>
            <w:gridSpan w:val="26"/>
          </w:tcPr>
          <w:p>
            <w:pPr>
              <w:ind w:left="160"/>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3140" w:type="dxa"/>
            <w:vAlign w:val="bottom"/>
            <w:gridSpan w:val="10"/>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Defaults Upon Senior Securities</w:t>
              </w:r>
            </w:hyperlink>
          </w:p>
        </w:tc>
        <w:tc>
          <w:tcPr>
            <w:tcW w:w="516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Mine Safety Disclosures</w:t>
              </w:r>
            </w:hyperlink>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61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EXHIBIT INDEX</w:t>
              </w:r>
            </w:hyperlink>
          </w:p>
        </w:tc>
        <w:tc>
          <w:tcPr>
            <w:tcW w:w="7120" w:type="dxa"/>
            <w:vAlign w:val="bottom"/>
            <w:gridSpan w:val="23"/>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8460" w:type="dxa"/>
            <w:vAlign w:val="bottom"/>
            <w:gridSpan w:val="2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7,607</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September 30, 2021 and December 31, 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19,552,125 and 19,031,556 shares issued and outstanding as of September 30, 2021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December 31, 2020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174,584</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(156,498)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(157,174)</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63"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Income (Loss) (In thousands, except share and per share amounts) (Unaudited)</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Licensing, royalty, patent, and 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licensing, royalty, patent, and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201" w:lineRule="exact"/>
              <w:rPr>
                <w:sz w:val="20"/>
                <w:szCs w:val="20"/>
                <w:color w:val="auto"/>
              </w:rPr>
            </w:pPr>
            <w:r>
              <w:rPr>
                <w:rFonts w:ascii="Arial" w:cs="Arial" w:eastAsia="Arial" w:hAnsi="Arial"/>
                <w:sz w:val="18"/>
                <w:szCs w:val="18"/>
                <w:color w:val="auto"/>
              </w:rPr>
              <w:t>Net income (loss) and comprehensive</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00" w:type="dxa"/>
            <w:vAlign w:val="bottom"/>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5"/>
                <w:szCs w:val="15"/>
                <w:color w:val="auto"/>
              </w:rPr>
            </w:pPr>
          </w:p>
        </w:tc>
        <w:tc>
          <w:tcPr>
            <w:tcW w:w="400" w:type="dxa"/>
            <w:vAlign w:val="bottom"/>
            <w:gridSpan w:val="2"/>
            <w:vMerge w:val="restart"/>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(3,895)</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5"/>
                <w:szCs w:val="15"/>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Arial" w:cs="Arial" w:eastAsia="Arial" w:hAnsi="Arial"/>
                <w:sz w:val="18"/>
                <w:szCs w:val="18"/>
                <w:color w:val="auto"/>
              </w:rPr>
              <w:t>income (loss)</w:t>
            </w:r>
          </w:p>
        </w:tc>
        <w:tc>
          <w:tcPr>
            <w:tcW w:w="8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income (loss) per share attributable</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 common stockholders: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common shares used to</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7"/>
              </w:rPr>
              <w:t>compute net income (loss) per common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 attributable to common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19,511,132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18,942,163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19,296,241</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18,705,149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19,912,918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18,942,163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19,787,889</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18,705,149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7"/>
          </w:tcPr>
          <w:p>
            <w:pPr>
              <w:spacing w:after="0" w:line="216" w:lineRule="exact"/>
              <w:rPr>
                <w:sz w:val="20"/>
                <w:szCs w:val="20"/>
                <w:color w:val="auto"/>
              </w:rPr>
            </w:pPr>
            <w:r>
              <w:rPr>
                <w:rFonts w:ascii="Arial" w:cs="Arial" w:eastAsia="Arial" w:hAnsi="Arial"/>
                <w:sz w:val="25"/>
                <w:szCs w:val="25"/>
                <w:color w:val="auto"/>
                <w:w w:val="96"/>
                <w:vertAlign w:val="superscript"/>
              </w:rPr>
              <w:t>1</w:t>
            </w:r>
            <w:r>
              <w:rPr>
                <w:rFonts w:ascii="Arial" w:cs="Arial" w:eastAsia="Arial" w:hAnsi="Arial"/>
                <w:sz w:val="17"/>
                <w:szCs w:val="17"/>
                <w:color w:val="auto"/>
                <w:w w:val="96"/>
              </w:rPr>
              <w:t>Operating expenses include stock-based compensation as follows: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Nine Months Ended September 30, 2021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2020</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19,031,556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174,584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(157,174)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54,077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2021</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19,222,342</w:t>
            </w:r>
          </w:p>
        </w:tc>
        <w:tc>
          <w:tcPr>
            <w:tcW w:w="1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175,835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(157,634)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23,280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189,652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19,435,274</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176,688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(157,378)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4"/>
                <w:szCs w:val="14"/>
                <w:color w:val="auto"/>
              </w:rPr>
              <w:t>Exercise of stock options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27,386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Exercise of warrants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21,463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19,552,125</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177,821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(156,498)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Nine Months Ended September 30, 2020</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64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88,375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in at-the-market offering, net of</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220"/>
              <w:spacing w:after="0"/>
              <w:rPr>
                <w:sz w:val="20"/>
                <w:szCs w:val="20"/>
                <w:color w:val="auto"/>
              </w:rPr>
            </w:pPr>
            <w:r>
              <w:rPr>
                <w:rFonts w:ascii="Arial" w:cs="Arial" w:eastAsia="Arial" w:hAnsi="Arial"/>
                <w:sz w:val="14"/>
                <w:szCs w:val="14"/>
                <w:color w:val="auto"/>
              </w:rPr>
              <w:t>issuance costs</w:t>
            </w:r>
          </w:p>
        </w:tc>
        <w:tc>
          <w:tcPr>
            <w:tcW w:w="860" w:type="dxa"/>
            <w:vAlign w:val="bottom"/>
          </w:tcPr>
          <w:p>
            <w:pPr>
              <w:jc w:val="right"/>
              <w:spacing w:after="0"/>
              <w:rPr>
                <w:sz w:val="20"/>
                <w:szCs w:val="20"/>
                <w:color w:val="auto"/>
              </w:rPr>
            </w:pPr>
            <w:r>
              <w:rPr>
                <w:rFonts w:ascii="Arial" w:cs="Arial" w:eastAsia="Arial" w:hAnsi="Arial"/>
                <w:sz w:val="14"/>
                <w:szCs w:val="14"/>
                <w:color w:val="auto"/>
              </w:rPr>
              <w:t>468,427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2020</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18,638,555</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170,353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(150,394)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231,220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June 30, 2020</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18,869,775</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172,098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(151,688)</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Issuance of common stock under stock incentive plans</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101,016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warrant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(3,895)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2020</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18,970,791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173,539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(155,583)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Net income (loss)</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676</w:t>
            </w:r>
          </w:p>
        </w:tc>
        <w:tc>
          <w:tcPr>
            <w:tcW w:w="220" w:type="dxa"/>
            <w:vAlign w:val="bottom"/>
          </w:tcPr>
          <w:p>
            <w:pPr>
              <w:spacing w:after="0"/>
              <w:rPr>
                <w:sz w:val="14"/>
                <w:szCs w:val="14"/>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(6,921)</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8"/>
              </w:rPr>
              <w:t>Adjustments to reconcile net loss to net cash provided by (used in) operating activities:</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1,117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1,611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2,474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2,633</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Non-cash warrant revaluation</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231</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(3,022)</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(2,368)</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(947)</w:t>
            </w:r>
          </w:p>
        </w:tc>
        <w:tc>
          <w:tcPr>
            <w:tcW w:w="3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1,690</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(67)</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440</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Other assets</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(175)</w:t>
            </w:r>
          </w:p>
        </w:tc>
        <w:tc>
          <w:tcPr>
            <w:tcW w:w="320" w:type="dxa"/>
            <w:vAlign w:val="bottom"/>
          </w:tcPr>
          <w:p>
            <w:pPr>
              <w:spacing w:after="0"/>
              <w:rPr>
                <w:sz w:val="14"/>
                <w:szCs w:val="14"/>
                <w:color w:val="auto"/>
              </w:rPr>
            </w:pPr>
          </w:p>
        </w:tc>
        <w:tc>
          <w:tcPr>
            <w:tcW w:w="13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656</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655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(692)</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revenue</w:t>
            </w: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1,382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(90)</w:t>
            </w:r>
          </w:p>
        </w:tc>
        <w:tc>
          <w:tcPr>
            <w:tcW w:w="320" w:type="dxa"/>
            <w:vAlign w:val="bottom"/>
          </w:tcPr>
          <w:p>
            <w:pPr>
              <w:spacing w:after="0"/>
              <w:rPr>
                <w:sz w:val="14"/>
                <w:szCs w:val="14"/>
                <w:color w:val="auto"/>
              </w:rPr>
            </w:pPr>
          </w:p>
        </w:tc>
        <w:tc>
          <w:tcPr>
            <w:tcW w:w="132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55"/>
        </w:trPr>
        <w:tc>
          <w:tcPr>
            <w:tcW w:w="56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(used in) operating activities</w:t>
            </w: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2,938</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(3,537)</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(578)</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(578)</w:t>
            </w:r>
          </w:p>
        </w:tc>
        <w:tc>
          <w:tcPr>
            <w:tcW w:w="2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(307)</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5"/>
                <w:szCs w:val="15"/>
                <w:color w:val="auto"/>
              </w:rPr>
              <w:t>Payments on long-term debt</w:t>
            </w: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(2,800)</w:t>
            </w:r>
          </w:p>
        </w:tc>
        <w:tc>
          <w:tcPr>
            <w:tcW w:w="320" w:type="dxa"/>
            <w:vAlign w:val="bottom"/>
          </w:tcPr>
          <w:p>
            <w:pPr>
              <w:spacing w:after="0"/>
              <w:rPr>
                <w:sz w:val="14"/>
                <w:szCs w:val="14"/>
                <w:color w:val="auto"/>
              </w:rPr>
            </w:pPr>
          </w:p>
        </w:tc>
        <w:tc>
          <w:tcPr>
            <w:tcW w:w="13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5"/>
                <w:szCs w:val="15"/>
                <w:color w:val="auto"/>
              </w:rPr>
              <w:t>Proceeds from exercise of stock options and purchase of shares in employee stock</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purchase plan</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399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Proceeds from issuance of common stock in at-the-market offering, net of issuance costs</w:t>
            </w: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2,084</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(2,401)</w:t>
            </w:r>
          </w:p>
        </w:tc>
        <w:tc>
          <w:tcPr>
            <w:tcW w:w="2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3,284</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(560)</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5"/>
              </w:rPr>
              <w:t>14,599</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14,487</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14,558</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13,927</w:t>
            </w:r>
          </w:p>
        </w:tc>
        <w:tc>
          <w:tcPr>
            <w:tcW w:w="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b w:val="1"/>
                <w:bCs w:val="1"/>
                <w:color w:val="auto"/>
              </w:rPr>
              <w:t>Supplementary cash flow information:</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Interest paid</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178</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271</w:t>
            </w: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Operating cash flows paid for operating leases</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1,212</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1,298</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Financing cash flows paid for finance leases</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6</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Increase of right-of-use asset and lease liability due to lease modification</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545</w:t>
            </w: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Purchases of property and equipment in accounts payable and accrued liabilities</w:t>
            </w:r>
          </w:p>
        </w:tc>
        <w:tc>
          <w:tcPr>
            <w:tcW w:w="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Borders>
              <w:bottom w:val="single" w:sz="8" w:color="CCEEFF"/>
            </w:tcBorders>
            <w:vMerge w:val="continue"/>
          </w:tcPr>
          <w:p>
            <w:pPr>
              <w:spacing w:after="0"/>
              <w:rPr>
                <w:sz w:val="15"/>
                <w:szCs w:val="15"/>
                <w:color w:val="auto"/>
              </w:rPr>
            </w:pPr>
          </w:p>
        </w:tc>
        <w:tc>
          <w:tcPr>
            <w:tcW w:w="88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8</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6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Bonus settled in shares of common stock</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364</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315</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color w:val="auto"/>
              </w:rPr>
              <w:t>Issuance of warrant with debt</w:t>
            </w:r>
          </w:p>
        </w:tc>
        <w:tc>
          <w:tcPr>
            <w:tcW w:w="8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152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medical, automotive/transportation, aerospace and data center markets to design high performance, power efficient and reliable systems without the need for bulky batteries or capacitors.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2020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 2021 are not necessarily indicative of the results to be expected for the year ending December 31, 2021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2020, included in the Company’s Annual Report on Form 10-K filed with the SEC.</w:t>
      </w:r>
    </w:p>
    <w:p>
      <w:pPr>
        <w:spacing w:after="0" w:line="184"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The Company believes that its existing cash and cash equivalents as of September 30, 2021, coupled with its anticipated growth and sales levels will be sufficient to meet its anticipated cash requirements for at least the next twelve months from the financial statement issuance date. The Company’s future capital requirements will depend on many factors, including, among other things,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Certain immaterial prior period amounts have been reclassified to conform to the current period presentation.</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219" w:firstLine="324"/>
        <w:spacing w:after="0" w:line="296" w:lineRule="auto"/>
        <w:rPr>
          <w:sz w:val="20"/>
          <w:szCs w:val="20"/>
          <w:color w:val="auto"/>
        </w:rPr>
      </w:pPr>
      <w:r>
        <w:rPr>
          <w:rFonts w:ascii="Arial" w:cs="Arial" w:eastAsia="Arial" w:hAnsi="Arial"/>
          <w:sz w:val="16"/>
          <w:szCs w:val="16"/>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related valuation allowances, and stock-based compensation. The Company believes its estimates and assumptions are reasonable; however, actual results may differ from the Company’s estimates.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establishes an allowance for estimated price concessions related to its distributor agreements. The Company estimates credits to distributors based on the historical rate of credits provided to distributors relative to sales.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89"/>
              </w:rPr>
              <w:t>Revenue</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Accounts Receivable, net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5"/>
          </w:tcPr>
          <w:p>
            <w:pPr>
              <w:jc w:val="center"/>
              <w:ind w:right="90"/>
              <w:spacing w:after="0" w:line="119" w:lineRule="exact"/>
              <w:rPr>
                <w:sz w:val="20"/>
                <w:szCs w:val="20"/>
                <w:color w:val="auto"/>
              </w:rPr>
            </w:pPr>
            <w:r>
              <w:rPr>
                <w:rFonts w:ascii="Arial" w:cs="Arial" w:eastAsia="Arial" w:hAnsi="Arial"/>
                <w:sz w:val="13"/>
                <w:szCs w:val="13"/>
                <w:b w:val="1"/>
                <w:bCs w:val="1"/>
                <w:color w:val="auto"/>
              </w:rPr>
              <w:t>Three Months</w:t>
            </w:r>
          </w:p>
        </w:tc>
        <w:tc>
          <w:tcPr>
            <w:tcW w:w="1500" w:type="dxa"/>
            <w:vAlign w:val="bottom"/>
            <w:gridSpan w:val="4"/>
            <w:vMerge w:val="restart"/>
          </w:tcPr>
          <w:p>
            <w:pPr>
              <w:jc w:val="center"/>
              <w:ind w:right="170"/>
              <w:spacing w:after="0"/>
              <w:rPr>
                <w:sz w:val="20"/>
                <w:szCs w:val="20"/>
                <w:color w:val="auto"/>
              </w:rPr>
            </w:pPr>
            <w:r>
              <w:rPr>
                <w:rFonts w:ascii="Arial" w:cs="Arial" w:eastAsia="Arial" w:hAnsi="Arial"/>
                <w:sz w:val="14"/>
                <w:szCs w:val="14"/>
                <w:b w:val="1"/>
                <w:bCs w:val="1"/>
                <w:color w:val="auto"/>
                <w:w w:val="94"/>
              </w:rPr>
              <w:t>Nine Months Ended</w:t>
            </w:r>
          </w:p>
        </w:tc>
        <w:tc>
          <w:tcPr>
            <w:tcW w:w="2280" w:type="dxa"/>
            <w:vAlign w:val="bottom"/>
            <w:gridSpan w:val="4"/>
            <w:vMerge w:val="restart"/>
          </w:tcPr>
          <w:p>
            <w:pPr>
              <w:jc w:val="right"/>
              <w:ind w:right="103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gridSpan w:val="4"/>
            <w:vMerge w:val="restart"/>
          </w:tcPr>
          <w:p>
            <w:pPr>
              <w:ind w:left="720"/>
              <w:spacing w:after="0"/>
              <w:rPr>
                <w:sz w:val="20"/>
                <w:szCs w:val="20"/>
                <w:color w:val="auto"/>
              </w:rPr>
            </w:pPr>
            <w:r>
              <w:rPr>
                <w:rFonts w:ascii="Arial" w:cs="Arial" w:eastAsia="Arial" w:hAnsi="Arial"/>
                <w:sz w:val="14"/>
                <w:szCs w:val="14"/>
                <w:b w:val="1"/>
                <w:bCs w:val="1"/>
                <w:color w:val="auto"/>
              </w:rPr>
              <w:t>Customers</w:t>
            </w:r>
          </w:p>
        </w:tc>
        <w:tc>
          <w:tcPr>
            <w:tcW w:w="14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89"/>
              </w:rPr>
              <w:t>September 30,</w:t>
            </w:r>
          </w:p>
        </w:tc>
        <w:tc>
          <w:tcPr>
            <w:tcW w:w="150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040" w:type="dxa"/>
            <w:vAlign w:val="bottom"/>
            <w:gridSpan w:val="4"/>
            <w:vMerge w:val="continue"/>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94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2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pacing w:after="0" w:line="170"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As of September 30, 2021,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current credit facility (Note 6).</w:t>
      </w:r>
    </w:p>
    <w:p>
      <w:pPr>
        <w:spacing w:after="0" w:line="192"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14,657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14,657</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36</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14,669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14,669</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w w:val="99"/>
              </w:rPr>
              <w:t>31</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w:t>
      </w:r>
      <w:r>
        <w:rPr>
          <w:rFonts w:ascii="Arial" w:cs="Arial" w:eastAsia="Arial" w:hAnsi="Arial"/>
          <w:sz w:val="16"/>
          <w:szCs w:val="16"/>
          <w:i w:val="1"/>
          <w:iCs w:val="1"/>
          <w:color w:val="auto"/>
        </w:rPr>
        <w:t>Codification Improvements Financial Instruments-Credit Losses (Topic 326)</w:t>
      </w:r>
      <w:r>
        <w:rPr>
          <w:rFonts w:ascii="Arial" w:cs="Arial" w:eastAsia="Arial" w:hAnsi="Arial"/>
          <w:sz w:val="16"/>
          <w:szCs w:val="16"/>
          <w:color w:val="auto"/>
        </w:rPr>
        <w:t>. The new ASU provides narrow-scope amendments to help apply ASU No. 2016-13. The Company is evaluating the impact of the adoption of ASU 2016-13 and ASU 2019-04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jc w:val="both"/>
        <w:ind w:left="40" w:right="419" w:firstLine="324"/>
        <w:spacing w:after="0" w:line="263" w:lineRule="auto"/>
        <w:rPr>
          <w:sz w:val="20"/>
          <w:szCs w:val="20"/>
          <w:color w:val="auto"/>
        </w:rPr>
      </w:pPr>
      <w:r>
        <w:rPr>
          <w:rFonts w:ascii="Arial" w:cs="Arial" w:eastAsia="Arial" w:hAnsi="Arial"/>
          <w:sz w:val="18"/>
          <w:szCs w:val="18"/>
          <w:color w:val="auto"/>
        </w:rPr>
        <w:t>The Company sells the majority of its products to distributors and original equipment manufacturers (OEMs). The Company also recognizes revenue under manufacturing and engineering service agreements and licensing and royalty agreements with some customers.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sales channel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18,952</w:t>
            </w:r>
          </w:p>
        </w:tc>
      </w:tr>
      <w:tr>
        <w:trPr>
          <w:trHeight w:val="216"/>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13,102</w:t>
            </w:r>
          </w:p>
        </w:tc>
      </w:tr>
      <w:tr>
        <w:trPr>
          <w:trHeight w:val="210"/>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w:t>
            </w:r>
          </w:p>
        </w:tc>
      </w:tr>
      <w:tr>
        <w:trPr>
          <w:trHeight w:val="216"/>
        </w:trPr>
        <w:tc>
          <w:tcPr>
            <w:tcW w:w="2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r>
      <w:tr>
        <w:trPr>
          <w:trHeight w:val="210"/>
        </w:trPr>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r>
      <w:tr>
        <w:trPr>
          <w:trHeight w:val="20"/>
        </w:trPr>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5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2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Royalties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0" w:type="dxa"/>
            <w:vAlign w:val="bottom"/>
            <w:tcBorders>
              <w:bottom w:val="single" w:sz="8" w:color="CCEEFF"/>
            </w:tcBorders>
          </w:tcPr>
          <w:p>
            <w:pPr>
              <w:spacing w:after="0"/>
              <w:rPr>
                <w:sz w:val="18"/>
                <w:szCs w:val="18"/>
                <w:color w:val="auto"/>
              </w:rPr>
            </w:pPr>
          </w:p>
        </w:tc>
      </w:tr>
      <w:tr>
        <w:trPr>
          <w:trHeight w:val="210"/>
        </w:trPr>
        <w:tc>
          <w:tcPr>
            <w:tcW w:w="2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In September 2021, the Company entered into an intellectual property monetization deal to sell five patents to a customer for a total contract value of $5.25 million. Two of the patents were assigned to the customer in September 2021, and the remaining three patents were assigned to the customer subsequent to quarter-end in October 2021. Control is transferred when the patents are assigned to the customer. As a result, $1.30 million of patent revenue was recognized during the quarter ended September 31, 2021, related to the patent sales, with the remaining $3.95 million to be recognized in the fourth quarter of 2021.</w:t>
      </w:r>
    </w:p>
    <w:p>
      <w:pPr>
        <w:spacing w:after="0" w:line="192" w:lineRule="exact"/>
        <w:rPr>
          <w:sz w:val="20"/>
          <w:szCs w:val="20"/>
          <w:color w:val="auto"/>
        </w:rPr>
      </w:pPr>
    </w:p>
    <w:p>
      <w:pPr>
        <w:jc w:val="both"/>
        <w:ind w:left="40" w:right="419" w:firstLine="324"/>
        <w:spacing w:after="0" w:line="286" w:lineRule="auto"/>
        <w:rPr>
          <w:sz w:val="20"/>
          <w:szCs w:val="20"/>
          <w:color w:val="auto"/>
        </w:rPr>
      </w:pPr>
      <w:r>
        <w:rPr>
          <w:rFonts w:ascii="Arial" w:cs="Arial" w:eastAsia="Arial" w:hAnsi="Arial"/>
          <w:sz w:val="17"/>
          <w:szCs w:val="17"/>
          <w:color w:val="auto"/>
        </w:rPr>
        <w:t>The Company recognizes revenue in three primary geographic regions: Asia-Pacific (APAC); North America; and Europe, Middle East and Africa (EMEA). The following table presents the Company’s revenues disaggregated by the geographic region to which the product is delivered or licensee is located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80" w:type="dxa"/>
            <w:vAlign w:val="bottom"/>
            <w:gridSpan w:val="6"/>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312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9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28"/>
        </w:trPr>
        <w:tc>
          <w:tcPr>
            <w:tcW w:w="9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10</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Inventory consisted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Work-in-process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7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1,994</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Inventory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78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2,523</w:t>
            </w:r>
          </w:p>
        </w:tc>
        <w:tc>
          <w:tcPr>
            <w:tcW w:w="16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In the nine months ended September 30,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spacing w:after="0" w:line="187" w:lineRule="exact"/>
        <w:rPr>
          <w:sz w:val="20"/>
          <w:szCs w:val="20"/>
          <w:color w:val="auto"/>
        </w:rPr>
      </w:pPr>
    </w:p>
    <w:p>
      <w:pPr>
        <w:ind w:left="40" w:right="99" w:firstLine="324"/>
        <w:spacing w:after="0" w:line="293"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64"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As a result, the Company is recognizing revenue related to the performance obligations over time using the input method based on costs incurred to date relative to the total expected costs of the contract and began recognizing revenue in the second quarter of 2021 over the performance obligation period.</w:t>
      </w:r>
    </w:p>
    <w:p>
      <w:pPr>
        <w:spacing w:after="0" w:line="184" w:lineRule="exact"/>
        <w:rPr>
          <w:sz w:val="20"/>
          <w:szCs w:val="20"/>
          <w:color w:val="auto"/>
        </w:rPr>
      </w:pPr>
    </w:p>
    <w:p>
      <w:pPr>
        <w:jc w:val="both"/>
        <w:ind w:left="40" w:right="159" w:firstLine="324"/>
        <w:spacing w:after="0" w:line="259" w:lineRule="auto"/>
        <w:rPr>
          <w:sz w:val="20"/>
          <w:szCs w:val="20"/>
          <w:color w:val="auto"/>
        </w:rPr>
      </w:pPr>
      <w:r>
        <w:rPr>
          <w:rFonts w:ascii="Arial" w:cs="Arial" w:eastAsia="Arial" w:hAnsi="Arial"/>
          <w:sz w:val="18"/>
          <w:szCs w:val="18"/>
          <w:color w:val="auto"/>
        </w:rPr>
        <w:t>Under the agreements, the Company received a non-refundable, upfront payment of $3.0 million in the first quarter of 2021 and a payment of $0.7 million was received in the third quarter of 2021. As of September 30, 2021, $1.4 million was recorded as deferred revenue, current, with $0.9 million and $2.3 million recognized as revenue during the three and nine months ended September 30, 2021, respectively.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40" w:right="639" w:firstLine="324"/>
        <w:spacing w:after="0" w:line="308" w:lineRule="auto"/>
        <w:rPr>
          <w:sz w:val="20"/>
          <w:szCs w:val="20"/>
          <w:color w:val="auto"/>
        </w:rPr>
      </w:pPr>
      <w:r>
        <w:rPr>
          <w:rFonts w:ascii="Arial" w:cs="Arial" w:eastAsia="Arial" w:hAnsi="Arial"/>
          <w:sz w:val="17"/>
          <w:szCs w:val="17"/>
          <w:color w:val="auto"/>
        </w:rPr>
        <w:t>Operating leases consist primarily of office space expiring at various dates through 2023. The Company’s lease agreements do not contain any material residual value guarantees or material restrictive covenants.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5660" w:type="dxa"/>
            <w:vAlign w:val="bottom"/>
            <w:gridSpan w:val="2"/>
          </w:tcPr>
          <w:p>
            <w:pPr>
              <w:ind w:left="560"/>
              <w:spacing w:after="0"/>
              <w:rPr>
                <w:sz w:val="20"/>
                <w:szCs w:val="20"/>
                <w:color w:val="auto"/>
              </w:rPr>
            </w:pPr>
            <w:r>
              <w:rPr>
                <w:rFonts w:ascii="Arial" w:cs="Arial" w:eastAsia="Arial" w:hAnsi="Arial"/>
                <w:sz w:val="14"/>
                <w:szCs w:val="14"/>
                <w:b w:val="1"/>
                <w:bCs w:val="1"/>
                <w:color w:val="auto"/>
              </w:rPr>
              <w:t>As of September 30, 2021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 lease payments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imputed interest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current portion of operating lease liabilities</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 operating lease liabilities, net of current portion</w:t>
            </w:r>
          </w:p>
        </w:tc>
        <w:tc>
          <w:tcPr>
            <w:tcW w:w="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6620" w:type="dxa"/>
            <w:vAlign w:val="bottom"/>
            <w:gridSpan w:val="4"/>
          </w:tcPr>
          <w:p>
            <w:pPr>
              <w:jc w:val="right"/>
              <w:ind w:right="387"/>
              <w:spacing w:after="0"/>
              <w:rPr>
                <w:sz w:val="20"/>
                <w:szCs w:val="20"/>
                <w:color w:val="auto"/>
              </w:rPr>
            </w:pPr>
            <w:r>
              <w:rPr>
                <w:rFonts w:ascii="Arial" w:cs="Arial" w:eastAsia="Arial" w:hAnsi="Arial"/>
                <w:sz w:val="18"/>
                <w:szCs w:val="18"/>
                <w:color w:val="auto"/>
                <w:w w:val="91"/>
              </w:rPr>
              <w:t>Other information related to the Company’s operating lease liabilities was as follows: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6"/>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8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w w:val="92"/>
              </w:rPr>
              <w:t>6.00 %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6.00 %</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40" w:right="359" w:firstLine="324"/>
        <w:spacing w:after="0" w:line="257" w:lineRule="auto"/>
        <w:rPr>
          <w:sz w:val="20"/>
          <w:szCs w:val="20"/>
          <w:color w:val="auto"/>
        </w:rPr>
      </w:pPr>
      <w:r>
        <w:rPr>
          <w:rFonts w:ascii="Arial" w:cs="Arial" w:eastAsia="Arial" w:hAnsi="Arial"/>
          <w:sz w:val="18"/>
          <w:szCs w:val="18"/>
          <w:color w:val="auto"/>
        </w:rPr>
        <w:t>In September 2021, and subsequent to quarter end in October 2021, the Company entered into two new office lease agreements for leases that were set to expire in the fourth quarter of 2021 and the first quarter of 2022. Both new lease agreements are scheduled to commence in February 2022. Monthly escalating lease payments range from $13,000 to $39,000, with maturity dates ranging from April 2027 – January 2029, both with options to extend upon written notice within twelve months prior to maturity.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pacing w:after="0" w:line="161"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12-month interest-only period for the 2019 Term Loan to a 16-month interest-only period and lowered the floor interest rate. The floor interest rates for the 2019 Term Loan and the Line of Credit were reduced from 4.75% and 6.75% to 3.75% and 4.75%, respectively.</w:t>
      </w:r>
    </w:p>
    <w:p>
      <w:pPr>
        <w:spacing w:after="0" w:line="187"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The amended Line of Credit allows for a maximum draw of $5.0 million, subject to a formula borrowing base, has a two-year term and bears interest at a floating rate equal to the Wall Street Journal (WSJ) prime rate plus 1.5%, per annum, subject to a floor of 4.75%. As of September 30, 2021, the interest rate was 4.75%.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September 30, 2021, the effective interest rate under the Line of Credit was 10.18% and the outstanding balance was $1.0 million. The Line of Credit was set to mature on August 5, 2021. The second amendment, entered into on July 28, 2021, extended the maturity date of the Line of Credit to August 5,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88" w:lineRule="auto"/>
        <w:rPr>
          <w:sz w:val="20"/>
          <w:szCs w:val="20"/>
          <w:color w:val="auto"/>
        </w:rPr>
      </w:pPr>
      <w:r>
        <w:rPr>
          <w:rFonts w:ascii="Arial" w:cs="Arial" w:eastAsia="Arial" w:hAnsi="Arial"/>
          <w:sz w:val="16"/>
          <w:szCs w:val="16"/>
          <w:color w:val="auto"/>
        </w:rPr>
        <w:t>The amended 2019 Term Loan provides for a $6.0 million term loan, which was used to refinance the remaining balance of the 2017 Credit Facility. The 2019 Term Loan has a term of 46 months, and a 16-month interest-only period followed by 30 months of equal principal payments, plus accrued interest. The 2019 Term Loan bears interest at a floating rate equal to the WSJ prime rate minus 0.75%, subject to a floor of 3.75%. As of September 30, 2021, the interest rate was 3.75%.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September 30, 2021, the effective interest rate under the 2019 Term Loan was 7.85% and the outstanding balance was $4.6 million. The 2019 Term Loan matures on June 1, 2023.</w:t>
      </w:r>
    </w:p>
    <w:p>
      <w:pPr>
        <w:spacing w:after="0" w:line="168"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condensed statement of operations and comprehensive loss. The Company recognized other expense of $0 and $5,000 for the three and nine months ended September 30, 2021, respectively. The Company recognized other expense of $5,000 and $2,000 for the three and nine months ended September 30, 2020, respectively.</w:t>
      </w:r>
    </w:p>
    <w:p>
      <w:pPr>
        <w:spacing w:after="0" w:line="182"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In conjunction with entering into the first amendment to the 2019 Credit Facility, on July 15, 2020, the Company issued a warrant to SVB to purchase 21,500 shares of the Company’s common stock at an exercise price of $0.01 per share. The warrant expires on July 15, 2025. The warrant is classified as equity and was recorded as a debt discount that will be amortized to interest expense using the effective interest method. The fair value of the warrant was $152,000 on the date of issuance using the Black-Scholes option-pricing model. On July 22, 2021, SVB elected to exercise the warrant associated with the first amendment to the 2019 Credit Facility, which resulted in a net cashless exercise of the warrant and the issuance of 21,463 shares of the Company’s common stock.</w:t>
      </w:r>
    </w:p>
    <w:p>
      <w:pPr>
        <w:spacing w:after="0" w:line="177"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September 30, 2021.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2019 Term Loan. As of September 30, 2021, management does not believe that it is probable that the clause will be triggered within the next 12 months, and therefore the 2019 Term Loan is classified as long-term debt.</w:t>
      </w:r>
    </w:p>
    <w:p>
      <w:pPr>
        <w:spacing w:after="0" w:line="172"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statement of operations and comprehensive loss and included in non-cash interest expense within the statement of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carrying value of the Company’s 2019 Credit Facility as of September 30, 2021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carrying value of the Company’s 2019 Credit Facility as of December 31, 2020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Portion</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Repayment</w:t>
            </w: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as of September 30,</w:t>
            </w:r>
          </w:p>
        </w:tc>
      </w:tr>
      <w:tr>
        <w:trPr>
          <w:trHeight w:val="171"/>
        </w:trPr>
        <w:tc>
          <w:tcPr>
            <w:tcW w:w="5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2021 (three remaining months)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principal repayments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The $0.6 million in principal repayments noted above for the three remaining months for the year ended December 31, 2021 are related to payments on the Term Loan.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40" w:right="99" w:firstLine="324"/>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(ATM) offering under the Securities Act of 1933, as amended. Under the 2019 Sales Agreement, the Company agreed to pay Jefferies a commission of up to 3% of the gross proceeds of any sales made pursuant to the Sales Agreement. During the nine months ended September 30,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stock option and award activity for the nine months ended September 30, 2021:</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 and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980" w:type="dxa"/>
            <w:vAlign w:val="bottom"/>
            <w:gridSpan w:val="2"/>
            <w:vMerge w:val="continue"/>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179,219</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2,272,905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1,120,946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(517,564)</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108,581</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(744,978)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(104,743)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897,471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(916,911)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Balance—September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1,043,675</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1,996,229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exercisable—September 30, 2021</w:t>
            </w: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760,979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The total grant date fair value of options vested was $178,000 and $438,000 during the three months ended September 30, 2021 and 2020, respectively, and $711,000 and $1.8 million during the nine months ended September 30, 2021 and 2020, respectively.</w:t>
      </w:r>
    </w:p>
    <w:p>
      <w:pPr>
        <w:spacing w:after="0" w:line="184" w:lineRule="exact"/>
        <w:rPr>
          <w:sz w:val="20"/>
          <w:szCs w:val="20"/>
          <w:color w:val="auto"/>
        </w:rPr>
      </w:pPr>
    </w:p>
    <w:p>
      <w:pPr>
        <w:jc w:val="both"/>
        <w:ind w:left="40" w:right="459" w:firstLine="324"/>
        <w:spacing w:after="0" w:line="263" w:lineRule="auto"/>
        <w:rPr>
          <w:sz w:val="20"/>
          <w:szCs w:val="20"/>
          <w:color w:val="auto"/>
        </w:rPr>
      </w:pPr>
      <w:r>
        <w:rPr>
          <w:rFonts w:ascii="Arial" w:cs="Arial" w:eastAsia="Arial" w:hAnsi="Arial"/>
          <w:sz w:val="18"/>
          <w:szCs w:val="18"/>
          <w:color w:val="auto"/>
        </w:rPr>
        <w:t>The weighted-average grant date fair value of employee options granted was $3.59 and $3.62 per share during the three months ended September 30, 2021 and 2020, respectively, and $3.58 and $1.71 per share during the nine months ended September 30, 2021 and 2020, respectively.</w:t>
      </w:r>
    </w:p>
    <w:p>
      <w:pPr>
        <w:spacing w:after="0" w:line="184" w:lineRule="exact"/>
        <w:rPr>
          <w:sz w:val="20"/>
          <w:szCs w:val="20"/>
          <w:color w:val="auto"/>
        </w:rPr>
      </w:pPr>
    </w:p>
    <w:p>
      <w:pPr>
        <w:ind w:left="40" w:right="419" w:firstLine="324"/>
        <w:spacing w:after="0" w:line="342" w:lineRule="auto"/>
        <w:rPr>
          <w:sz w:val="20"/>
          <w:szCs w:val="20"/>
          <w:color w:val="auto"/>
        </w:rPr>
      </w:pPr>
      <w:r>
        <w:rPr>
          <w:rFonts w:ascii="Arial" w:cs="Arial" w:eastAsia="Arial" w:hAnsi="Arial"/>
          <w:sz w:val="16"/>
          <w:szCs w:val="16"/>
          <w:color w:val="auto"/>
        </w:rPr>
        <w:t>As of September 30, 2021, of the 916,911 options cancelled/forfeited, 19,440 of the options relate to a prior stock-based compensation plan that are no longer available for grant under the current stock-based compensation plan.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In January 2021, there was an increase of 190,315 shares reserved for issuance under the Company’s Employee Stock Purchase Plan (ESPP) pursuant to the terms of the ESPP. The Company had 684,996 shares available for future issuance under the Company’s ESPP as of September 30, 2021. Employees purchased 32,186 shares for $92,000 during the nine months ended September 30, 2021. Employees purchased 22,474 shares for $50,000 during the three and nine months ended September 30, 2020.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restricted stock units (RSUs) activity for the nine months ended September 30, 2021:</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4"/>
                <w:szCs w:val="14"/>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517,564</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(362,438)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(108,581)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September 30, 2021, there was $1.9 million of unrecognized stock-based compensation expense related to RSUs to be recognized over a weighted-average period of 2.2 years.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40" w:right="219" w:firstLine="324"/>
        <w:spacing w:after="0" w:line="308" w:lineRule="auto"/>
        <w:rPr>
          <w:sz w:val="20"/>
          <w:szCs w:val="20"/>
          <w:color w:val="auto"/>
        </w:rPr>
      </w:pPr>
      <w:r>
        <w:rPr>
          <w:rFonts w:ascii="Arial" w:cs="Arial" w:eastAsia="Arial" w:hAnsi="Arial"/>
          <w:sz w:val="17"/>
          <w:szCs w:val="17"/>
          <w:color w:val="auto"/>
        </w:rPr>
        <w:t>As of September 30, 2021, there was $3.5 million of total unrecognized stock-based compensation expense related to unvested options which is expected to be recognized over a weighted-average period of 3.0 years.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September 2018, the Company entered into a Joint Collaboration Agreement (JCA) with Silterra Malaysia Sdn.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Bhd., and another third party. The JCA will create additional manufacturing capacity for the Company’s Toggle MRAM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products. The Company had previously anticipated initial production starting in 2020. However, as a result of recent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delays, the Company now anticipates initial production to start some time in 2022. Under the JCA, the Company is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required to pay non-recurring engineering costs of $1.0 million. As of September 30, 2021, the Company has paid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$600,000 of these JCA costs. There were no JCA costs paid during the nine months ended September 30, 2021. Subsequent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September 30, 2021, on October 23, 2021, the Company executed a termination of the JCA. As a result, the Company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does not expect to incur additional JCA costs for the remainder of 2021.</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Net Income (Loss) Per Common Share</w:t>
      </w:r>
    </w:p>
    <w:p>
      <w:pPr>
        <w:spacing w:after="0" w:line="229"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Basic earnings per share is calculated by dividing net income by the weighted average shares outstanding. Diluted earnings per share is calculated using the treasury stock method by dividing net income by the total weighted average shares of common stock outstanding in addition to the potential impact of dilutive securities including restricted stock units, warrants, and options.</w:t>
      </w:r>
    </w:p>
    <w:p>
      <w:pPr>
        <w:spacing w:after="0" w:line="2" w:lineRule="exact"/>
        <w:rPr>
          <w:sz w:val="20"/>
          <w:szCs w:val="20"/>
          <w:color w:val="auto"/>
        </w:rPr>
      </w:pPr>
    </w:p>
    <w:p>
      <w:pPr>
        <w:jc w:val="both"/>
        <w:ind w:left="40" w:right="59" w:firstLine="441"/>
        <w:spacing w:after="0" w:line="260" w:lineRule="auto"/>
        <w:rPr>
          <w:sz w:val="20"/>
          <w:szCs w:val="20"/>
          <w:color w:val="auto"/>
        </w:rPr>
      </w:pPr>
      <w:r>
        <w:rPr>
          <w:rFonts w:ascii="Arial" w:cs="Arial" w:eastAsia="Arial" w:hAnsi="Arial"/>
          <w:sz w:val="18"/>
          <w:szCs w:val="18"/>
          <w:color w:val="auto"/>
        </w:rPr>
        <w:t>The following tables set forth the computation of basic and diluted net income (loss) per share attributable to common stockholders (in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Weighted-average common</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outstanding used to</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calculate net income (loss)</w:t>
            </w:r>
          </w:p>
        </w:tc>
        <w:tc>
          <w:tcPr>
            <w:tcW w:w="1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19,511,132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18,942,163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19,296,241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18,705,149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per common share, basic</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Net income (loss) per</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320" w:type="dxa"/>
            <w:vAlign w:val="bottom"/>
            <w:vMerge w:val="continue"/>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(0.21)</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20" w:type="dxa"/>
            <w:vAlign w:val="bottom"/>
          </w:tcPr>
          <w:p>
            <w:pPr>
              <w:spacing w:after="0"/>
              <w:rPr>
                <w:sz w:val="20"/>
                <w:szCs w:val="20"/>
                <w:color w:val="auto"/>
              </w:rPr>
            </w:pPr>
            <w:r>
              <w:rPr>
                <w:rFonts w:ascii="Arial" w:cs="Arial" w:eastAsia="Arial" w:hAnsi="Arial"/>
                <w:sz w:val="18"/>
                <w:szCs w:val="18"/>
                <w:b w:val="1"/>
                <w:bCs w:val="1"/>
                <w:color w:val="auto"/>
              </w:rPr>
              <w:t>common share, basic</w:t>
            </w:r>
          </w:p>
        </w:tc>
        <w:tc>
          <w:tcPr>
            <w:tcW w:w="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income (loss)</w:t>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Weighted-average common</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shares outstanding used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calculate net income (loss) per</w:t>
      </w:r>
    </w:p>
    <w:p>
      <w:pPr>
        <w:spacing w:after="0" w:line="32" w:lineRule="exact"/>
        <w:rPr>
          <w:sz w:val="20"/>
          <w:szCs w:val="20"/>
          <w:color w:val="auto"/>
        </w:rPr>
      </w:pPr>
    </w:p>
    <w:p>
      <w:pPr>
        <w:ind w:left="1040"/>
        <w:spacing w:after="0" w:line="250" w:lineRule="auto"/>
        <w:rPr>
          <w:sz w:val="20"/>
          <w:szCs w:val="20"/>
          <w:color w:val="auto"/>
        </w:rPr>
      </w:pPr>
      <w:r>
        <w:rPr>
          <w:rFonts w:ascii="Arial" w:cs="Arial" w:eastAsia="Arial" w:hAnsi="Arial"/>
          <w:sz w:val="18"/>
          <w:szCs w:val="18"/>
          <w:color w:val="auto"/>
        </w:rPr>
        <w:t>common share, basic Effect of dilutive Weighted-average common shares outstanding used to calculate net income (loss) per common share, diluted</w:t>
      </w:r>
    </w:p>
    <w:p>
      <w:pPr>
        <w:spacing w:after="0" w:line="2" w:lineRule="exact"/>
        <w:rPr>
          <w:sz w:val="20"/>
          <w:szCs w:val="20"/>
          <w:color w:val="auto"/>
        </w:rPr>
      </w:pPr>
    </w:p>
    <w:p>
      <w:pPr>
        <w:ind w:left="940" w:right="540"/>
        <w:spacing w:after="0" w:line="323" w:lineRule="auto"/>
        <w:rPr>
          <w:sz w:val="20"/>
          <w:szCs w:val="20"/>
          <w:color w:val="auto"/>
        </w:rPr>
      </w:pPr>
      <w:r>
        <w:rPr>
          <w:rFonts w:ascii="Arial" w:cs="Arial" w:eastAsia="Arial" w:hAnsi="Arial"/>
          <w:sz w:val="16"/>
          <w:szCs w:val="16"/>
          <w:b w:val="1"/>
          <w:bCs w:val="1"/>
          <w:color w:val="auto"/>
        </w:rPr>
        <w:t>Net income (loss) per common share,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680" w:type="dxa"/>
            <w:vAlign w:val="bottom"/>
            <w:tcBorders>
              <w:top w:val="single" w:sz="8" w:color="auto"/>
              <w:bottom w:val="single" w:sz="8" w:color="auto"/>
            </w:tcBorders>
          </w:tcPr>
          <w:p>
            <w:pPr>
              <w:spacing w:after="0"/>
              <w:rPr>
                <w:sz w:val="12"/>
                <w:szCs w:val="12"/>
                <w:color w:val="auto"/>
              </w:rPr>
            </w:pPr>
          </w:p>
        </w:tc>
      </w:tr>
      <w:tr>
        <w:trPr>
          <w:trHeight w:val="142"/>
        </w:trPr>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425"/>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880</w:t>
            </w:r>
          </w:p>
        </w:tc>
        <w:tc>
          <w:tcPr>
            <w:tcW w:w="16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(3,895)</w:t>
            </w:r>
          </w:p>
        </w:tc>
        <w:tc>
          <w:tcPr>
            <w:tcW w:w="680" w:type="dxa"/>
            <w:vAlign w:val="bottom"/>
          </w:tcPr>
          <w:p>
            <w:pPr>
              <w:jc w:val="right"/>
              <w:ind w:right="502"/>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676</w:t>
            </w:r>
          </w:p>
        </w:tc>
        <w:tc>
          <w:tcPr>
            <w:tcW w:w="16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(6,921)</w:t>
            </w: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-162560</wp:posOffset>
            </wp:positionV>
            <wp:extent cx="45262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26280" cy="146050"/>
                    </a:xfrm>
                    <a:prstGeom prst="rect">
                      <a:avLst/>
                    </a:prstGeom>
                    <a:noFill/>
                  </pic:spPr>
                </pic:pic>
              </a:graphicData>
            </a:graphic>
          </wp:anchor>
        </w:drawing>
        <w:drawing>
          <wp:anchor simplePos="0" relativeHeight="251657728" behindDoc="1" locked="0" layoutInCell="0" allowOverlap="1">
            <wp:simplePos x="0" y="0"/>
            <wp:positionH relativeFrom="column">
              <wp:posOffset>-1561465</wp:posOffset>
            </wp:positionH>
            <wp:positionV relativeFrom="paragraph">
              <wp:posOffset>137160</wp:posOffset>
            </wp:positionV>
            <wp:extent cx="4526280"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262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19,511,132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18,942,163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19,296,241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18,705,149</w:t>
            </w:r>
          </w:p>
        </w:tc>
      </w:tr>
      <w:tr>
        <w:trPr>
          <w:trHeight w:val="230"/>
        </w:trPr>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401,786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491,648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31"/>
        </w:trPr>
        <w:tc>
          <w:tcPr>
            <w:tcW w:w="1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19,912,918</w:t>
            </w:r>
          </w:p>
        </w:tc>
        <w:tc>
          <w:tcPr>
            <w:tcW w:w="1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18,942,163</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19,787,889</w:t>
            </w:r>
          </w:p>
        </w:tc>
        <w:tc>
          <w:tcPr>
            <w:tcW w:w="1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18,705,149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7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-1561465</wp:posOffset>
            </wp:positionH>
            <wp:positionV relativeFrom="paragraph">
              <wp:posOffset>-839470</wp:posOffset>
            </wp:positionV>
            <wp:extent cx="4526280" cy="548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26280" cy="54864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240" w:space="160"/>
            <w:col w:w="5619"/>
          </w:cols>
          <w:pgMar w:left="1440" w:top="517" w:right="1440"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The following outstanding shares of potentially dilutive securities have been excluded from diluted net income (loss)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 common share for the periods presented, because their inclusion would be anti-dilutive:</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6"/>
        </w:trPr>
        <w:tc>
          <w:tcPr>
            <w:tcW w:w="20" w:type="dxa"/>
            <w:vAlign w:val="bottom"/>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182"/>
        </w:trPr>
        <w:tc>
          <w:tcPr>
            <w:tcW w:w="20" w:type="dxa"/>
            <w:vAlign w:val="bottom"/>
          </w:tcPr>
          <w:p>
            <w:pPr>
              <w:spacing w:after="0"/>
              <w:rPr>
                <w:sz w:val="15"/>
                <w:szCs w:val="15"/>
                <w:color w:val="auto"/>
              </w:rPr>
            </w:pPr>
          </w:p>
        </w:tc>
        <w:tc>
          <w:tcPr>
            <w:tcW w:w="2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Options to purchase common</w:t>
            </w: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1,251,209</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2,300,452</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1,277,088</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2,300,452</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RSUs</w:t>
            </w:r>
          </w:p>
        </w:tc>
        <w:tc>
          <w:tcPr>
            <w:tcW w:w="1060" w:type="dxa"/>
            <w:vAlign w:val="bottom"/>
          </w:tcPr>
          <w:p>
            <w:pPr>
              <w:jc w:val="right"/>
              <w:spacing w:after="0"/>
              <w:rPr>
                <w:sz w:val="20"/>
                <w:szCs w:val="20"/>
                <w:color w:val="auto"/>
              </w:rPr>
            </w:pPr>
            <w:r>
              <w:rPr>
                <w:rFonts w:ascii="Arial" w:cs="Arial" w:eastAsia="Arial" w:hAnsi="Arial"/>
                <w:sz w:val="18"/>
                <w:szCs w:val="18"/>
                <w:color w:val="auto"/>
              </w:rPr>
              <w:t>6,437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458,324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28,389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458,324</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49,336</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ESPP</w:t>
            </w:r>
          </w:p>
        </w:tc>
        <w:tc>
          <w:tcPr>
            <w:tcW w:w="1060" w:type="dxa"/>
            <w:vAlign w:val="bottom"/>
          </w:tcPr>
          <w:p>
            <w:pPr>
              <w:jc w:val="right"/>
              <w:spacing w:after="0"/>
              <w:rPr>
                <w:sz w:val="20"/>
                <w:szCs w:val="20"/>
                <w:color w:val="auto"/>
              </w:rPr>
            </w:pPr>
            <w:r>
              <w:rPr>
                <w:rFonts w:ascii="Arial" w:cs="Arial" w:eastAsia="Arial" w:hAnsi="Arial"/>
                <w:sz w:val="18"/>
                <w:szCs w:val="18"/>
                <w:color w:val="auto"/>
              </w:rPr>
              <w:t>14,031</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28,078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1,281,052</w:t>
            </w: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1,342,930</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2,808,112</w:t>
            </w: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7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original equipment manufacturers (OEMs) and original design manufacturers (ODMs).</w:t>
      </w:r>
    </w:p>
    <w:p>
      <w:pPr>
        <w:spacing w:after="0" w:line="1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164" w:lineRule="exact"/>
        <w:rPr>
          <w:sz w:val="20"/>
          <w:szCs w:val="20"/>
          <w:color w:val="auto"/>
        </w:rPr>
      </w:pPr>
    </w:p>
    <w:p>
      <w:pPr>
        <w:ind w:left="40" w:right="299" w:firstLine="324"/>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301" w:lineRule="auto"/>
        <w:rPr>
          <w:sz w:val="20"/>
          <w:szCs w:val="20"/>
          <w:color w:val="auto"/>
        </w:rPr>
      </w:pPr>
      <w:r>
        <w:rPr>
          <w:rFonts w:ascii="Arial" w:cs="Arial" w:eastAsia="Arial" w:hAnsi="Arial"/>
          <w:sz w:val="16"/>
          <w:szCs w:val="16"/>
          <w:color w:val="auto"/>
        </w:rPr>
        <w:t>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income (loss), the most directly comparable GAAP measure, to Adjusted EBITDA for the periods indicated:</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178"/>
        </w:trPr>
        <w:tc>
          <w:tcPr>
            <w:tcW w:w="21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Adjusted EBITDA</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4"/>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880</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(3,895)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(6,921)</w:t>
            </w: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60" w:type="dxa"/>
            <w:vAlign w:val="bottom"/>
            <w:shd w:val="clear" w:color="auto" w:fill="CCEEFF"/>
          </w:tcPr>
          <w:p>
            <w:pPr>
              <w:spacing w:after="0"/>
              <w:rPr>
                <w:sz w:val="20"/>
                <w:szCs w:val="20"/>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w w:val="96"/>
              </w:rPr>
              <w:t>Stock-based compensation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20"/>
                <w:szCs w:val="20"/>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r>
      <w:tr>
        <w:trPr>
          <w:trHeight w:val="216"/>
        </w:trPr>
        <w:tc>
          <w:tcPr>
            <w:tcW w:w="2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spacing w:after="0"/>
              <w:rPr>
                <w:sz w:val="18"/>
                <w:szCs w:val="18"/>
                <w:color w:val="auto"/>
              </w:rPr>
            </w:pPr>
          </w:p>
        </w:tc>
      </w:tr>
      <w:tr>
        <w:trPr>
          <w:trHeight w:val="209"/>
        </w:trPr>
        <w:tc>
          <w:tcPr>
            <w:tcW w:w="2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To continue to grow our revenue, we must continue to achieve design wins for our MRAM products.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the first three quarters of 2021 were 40, 37, and 40, respectively, compared to 37, 43, and 52 in the first three quarters of 2020, respectively.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159" w:firstLine="324"/>
        <w:spacing w:after="0" w:line="290" w:lineRule="auto"/>
        <w:rPr>
          <w:sz w:val="20"/>
          <w:szCs w:val="20"/>
          <w:color w:val="auto"/>
        </w:rPr>
      </w:pPr>
      <w:r>
        <w:rPr>
          <w:rFonts w:ascii="Arial" w:cs="Arial" w:eastAsia="Arial" w:hAnsi="Arial"/>
          <w:sz w:val="16"/>
          <w:szCs w:val="16"/>
          <w:color w:val="auto"/>
        </w:rPr>
        <w:t>The novel coronavirus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many new agencies have reported the spread of new variants of COVID-19, such as the Delta variant, that are more contagious than previous strains. The spread of these new strains is causing many government authorities to reimplement the aforementioned measures to try to reduce the spread that had become less prevalent. The COVID-19 pandemic and its variants have negatively impacted the global economy, disrupted global supply chains and workforce participation, and initially created significant volatility and disruption of financial markets.</w:t>
      </w:r>
    </w:p>
    <w:p>
      <w:pPr>
        <w:spacing w:after="0" w:line="165"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Overall, our business remains operational in the midst of the pandemic. However, as a result of the ongoing COVID-19 outbreak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66" w:lineRule="exact"/>
        <w:rPr>
          <w:sz w:val="20"/>
          <w:szCs w:val="20"/>
          <w:color w:val="auto"/>
        </w:rPr>
      </w:pPr>
    </w:p>
    <w:p>
      <w:pPr>
        <w:ind w:left="40" w:right="279" w:firstLine="324"/>
        <w:spacing w:after="0" w:line="293" w:lineRule="auto"/>
        <w:rPr>
          <w:sz w:val="20"/>
          <w:szCs w:val="20"/>
          <w:color w:val="auto"/>
        </w:rPr>
      </w:pPr>
      <w:r>
        <w:rPr>
          <w:rFonts w:ascii="Arial" w:cs="Arial" w:eastAsia="Arial" w:hAnsi="Arial"/>
          <w:sz w:val="16"/>
          <w:szCs w:val="16"/>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spacing w:after="0" w:line="164" w:lineRule="exact"/>
        <w:rPr>
          <w:sz w:val="20"/>
          <w:szCs w:val="20"/>
          <w:color w:val="auto"/>
        </w:rPr>
      </w:pPr>
    </w:p>
    <w:p>
      <w:pPr>
        <w:ind w:left="40" w:right="279" w:firstLine="324"/>
        <w:spacing w:after="0" w:line="311" w:lineRule="auto"/>
        <w:rPr>
          <w:sz w:val="20"/>
          <w:szCs w:val="20"/>
          <w:color w:val="auto"/>
        </w:rPr>
      </w:pPr>
      <w:r>
        <w:rPr>
          <w:rFonts w:ascii="Arial" w:cs="Arial" w:eastAsia="Arial" w:hAnsi="Arial"/>
          <w:sz w:val="16"/>
          <w:szCs w:val="16"/>
          <w:color w:val="auto"/>
        </w:rPr>
        <w:t>The emergence of the significantly more contagious Delta variant of COVID-19 and the prevalence of breakthrough cases of infection among fully vaccinated people adds additional uncertainty and could result in further impacts to our business and operations, including those discussed above and in “Risk Factors” in Part II, Item 1A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87"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emergence and severity of its variants, the actions to contain the virus or treat its impact, such as the availability and efficacy of vaccines (particularly with respect to emerging strains of the virus) and potential hesitancy to use them,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w w:val="94"/>
              </w:rPr>
              <w:t>Three Months Ended September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(As a percentage of revenue)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ind w:right="251"/>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7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81 %</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31,292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30,139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Licensing, royalty,</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patent, and other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10,120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32,054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8"/>
              </w:rPr>
              <w:t>Cost of product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14,629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19,009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licensing,</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royalty, patent,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15,294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19,183</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12,871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Research and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Pr>
          <w:p>
            <w:pPr>
              <w:ind w:left="120"/>
              <w:spacing w:after="0" w:line="201" w:lineRule="exact"/>
              <w:rPr>
                <w:sz w:val="20"/>
                <w:szCs w:val="20"/>
                <w:color w:val="auto"/>
              </w:rPr>
            </w:pPr>
            <w:r>
              <w:rPr>
                <w:rFonts w:ascii="Arial" w:cs="Arial" w:eastAsia="Arial" w:hAnsi="Arial"/>
                <w:sz w:val="18"/>
                <w:szCs w:val="18"/>
                <w:color w:val="auto"/>
              </w:rPr>
              <w:t>General and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Sales and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w:t>
            </w: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20"/>
              <w:spacing w:after="0" w:line="182" w:lineRule="exact"/>
              <w:rPr>
                <w:sz w:val="20"/>
                <w:szCs w:val="20"/>
                <w:color w:val="auto"/>
              </w:rPr>
            </w:pPr>
            <w:r>
              <w:rPr>
                <w:rFonts w:ascii="Arial" w:cs="Arial" w:eastAsia="Arial" w:hAnsi="Arial"/>
                <w:sz w:val="18"/>
                <w:szCs w:val="18"/>
                <w:color w:val="auto"/>
              </w:rPr>
              <w:t>Total operating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20,382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19,251</w:t>
            </w:r>
          </w:p>
        </w:tc>
        <w:tc>
          <w:tcPr>
            <w:tcW w:w="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(3,711)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(6,380)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(3,871)</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(6,821)</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and comprehensive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4"/>
              </w:rPr>
              <w:t>(3,895)</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8"/>
                <w:szCs w:val="18"/>
                <w:color w:val="auto"/>
              </w:rPr>
            </w:pP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(39)%$</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8"/>
              </w:rPr>
              <w:t>(6,921)</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8"/>
                <w:szCs w:val="18"/>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Arial" w:cs="Arial" w:eastAsia="Arial" w:hAnsi="Arial"/>
                <w:sz w:val="18"/>
                <w:szCs w:val="18"/>
                <w:color w:val="auto"/>
              </w:rPr>
              <w:t>income (loss)</w:t>
            </w: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679" w:firstLine="324"/>
        <w:spacing w:after="0" w:line="277" w:lineRule="auto"/>
        <w:rPr>
          <w:sz w:val="20"/>
          <w:szCs w:val="20"/>
          <w:color w:val="auto"/>
        </w:rPr>
      </w:pPr>
      <w:r>
        <w:rPr>
          <w:rFonts w:ascii="Arial" w:cs="Arial" w:eastAsia="Arial" w:hAnsi="Arial"/>
          <w:sz w:val="18"/>
          <w:szCs w:val="18"/>
          <w:color w:val="auto"/>
        </w:rPr>
        <w:t>We generated 62% and 53% of our revenue from products sold through distributors for the three months ended September 30, 2021 and 2020, respectively.</w:t>
      </w:r>
    </w:p>
    <w:p>
      <w:pPr>
        <w:spacing w:after="0" w:line="170" w:lineRule="exact"/>
        <w:rPr>
          <w:sz w:val="20"/>
          <w:szCs w:val="20"/>
          <w:color w:val="auto"/>
        </w:rPr>
      </w:pPr>
    </w:p>
    <w:p>
      <w:pPr>
        <w:ind w:left="40" w:right="199" w:firstLine="324"/>
        <w:spacing w:after="0" w:line="296"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products are sold, and not to where the end products in which they are assembled are shipped. Our revenue by region for the periods indicated was as follows (in thousands):</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0"/>
        </w:trPr>
        <w:tc>
          <w:tcPr>
            <w:tcW w:w="28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10,120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1"/>
                <w:szCs w:val="11"/>
                <w:color w:val="auto"/>
              </w:rPr>
            </w:pPr>
          </w:p>
        </w:tc>
        <w:tc>
          <w:tcPr>
            <w:tcW w:w="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7"/>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2,215</w:t>
            </w: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407.9 %</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w:t>
            </w: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7"/>
          <w:szCs w:val="17"/>
          <w:color w:val="auto"/>
        </w:rPr>
        <w:t>Total revenue increased by $4.7 million, or 46.2%, from $10.1 million during the three months ended September 30, 2020 to $14.8 million during the three months ended September 30, 2021. Product sales increased by $2.5 million, or 25.7%, from $9.6 million to $12.0 million due to a higher volume of units produced and sold.</w:t>
      </w:r>
    </w:p>
    <w:p>
      <w:pPr>
        <w:spacing w:after="0" w:line="165"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and other revenue increased by $2.2 million, from $0.5 million during the three months ended September 30, 2020 to $2.8 million during the three months ended September 30, 2021. The increase was driven by the sale of two patents during the quarter in a strategic effort to continue to monetize the Company’s intellectual property, along with an increase in licensing revenue from our contracts related to a U.S. Government RAD-Hard program entered into in the first quarter of 2021.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70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w w:val="93"/>
              </w:rPr>
              <w:t>(Dollars in</w:t>
            </w: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71"/>
              </w:rPr>
              <w:t>thousands)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$ 6,043</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$ 7,763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(1,720)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3"/>
              </w:rPr>
              <w:t>Cost of licensing, royalty, patent, and other revenue</w:t>
            </w: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985.7 %</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Cost of product sales decreased by $1.7 million, or 22.2%, from $7.8 million during the three months ended September 30, 2020, to $6.0 million during the three months ended September 30, 2021. The decrease was due to improved manufacturing yields, a reduction in charges to state inventory at its net realizable value, and accelerated depreciation adjustment for the three months ended September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139" w:firstLine="324"/>
        <w:spacing w:after="0" w:line="263" w:lineRule="auto"/>
        <w:rPr>
          <w:sz w:val="20"/>
          <w:szCs w:val="20"/>
          <w:color w:val="auto"/>
        </w:rPr>
      </w:pPr>
      <w:r>
        <w:rPr>
          <w:rFonts w:ascii="Arial" w:cs="Arial" w:eastAsia="Arial" w:hAnsi="Arial"/>
          <w:sz w:val="18"/>
          <w:szCs w:val="18"/>
          <w:color w:val="auto"/>
        </w:rPr>
        <w:t>Cost of licensing, royalty, and other increased by $0.3 million from $28,000 during the three months ended September 30, 2020, to $0.3 million during the three months ended September 30, 2021. The increase was due primarily to increases in foundry and licensing activities.</w:t>
      </w:r>
    </w:p>
    <w:p>
      <w:pPr>
        <w:spacing w:after="0" w:line="184"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Gross margin increased from 43.9% during the three months ended September 30, 2020 to 60.7% during the three months ended September 30, 2021. The increase in gross margin was due primarily to higher licensing and royalty revenue along with improved manufacturing yields.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$ 3,105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$ 2,579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  526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21 %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Research and development expenses increased by $0.5 million, or 20.4%, from $2.6 million during the three months ended September 30, 2020 to $3.1 million during the three months ended September 30, 2021. The increase was primarily due to higher expenses relating to the development of our 28nm product.</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$ 2,996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$ 2,549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  447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20 %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139" w:firstLine="324"/>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$0.5 million, or 17.5%, from</w:t>
      </w:r>
      <w:r>
        <w:rPr>
          <w:rFonts w:ascii="Arial" w:cs="Arial" w:eastAsia="Arial" w:hAnsi="Arial"/>
          <w:sz w:val="17"/>
          <w:szCs w:val="17"/>
          <w:i w:val="1"/>
          <w:iCs w:val="1"/>
          <w:color w:val="auto"/>
        </w:rPr>
        <w:t xml:space="preserve"> </w:t>
      </w:r>
      <w:r>
        <w:rPr>
          <w:rFonts w:ascii="Arial" w:cs="Arial" w:eastAsia="Arial" w:hAnsi="Arial"/>
          <w:sz w:val="17"/>
          <w:szCs w:val="17"/>
          <w:color w:val="auto"/>
        </w:rPr>
        <w:t>$2.5 million during the three months ended September 30, 2020 to $3.0 million during the three months ended September 30, 2021. The increase is due primarily to profit sharing and professional service fees.</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40" w:type="dxa"/>
            <w:vAlign w:val="bottom"/>
            <w:gridSpan w:val="4"/>
          </w:tcPr>
          <w:p>
            <w:pPr>
              <w:ind w:lef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$ 1,272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  360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$0.4 million, or 39.5%, from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September 30, 2020 to $1.3 million during the three months ended September 30, 2021. The increase is due to an increase in variable compensation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6"/>
          </w:tcPr>
          <w:p>
            <w:pPr>
              <w:jc w:val="center"/>
              <w:ind w:left="104"/>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5.1 %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color w:val="auto"/>
        </w:rPr>
        <w:t>Interest expense increased by $8,000, or 5.1%, from $157,000 during the three months ended September 30, 2020 to $165,000 during the three months ended September 30, 2021. The increase was due to fees paid to extend the Line of Credit during the third quarter of 2021.</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(Dollars in</w:t>
            </w:r>
          </w:p>
        </w:tc>
        <w:tc>
          <w:tcPr>
            <w:tcW w:w="66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thousands)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166.7 %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Other (expense) income, net was expense amounting to $3,000 during the three months ended September 30, 2020 compared to an expense of $8,000 during the three months ended September 30, 2021. The change was primarily due to a decrease in interest income earned on our cash balances during the quarter from the lower interest rate environment, offset by increases in tax payments.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719" w:firstLine="324"/>
        <w:spacing w:after="0" w:line="277" w:lineRule="auto"/>
        <w:rPr>
          <w:sz w:val="20"/>
          <w:szCs w:val="20"/>
          <w:color w:val="auto"/>
        </w:rPr>
      </w:pPr>
      <w:r>
        <w:rPr>
          <w:rFonts w:ascii="Arial" w:cs="Arial" w:eastAsia="Arial" w:hAnsi="Arial"/>
          <w:sz w:val="18"/>
          <w:szCs w:val="18"/>
          <w:color w:val="auto"/>
        </w:rPr>
        <w:t>We generated 67% and 59% of our revenue from products sold through distributors for the nine months ended September 30, 2021 and 2020, respectively.</w:t>
      </w:r>
    </w:p>
    <w:p>
      <w:pPr>
        <w:spacing w:after="0" w:line="170" w:lineRule="exact"/>
        <w:rPr>
          <w:sz w:val="20"/>
          <w:szCs w:val="20"/>
          <w:color w:val="auto"/>
        </w:rPr>
      </w:pPr>
    </w:p>
    <w:p>
      <w:pPr>
        <w:ind w:left="40" w:right="199" w:firstLine="324"/>
        <w:spacing w:after="0" w:line="296"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products are sold, and not to where the end products in which they are assembled are shipped. Our revenue by region for the periods indicated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22,435</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0"/>
        </w:trPr>
        <w:tc>
          <w:tcPr>
            <w:tcW w:w="28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32,054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3"/>
              </w:rPr>
              <w:t>(Dollars in</w:t>
            </w:r>
          </w:p>
        </w:tc>
        <w:tc>
          <w:tcPr>
            <w:tcW w:w="16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7"/>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3,716</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194.0 %</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324"/>
        <w:spacing w:after="0" w:line="286" w:lineRule="auto"/>
        <w:rPr>
          <w:sz w:val="20"/>
          <w:szCs w:val="20"/>
          <w:color w:val="auto"/>
        </w:rPr>
      </w:pPr>
      <w:r>
        <w:rPr>
          <w:rFonts w:ascii="Arial" w:cs="Arial" w:eastAsia="Arial" w:hAnsi="Arial"/>
          <w:sz w:val="17"/>
          <w:szCs w:val="17"/>
          <w:color w:val="auto"/>
        </w:rPr>
        <w:t>Total revenue increased by $4.9 million, or 15.2%, from $32.1 million during the nine months ended September 30, 2020 to $36.9 million during the nine months ended September 30, 2021. Product sales increased by $1.2 million, or 3.8%, from $30.1 million to $31.3 million due to a higher volume of units produced and sold.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and other revenue increased by $3.7 million, from $1.9 million during the nine months ended September 30, 2020 to $5.6 million during the nine months ended September 30, 2021. The increase was driven by the sale of two patents during the quarter in a strategic effort to continue to monetize the Company’s intellectual property, along with an increase in licensing revenue from our contracts related to a U.S. Government RAD-Hard program entered into in the second quarter of 2021.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Nine Months Ended</w:t>
            </w:r>
          </w:p>
        </w:tc>
        <w:tc>
          <w:tcPr>
            <w:tcW w:w="15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6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$ 14,629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$ 19,009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(4,380)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Cost of licensing, royalty, patent, and other</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282.2 %</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$ 15,294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$ 19,183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(3,889)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Cost of product sales decreased by $4.6 million, or 23.7%, from $19.2 million during the nine months ended September 30, 2020, to $14.6 million during the nine months ended September 30, 2021. The decrease was due to improved manufacturing yields, along wit ha one-time non-cash inventory reserve and accelerated depreciation adjustment for the nine months ended September 30, 2020.</w:t>
      </w:r>
    </w:p>
    <w:p>
      <w:pPr>
        <w:spacing w:after="0" w:line="187"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Cost of licensing, royalty, and other increased by $0.5 from $0.2 million during the nine months ended September 30, 2020, to $0.7 million during the nine months ended September 30, 2021. The increase was due primarily to increases in foundry and licensing activities.</w:t>
      </w:r>
    </w:p>
    <w:p>
      <w:pPr>
        <w:spacing w:after="0" w:line="184"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Gross margin increased from 40.2% during the nine months ended September 30, 2020 to 58.2% during the nine months ended September 30, 2021. The increase in gross margin was due primarily to higher licensing and royalty revenue along with improved manufacturing yields.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$ 8,901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$ 8,383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  518</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6.2 %</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w w:val="99"/>
              </w:rPr>
              <w:t>Research and development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Research and development expenses increased by $0.5 million, or 6.2%, from $8.4 million during the nine months ended September 30, 2020 to $8.9 million during the nine months ended September 30, 2021. The increase was primarily due to higher expenses relating to the development of our 28 nm product.</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$ 8,177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$ 7,797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  380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4.9 %</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$0.4 million, or 4.9%, from</w:t>
      </w:r>
      <w:r>
        <w:rPr>
          <w:rFonts w:ascii="Arial" w:cs="Arial" w:eastAsia="Arial" w:hAnsi="Arial"/>
          <w:sz w:val="17"/>
          <w:szCs w:val="17"/>
          <w:i w:val="1"/>
          <w:iCs w:val="1"/>
          <w:color w:val="auto"/>
        </w:rPr>
        <w:t xml:space="preserve"> </w:t>
      </w:r>
      <w:r>
        <w:rPr>
          <w:rFonts w:ascii="Arial" w:cs="Arial" w:eastAsia="Arial" w:hAnsi="Arial"/>
          <w:sz w:val="17"/>
          <w:szCs w:val="17"/>
          <w:color w:val="auto"/>
        </w:rPr>
        <w:t>$7.8 million during the nine months ended September 30, 2020 to $8.2 million during the nine months ended September 30, 2021. The increase is due primarily to profit sharing and professional service fees.</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$ 3,304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$ 3,071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  233</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7.6 %</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$0.2 million or 7.6%, from $3.1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2020 to $3.3 million during the nine months ended September 30, 2021. The increase is due to an increase in variable compensation costs.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2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left="24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0" w:right="239" w:firstLine="324"/>
        <w:spacing w:after="0" w:line="263" w:lineRule="auto"/>
        <w:rPr>
          <w:sz w:val="20"/>
          <w:szCs w:val="20"/>
          <w:color w:val="auto"/>
        </w:rPr>
      </w:pPr>
      <w:r>
        <w:rPr>
          <w:rFonts w:ascii="Arial" w:cs="Arial" w:eastAsia="Arial" w:hAnsi="Arial"/>
          <w:sz w:val="18"/>
          <w:szCs w:val="18"/>
          <w:color w:val="auto"/>
        </w:rPr>
        <w:t>Interest expense decreased by $40,000 or 8.0%, from $501,000 during the nine months ended September 30, 2020 to $461,000 during the nine months ended September 30, 2021. The decrease was partially due to a decrease in outstanding principal on our Term Loan during the first three quarters of 2021.</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4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4"/>
              </w:rPr>
              <w:t>Nine Months Ended</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20" w:type="dxa"/>
            <w:vAlign w:val="bottom"/>
          </w:tcPr>
          <w:p>
            <w:pPr>
              <w:spacing w:after="0"/>
              <w:rPr>
                <w:sz w:val="17"/>
                <w:szCs w:val="17"/>
                <w:color w:val="auto"/>
              </w:rPr>
            </w:pP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w w:val="96"/>
              </w:rPr>
              <w:t>in</w:t>
            </w: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140" w:type="dxa"/>
            <w:vAlign w:val="bottom"/>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7"/>
              </w:rPr>
              <w:t>thousands)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8"/>
              </w:rPr>
              <w:t>$   (35)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324"/>
        <w:spacing w:after="0" w:line="311" w:lineRule="auto"/>
        <w:rPr>
          <w:sz w:val="20"/>
          <w:szCs w:val="20"/>
          <w:color w:val="auto"/>
        </w:rPr>
      </w:pPr>
      <w:r>
        <w:rPr>
          <w:rFonts w:ascii="Arial" w:cs="Arial" w:eastAsia="Arial" w:hAnsi="Arial"/>
          <w:sz w:val="16"/>
          <w:szCs w:val="16"/>
          <w:color w:val="auto"/>
        </w:rPr>
        <w:t>Other (expense) income, net was income of $60,000 during the nine months ended September 30, 2020 compared to an expense of $35,000 during the nine months ended September 30, 2021. The change was primarily due to a decrease in interest income earned on our cash balances during the quarter from the lower interest rate environment.</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219" w:firstLine="324"/>
        <w:spacing w:after="0" w:line="293" w:lineRule="auto"/>
        <w:rPr>
          <w:sz w:val="20"/>
          <w:szCs w:val="20"/>
          <w:color w:val="auto"/>
        </w:rPr>
      </w:pPr>
      <w:r>
        <w:rPr>
          <w:rFonts w:ascii="Arial" w:cs="Arial" w:eastAsia="Arial" w:hAnsi="Arial"/>
          <w:sz w:val="16"/>
          <w:szCs w:val="16"/>
          <w:color w:val="auto"/>
        </w:rPr>
        <w:t>We have generated significant losses since our inception and had an accumulated deficit of $156.5 million as of September 30, 2021, compared to $157.2 million as of December 31, 2020. We have historically financed our operations primarily through the sale of our common stock in our initial public offering (IPO) and follow-on public offering, sales of our common stock under our at-the-market (ATM) program (which was terminated in November 2020), sales of our redeemable convertible preferred stock, debt financing and the sale of our products. As of September 30, 2021, we had $14.6 million of cash and cash equivalents, compared to $14.6 million as of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We believe that our existing cash and cash equivalents as of September 30, 2021, coupled with the amount available under our 2019 Credit Facility and our anticipated growth and sales levels, will be sufficient to meet our anticipated cash requirement for at least the next twelve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61"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condensed financial statements in Part I, Item 1 of this report.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39" w:lineRule="exact"/>
        <w:rPr>
          <w:sz w:val="20"/>
          <w:szCs w:val="20"/>
          <w:color w:val="auto"/>
        </w:rPr>
      </w:pPr>
    </w:p>
    <w:p>
      <w:pPr>
        <w:ind w:left="40" w:right="219" w:firstLine="324"/>
        <w:spacing w:after="0" w:line="270" w:lineRule="auto"/>
        <w:rPr>
          <w:sz w:val="20"/>
          <w:szCs w:val="20"/>
          <w:color w:val="auto"/>
        </w:rPr>
      </w:pPr>
      <w:r>
        <w:rPr>
          <w:rFonts w:ascii="Arial" w:cs="Arial" w:eastAsia="Arial" w:hAnsi="Arial"/>
          <w:sz w:val="17"/>
          <w:szCs w:val="17"/>
          <w:color w:val="auto"/>
        </w:rPr>
        <w:t>In August 2019, we entered into an Open Market Sale Agreement (2019 Sales Agreement) with Jefferies, LLC (Jefferies) for the offer and sale of shares of our common stock having an aggregate offering of up to $25.0 million from time to time through Jefferies, acting as our sales agent. The issuance and sale of these shares pursuant to the 2019 Sales Agreement are deemed an ATM offering under the Securities Act of 1933, as amended. Under the 2019 Sales Agreement, we agreed to pay Jefferies a commission of up to 3% of the gross proceeds of any sales made pursuant to the 2019 Sales Agreement. During the nine months ended September 30, 2020, we received net proceeds of $2.1 million after deducting commissions and expenses payable by us, from the sale of 468,427 shares of common stock pursuant to the 2019 Sales Agreement. We suspended sales under the 2019 Sales Agreement in March 2020 and terminated the ATM program in November 2020.</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Nine Months Ended</w:t>
      </w:r>
    </w:p>
    <w:p>
      <w:pPr>
        <w:ind w:left="66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94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29"/>
        </w:trPr>
        <w:tc>
          <w:tcPr>
            <w:tcW w:w="4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During the nine months ended September 30, 2021, cash provided by operating activities was $2.9 million, which consisted of net income of $0.7 million, cash provided by non-cash charges of $3.9 million and changes of net operating assets and liabilities of $1.6 million. The non-cash charges primarily consisted of stock-based compensation of $2.5 million, depreciation and amortization of $1.1 million, and interest expense related to the amortization of debt issuance costs of $0.3 million. The use of cash due to the change in our net operating assets and liabilities was primarily due to an increase in accounts receivable of $3.0 million due to timing of cash receipts for outstanding balances, an increase of $0.9 million in inventory due to increased inventory levels, and an increase of $0.1 million in prepaid expenses and other current assets. These uses were partially offset by an increase in deferred revenue of $1.4 million, an increase of $0.7 million in accrued liabilities due to the timing of payments, and an increase in accounts payable of $0.7 million.</w:t>
      </w:r>
    </w:p>
    <w:p>
      <w:pPr>
        <w:spacing w:after="0" w:line="166"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During the nine months ended September 30, 2020, cash used in operating activities was $3.5 million, which consisted of a net loss of $6.9 million, adjusted by non-cash charges of $6.2 million and a change of $2.8 million in our net operating assets and liabilities. The non-cash charges primarily consisted of stock-based compensation of $2.6 million, depreciation and amortization of $1.6 million, write down of obsolete inventory of $1.7 million, and interest expense related to the amortization of debt issuance costs of $0.2 million. The use of cash due to the change in our net operating assets and liabilities was primarily due to an increase of $2.4 million in accounts receivable due to timing of cash receipts for outstanding balances and a decrease of $0.7 million in accounts payable and accrued liabilities due to the timing of payments. These changes were partially offset by a $0.4 million decrease in prepaid expenses and other current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399"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2021 and 2020 was $0.6 million and $0.3 million, respectively,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used in financing activities during the nine months ended September 30, 2021 was $2.4 million, consisting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$2.8 million of payments of term loan installments, partially offset by $0.4 million in proceeds from stock option exercises.</w:t>
      </w:r>
    </w:p>
    <w:p>
      <w:pPr>
        <w:spacing w:after="0" w:line="234"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2020 was $3.3 million, consisting of $2.1 million net proceeds from the sale of our common stock in our ATM offering under our 2019 Sales Agreement with Jefferies and $1.2 million in proceeds from stock option exercises and purchase of shares in our employee stock purchase plan.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2020, filed with the SEC on March 4, 2021,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Our management, including our Interim Chief Executive Officer (CEO) and Chief Financial Officer (CFO), evaluated the effectiveness of the design and operation of our disclosure controls and procedures (as defined in Rules 13a-15(e) and 15d-15(e) under the Exchange Act), as of September 30, 2021, the end of the period covered by this quarterly report on Form 10-Q.</w:t>
      </w:r>
    </w:p>
    <w:p>
      <w:pPr>
        <w:spacing w:after="0" w:line="187"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Based on this evaluation, our Interim CEO and CFO concluded that our disclosure controls and procedures were effective at the reasonable assurance level as of September 30, 2021, with the exception of the ongoing material weakness discussed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(as defined in Rules 13a-15(f) and 15d-15(f) under the Exchange Act) such that there is a reasonable possibility that a material misstatement of the annual or interim financial statements will not be prevented or detected on a timely basis. In connection with the preparation of our audited annual financial statements for the year ended December 31, 2020, we determined our controls around inventory, including unit reconciliations and communication protocols between operations and accounting were not sufficiently designed to prevent and detect a material misstatement. This error was the result of a material weakness in our internal control over financial reporting, which we are in process of remediating as of September 30, 2021 through the plan outlined below.</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steps taken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have taken the following actions:</w:t>
      </w:r>
    </w:p>
    <w:p>
      <w:pPr>
        <w:spacing w:after="0" w:line="225" w:lineRule="exact"/>
        <w:rPr>
          <w:sz w:val="20"/>
          <w:szCs w:val="20"/>
          <w:color w:val="auto"/>
        </w:rPr>
      </w:pPr>
    </w:p>
    <w:p>
      <w:pPr>
        <w:ind w:left="640" w:right="99" w:hanging="245"/>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updated our information technology tools, including implementing a new ERP system as of January 1, 2020, to enhance our ability to monitor inventory and its movement through our manufacturing process and to provide checks and balances to third-party reports.</w:t>
      </w:r>
    </w:p>
    <w:p>
      <w:pPr>
        <w:spacing w:after="0" w:line="183"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640" w:right="57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established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3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provided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640" w:right="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left="40" w:right="339" w:firstLine="324"/>
        <w:spacing w:after="0" w:line="257" w:lineRule="auto"/>
        <w:rPr>
          <w:sz w:val="20"/>
          <w:szCs w:val="20"/>
          <w:color w:val="auto"/>
        </w:rPr>
      </w:pPr>
      <w:r>
        <w:rPr>
          <w:rFonts w:ascii="Arial" w:cs="Arial" w:eastAsia="Arial" w:hAnsi="Arial"/>
          <w:sz w:val="18"/>
          <w:szCs w:val="18"/>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Except with respect to the remediation efforts described above, there have been no changes in our internal control over financial reporting that occurred during the three months ended September 30, 2021 that have materially affected, or are reasonably likely to materially affect, our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80" w:lineRule="exact"/>
        <w:rPr>
          <w:sz w:val="20"/>
          <w:szCs w:val="20"/>
          <w:color w:val="auto"/>
        </w:rPr>
      </w:pPr>
    </w:p>
    <w:p>
      <w:pPr>
        <w:ind w:left="640" w:right="29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640" w:right="43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which may continue in the future, and we cannot be certain that we will achieve or sustain profitability.</w:t>
      </w:r>
    </w:p>
    <w:p>
      <w:pPr>
        <w:spacing w:after="0" w:line="62" w:lineRule="exact"/>
        <w:rPr>
          <w:rFonts w:ascii="Arial" w:cs="Arial" w:eastAsia="Arial" w:hAnsi="Arial"/>
          <w:sz w:val="18"/>
          <w:szCs w:val="18"/>
          <w:color w:val="auto"/>
        </w:rPr>
      </w:pPr>
    </w:p>
    <w:p>
      <w:pPr>
        <w:ind w:left="640" w:right="259" w:hanging="245"/>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0" w:lineRule="exact"/>
        <w:rPr>
          <w:rFonts w:ascii="Arial" w:cs="Arial" w:eastAsia="Arial" w:hAnsi="Arial"/>
          <w:sz w:val="16"/>
          <w:szCs w:val="16"/>
          <w:color w:val="auto"/>
        </w:rPr>
      </w:pPr>
    </w:p>
    <w:p>
      <w:pPr>
        <w:ind w:left="640" w:right="7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640" w:right="15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75" w:lineRule="exact"/>
        <w:rPr>
          <w:rFonts w:ascii="Arial" w:cs="Arial" w:eastAsia="Arial" w:hAnsi="Arial"/>
          <w:sz w:val="18"/>
          <w:szCs w:val="18"/>
          <w:color w:val="auto"/>
        </w:rPr>
      </w:pPr>
    </w:p>
    <w:p>
      <w:pPr>
        <w:ind w:left="640" w:right="79" w:hanging="245"/>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we expand into new potential markets, we expect to face intense competition, including from our customers and potential customers, and may not be able to compete effectively, which could harm our business.</w:t>
      </w:r>
    </w:p>
    <w:p>
      <w:pPr>
        <w:spacing w:after="0" w:line="38" w:lineRule="exact"/>
        <w:rPr>
          <w:rFonts w:ascii="Arial" w:cs="Arial" w:eastAsia="Arial" w:hAnsi="Arial"/>
          <w:sz w:val="17"/>
          <w:szCs w:val="17"/>
          <w:color w:val="auto"/>
        </w:rPr>
      </w:pPr>
    </w:p>
    <w:p>
      <w:pPr>
        <w:jc w:val="both"/>
        <w:ind w:left="640" w:right="13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75"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 may adversely impact our ability to fulfill customer demand which, in turn, may adversely impact our business, results of operations and financial condition.</w:t>
      </w:r>
    </w:p>
    <w:p>
      <w:pPr>
        <w:spacing w:after="0" w:line="62" w:lineRule="exact"/>
        <w:rPr>
          <w:rFonts w:ascii="Arial" w:cs="Arial" w:eastAsia="Arial" w:hAnsi="Arial"/>
          <w:sz w:val="18"/>
          <w:szCs w:val="18"/>
          <w:color w:val="auto"/>
        </w:rPr>
      </w:pPr>
    </w:p>
    <w:p>
      <w:pPr>
        <w:ind w:left="640" w:hanging="24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640" w:right="2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semiconductor memory products is characterized by declines in average selling prices, which we expect to continue, and which could negatively affect our revenue and margins.</w:t>
      </w:r>
    </w:p>
    <w:p>
      <w:pPr>
        <w:spacing w:after="0" w:line="62" w:lineRule="exact"/>
        <w:rPr>
          <w:rFonts w:ascii="Arial" w:cs="Arial" w:eastAsia="Arial" w:hAnsi="Arial"/>
          <w:sz w:val="18"/>
          <w:szCs w:val="18"/>
          <w:color w:val="auto"/>
        </w:rPr>
      </w:pPr>
    </w:p>
    <w:p>
      <w:pPr>
        <w:ind w:left="640" w:right="21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right="459" w:hanging="245"/>
        <w:spacing w:after="0" w:line="31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640" w:right="57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pacing w:after="0" w:line="62" w:lineRule="exact"/>
        <w:rPr>
          <w:rFonts w:ascii="Arial" w:cs="Arial" w:eastAsia="Arial" w:hAnsi="Arial"/>
          <w:sz w:val="18"/>
          <w:szCs w:val="18"/>
          <w:color w:val="auto"/>
        </w:rPr>
      </w:pPr>
    </w:p>
    <w:p>
      <w:pPr>
        <w:ind w:left="640" w:right="13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640" w:right="15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640" w:right="159" w:hanging="245"/>
        <w:spacing w:after="0" w:line="26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75" w:lineRule="exact"/>
        <w:rPr>
          <w:rFonts w:ascii="Arial" w:cs="Arial" w:eastAsia="Arial" w:hAnsi="Arial"/>
          <w:sz w:val="18"/>
          <w:szCs w:val="18"/>
          <w:color w:val="auto"/>
        </w:rPr>
      </w:pPr>
    </w:p>
    <w:p>
      <w:pPr>
        <w:ind w:left="640" w:right="45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of the United States which exposes us to significant risks.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Our total revenue was approximately $36.9 million for the nine months ended September 30, 2021, and $42.0 million for the year ended December 31, 2020. As of September 30, 2021, we had cash and cash equivalents of approximately $14.6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8"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40" w:right="59" w:firstLine="324"/>
        <w:spacing w:after="0" w:line="296" w:lineRule="auto"/>
        <w:rPr>
          <w:sz w:val="20"/>
          <w:szCs w:val="20"/>
          <w:color w:val="auto"/>
        </w:rPr>
      </w:pPr>
      <w:r>
        <w:rPr>
          <w:rFonts w:ascii="Arial" w:cs="Arial" w:eastAsia="Arial" w:hAnsi="Arial"/>
          <w:sz w:val="16"/>
          <w:szCs w:val="16"/>
          <w:color w:val="auto"/>
        </w:rPr>
        <w:t>Although we generated net income of $0.9 million for the nine months ended September 30, 2021, we have historically incurred net losses since our inception. For the year ended December 31, 2020, we incurred a net loss of $8.5 million. As of September 30, 2021, we had an accumulated deficit of $156.5 million. While our products offer unique benefits over other industry memory technologies, the rate of adoption of our products and our ability to capture market share from legacy technologies is uncertain. Our revenue may also be adversely impacted by a number of other possible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reasons, many of which are outside our control, including business conditions that adversely affect the semiconductor memory industry resulting in a decline in end market demand for our products, adverse impacts resulting from the COVID-19 pandemic, increased competition,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spacing w:after="0" w:line="188"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49"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COVID-19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Delta variant, that are significantly more contagious than previous strains have emerged. The spread of these new strains are causing many government authorities and businesses to reimplement the aforementioned measures to try to reduce the spread that had become less prevalent. The COVID-19 pandemic and its variants have negatively impacted the global economy, disrupted global supply chains and workforce participation, and initially created significant volatility and disruption of financial markets.</w:t>
      </w:r>
    </w:p>
    <w:p>
      <w:pPr>
        <w:spacing w:after="0" w:line="172" w:lineRule="exact"/>
        <w:rPr>
          <w:sz w:val="20"/>
          <w:szCs w:val="20"/>
          <w:color w:val="auto"/>
        </w:rPr>
      </w:pPr>
    </w:p>
    <w:p>
      <w:pPr>
        <w:ind w:left="40" w:right="139" w:firstLine="324"/>
        <w:spacing w:after="0" w:line="271" w:lineRule="auto"/>
        <w:rPr>
          <w:sz w:val="20"/>
          <w:szCs w:val="20"/>
          <w:color w:val="auto"/>
        </w:rPr>
      </w:pPr>
      <w:r>
        <w:rPr>
          <w:rFonts w:ascii="Arial" w:cs="Arial" w:eastAsia="Arial" w:hAnsi="Arial"/>
          <w:sz w:val="17"/>
          <w:szCs w:val="17"/>
          <w:color w:val="auto"/>
        </w:rPr>
        <w:t>As a result of the COVID-19 pandemic and the related responses from government authorities, our business, results of operations and financial condition have been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w:t>
      </w:r>
    </w:p>
    <w:p>
      <w:pPr>
        <w:spacing w:after="0" w:line="178"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59" w:hanging="321"/>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183" w:lineRule="exact"/>
        <w:rPr>
          <w:rFonts w:ascii="Arial" w:cs="Arial" w:eastAsia="Arial" w:hAnsi="Arial"/>
          <w:sz w:val="18"/>
          <w:szCs w:val="18"/>
          <w:color w:val="auto"/>
        </w:rPr>
      </w:pPr>
    </w:p>
    <w:p>
      <w:pPr>
        <w:ind w:left="1040" w:right="2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225" w:lineRule="exact"/>
        <w:rPr>
          <w:rFonts w:ascii="Arial" w:cs="Arial" w:eastAsia="Arial" w:hAnsi="Arial"/>
          <w:sz w:val="18"/>
          <w:szCs w:val="18"/>
          <w:color w:val="auto"/>
        </w:rPr>
      </w:pPr>
    </w:p>
    <w:p>
      <w:pPr>
        <w:ind w:left="1040" w:right="23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slowdowns, stoppages or other limitations in the supply chain for our products, in addition to higher costs, such as due to suppliers raising prices;</w:t>
      </w:r>
    </w:p>
    <w:p>
      <w:pPr>
        <w:spacing w:after="0" w:line="170" w:lineRule="exact"/>
        <w:rPr>
          <w:rFonts w:ascii="Arial" w:cs="Arial" w:eastAsia="Arial" w:hAnsi="Arial"/>
          <w:sz w:val="18"/>
          <w:szCs w:val="18"/>
          <w:color w:val="auto"/>
        </w:rPr>
      </w:pPr>
    </w:p>
    <w:p>
      <w:pPr>
        <w:ind w:left="1040" w:right="359" w:hanging="321"/>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limitations on employee resources and availability, including due to sickness, government restrictions, the desire of employees to avoid contact with large groups of people or mass transit disruptions;</w:t>
      </w:r>
    </w:p>
    <w:p>
      <w:pPr>
        <w:spacing w:after="0" w:line="123" w:lineRule="exact"/>
        <w:rPr>
          <w:rFonts w:ascii="Arial" w:cs="Arial" w:eastAsia="Arial" w:hAnsi="Arial"/>
          <w:sz w:val="16"/>
          <w:szCs w:val="16"/>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248" w:lineRule="exact"/>
        <w:rPr>
          <w:rFonts w:ascii="Arial" w:cs="Arial" w:eastAsia="Arial" w:hAnsi="Arial"/>
          <w:sz w:val="16"/>
          <w:szCs w:val="16"/>
          <w:color w:val="auto"/>
        </w:rPr>
      </w:pPr>
    </w:p>
    <w:p>
      <w:pPr>
        <w:ind w:left="1040" w:right="1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279" w:firstLine="324"/>
        <w:spacing w:after="0" w:line="263" w:lineRule="auto"/>
        <w:rPr>
          <w:sz w:val="20"/>
          <w:szCs w:val="20"/>
          <w:color w:val="auto"/>
        </w:rPr>
      </w:pPr>
      <w:r>
        <w:rPr>
          <w:rFonts w:ascii="Arial" w:cs="Arial" w:eastAsia="Arial" w:hAnsi="Arial"/>
          <w:sz w:val="18"/>
          <w:szCs w:val="18"/>
          <w:color w:val="auto"/>
        </w:rPr>
        <w:t>The emergence of the significantly more contagious Delta variant of COVID-19 and the prevalence of breakthrough cases of infection among fully vaccinated people adds additional uncertainty and could result in further impacts to our business and operations, including those discussed above.</w:t>
      </w:r>
    </w:p>
    <w:p>
      <w:pPr>
        <w:spacing w:after="0" w:line="184"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40" w:right="139" w:firstLine="324"/>
        <w:spacing w:after="0" w:line="270" w:lineRule="auto"/>
        <w:rPr>
          <w:sz w:val="20"/>
          <w:szCs w:val="20"/>
          <w:color w:val="auto"/>
        </w:rPr>
      </w:pPr>
      <w:r>
        <w:rPr>
          <w:rFonts w:ascii="Arial" w:cs="Arial" w:eastAsia="Arial" w:hAnsi="Arial"/>
          <w:sz w:val="17"/>
          <w:szCs w:val="17"/>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including the Delta variant; the actions to contain the virus or treat its impact, such as the availability and efficacy of vaccines (particularly with respect to emerging strains of the virus) and potential hesitancy to utilize them; general economic factors, such as increased inflation; supply chain restraints; labor supply issues; and how quickly and to what extent normal economic and operating conditions can resume.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57"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spacing w:after="0" w:line="184"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color w:val="auto"/>
        </w:rPr>
        <w:t>obsolete inventory levels could result in unexpected expenses or write-downs of inventory values that could adversely affect our business, operating results and financial condition.</w:t>
      </w:r>
    </w:p>
    <w:p>
      <w:pPr>
        <w:spacing w:after="0" w:line="170"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9"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hanging="252"/>
        <w:spacing w:after="0" w:line="263"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 or supply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increases in prices including due to inflation.</w:t>
      </w:r>
    </w:p>
    <w:p>
      <w:pPr>
        <w:spacing w:after="0" w:line="225" w:lineRule="exact"/>
        <w:rPr>
          <w:sz w:val="20"/>
          <w:szCs w:val="20"/>
          <w:color w:val="auto"/>
        </w:rPr>
      </w:pPr>
    </w:p>
    <w:p>
      <w:pPr>
        <w:ind w:left="40" w:right="79" w:firstLine="324"/>
        <w:spacing w:after="0" w:line="308" w:lineRule="auto"/>
        <w:rPr>
          <w:sz w:val="20"/>
          <w:szCs w:val="20"/>
          <w:color w:val="auto"/>
        </w:rPr>
      </w:pPr>
      <w:r>
        <w:rPr>
          <w:rFonts w:ascii="Arial" w:cs="Arial" w:eastAsia="Arial" w:hAnsi="Arial"/>
          <w:sz w:val="17"/>
          <w:szCs w:val="17"/>
          <w:color w:val="auto"/>
        </w:rPr>
        <w:t>Our manufacturing agreement with GLOBALFOUNDRIES includes a customary forecast and ordering mechanism for the supply of certain of our wafers, and we are obligated to order and pay for, and GLOBALFOUNDRIES is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53" w:lineRule="auto"/>
        <w:rPr>
          <w:sz w:val="20"/>
          <w:szCs w:val="20"/>
          <w:color w:val="auto"/>
        </w:rPr>
      </w:pPr>
      <w:r>
        <w:rPr>
          <w:rFonts w:ascii="Arial" w:cs="Arial" w:eastAsia="Arial" w:hAnsi="Arial"/>
          <w:sz w:val="18"/>
          <w:szCs w:val="18"/>
          <w:color w:val="auto"/>
        </w:rPr>
        <w:t>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92"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2"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Disruptions in our supply chain may adversely impact our ability to fulfill customer demand which, in turn, may adversely impact our business, results of operations and financial condition.</w:t>
      </w:r>
    </w:p>
    <w:p>
      <w:pPr>
        <w:spacing w:after="0" w:line="170" w:lineRule="exact"/>
        <w:rPr>
          <w:sz w:val="20"/>
          <w:szCs w:val="20"/>
          <w:color w:val="auto"/>
        </w:rPr>
      </w:pPr>
    </w:p>
    <w:p>
      <w:pPr>
        <w:ind w:left="40" w:right="339" w:firstLine="324"/>
        <w:spacing w:after="0" w:line="257" w:lineRule="auto"/>
        <w:rPr>
          <w:sz w:val="20"/>
          <w:szCs w:val="20"/>
          <w:color w:val="auto"/>
        </w:rPr>
      </w:pPr>
      <w:r>
        <w:rPr>
          <w:rFonts w:ascii="Arial" w:cs="Arial" w:eastAsia="Arial" w:hAnsi="Arial"/>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or other supply disruption were to occur, including as a result of the COVID-19 pandemic, at any of our main suppliers.</w:t>
      </w:r>
    </w:p>
    <w:p>
      <w:pPr>
        <w:spacing w:after="0" w:line="188"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In particular, the post-COVID-19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hanging="252"/>
        <w:spacing w:after="0" w:line="263"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20" w:right="29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25" w:lineRule="exact"/>
        <w:rPr>
          <w:rFonts w:ascii="Arial" w:cs="Arial" w:eastAsia="Arial" w:hAnsi="Arial"/>
          <w:sz w:val="18"/>
          <w:szCs w:val="18"/>
          <w:color w:val="auto"/>
        </w:rPr>
      </w:pPr>
    </w:p>
    <w:p>
      <w:pPr>
        <w:ind w:left="620" w:right="7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4"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2" w:lineRule="exact"/>
        <w:rPr>
          <w:sz w:val="20"/>
          <w:szCs w:val="20"/>
          <w:color w:val="auto"/>
        </w:rPr>
      </w:pPr>
    </w:p>
    <w:p>
      <w:pPr>
        <w:ind w:left="4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2"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44% of our total revenue for the nine months ended September 30, 2021, and one of these customers accounted for more than 10% of our revenue during that period. Our four largest end customers together accounted for 45% of our total revenue for the year ended December 31, 2020,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419" w:firstLine="324"/>
        <w:spacing w:after="0" w:line="301"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95"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pacing w:after="0" w:line="165" w:lineRule="exact"/>
        <w:rPr>
          <w:sz w:val="20"/>
          <w:szCs w:val="20"/>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1"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95" w:lineRule="exact"/>
        <w:rPr>
          <w:sz w:val="20"/>
          <w:szCs w:val="20"/>
          <w:color w:val="auto"/>
        </w:rPr>
      </w:pPr>
    </w:p>
    <w:p>
      <w:pPr>
        <w:jc w:val="both"/>
        <w:ind w:left="620" w:right="599" w:hanging="252"/>
        <w:spacing w:after="0" w:line="263"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rFonts w:ascii="Arial" w:cs="Arial" w:eastAsia="Arial" w:hAnsi="Arial"/>
          <w:sz w:val="18"/>
          <w:szCs w:val="18"/>
          <w:color w:val="auto"/>
        </w:rPr>
      </w:pPr>
    </w:p>
    <w:p>
      <w:pPr>
        <w:ind w:left="620" w:right="139" w:hanging="252"/>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119" w:hanging="252"/>
        <w:spacing w:after="0" w:line="259" w:lineRule="auto"/>
        <w:tabs>
          <w:tab w:leader="none" w:pos="6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may not successfully manage the transitions associated with certain of our executive officers, which could have an adverse impact on us.</w:t>
      </w:r>
    </w:p>
    <w:p>
      <w:pPr>
        <w:spacing w:after="0" w:line="170" w:lineRule="exact"/>
        <w:rPr>
          <w:sz w:val="20"/>
          <w:szCs w:val="20"/>
          <w:color w:val="auto"/>
        </w:rPr>
      </w:pPr>
    </w:p>
    <w:p>
      <w:pPr>
        <w:ind w:left="40" w:right="379" w:firstLine="324"/>
        <w:spacing w:after="0" w:line="301" w:lineRule="auto"/>
        <w:rPr>
          <w:sz w:val="20"/>
          <w:szCs w:val="20"/>
          <w:color w:val="auto"/>
        </w:rPr>
      </w:pPr>
      <w:r>
        <w:rPr>
          <w:rFonts w:ascii="Arial" w:cs="Arial" w:eastAsia="Arial" w:hAnsi="Arial"/>
          <w:sz w:val="16"/>
          <w:szCs w:val="16"/>
          <w:color w:val="auto"/>
        </w:rPr>
        <w:t>In December 2020, Kevin Conley notified our board of directors of his decision to resign as President and Chief Executive Officer of the Company. In connection with Mr. Conley’s resignation, our board of directors appointed Darin Billerbeck to serve as Interim Chief Executive Officer of the Company until a permanent successor can be named. Our board of directors intends to initiate a search process to select the Company’s next Chief Executive Officer.</w:t>
      </w:r>
    </w:p>
    <w:p>
      <w:pPr>
        <w:spacing w:after="0" w:line="157" w:lineRule="exact"/>
        <w:rPr>
          <w:sz w:val="20"/>
          <w:szCs w:val="20"/>
          <w:color w:val="auto"/>
        </w:rPr>
      </w:pPr>
    </w:p>
    <w:p>
      <w:pPr>
        <w:ind w:left="40" w:right="119" w:firstLine="324"/>
        <w:spacing w:after="0" w:line="254" w:lineRule="auto"/>
        <w:rPr>
          <w:sz w:val="20"/>
          <w:szCs w:val="20"/>
          <w:color w:val="auto"/>
        </w:rPr>
      </w:pPr>
      <w:r>
        <w:rPr>
          <w:rFonts w:ascii="Arial" w:cs="Arial" w:eastAsia="Arial" w:hAnsi="Arial"/>
          <w:sz w:val="18"/>
          <w:szCs w:val="18"/>
          <w:color w:val="auto"/>
        </w:rPr>
        <w:t>Although our board of directors is confident in the interim leadership of Mr. Billerbeck, leadership transitions can be inherently difficult to manage. An inadequate transition to a permanent Chief Executive Officer or with respect to other executive officer transitions, including the appointment of Anuj Aggarwal as the Company’s permanent Chief Financial Officer in September 2021 may cause disruption within the Company. In addition, if we are unable to attract and retain a qualified candidate to become the permanent Chief Executive Officer or in a timely manner, our financial performance and ability to meet operational goals and strategic plans may be adversely impacted. This may also impact our ability to retain and hire other key members of management.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219" w:firstLine="324"/>
        <w:spacing w:after="0" w:line="311"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59"/>
        <w:spacing w:after="0" w:line="290" w:lineRule="auto"/>
        <w:rPr>
          <w:sz w:val="20"/>
          <w:szCs w:val="20"/>
          <w:color w:val="auto"/>
        </w:rPr>
      </w:pPr>
      <w:r>
        <w:rPr>
          <w:rFonts w:ascii="Arial" w:cs="Arial" w:eastAsia="Arial" w:hAnsi="Arial"/>
          <w:sz w:val="16"/>
          <w:szCs w:val="16"/>
          <w:color w:val="auto"/>
        </w:rPr>
        <w:t>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65"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6"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519" w:firstLine="324"/>
        <w:spacing w:after="0" w:line="311"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68"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7"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2020, we had gross federal net operating loss carryforwards of approximately $140.5 million, of which $99.7 million will expire in 2028 through 2037 if not utilized, and $40.8 million will carryover indefinitely. As of December 31, 2020, we had state net operating loss carryforwards of approximately $54.1 million, of which $51.5 million will expire in 2023 through 2040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119" w:hanging="252"/>
        <w:spacing w:after="0" w:line="277"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20" w:right="559" w:hanging="252"/>
        <w:spacing w:after="0" w:line="263"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7" w:lineRule="exact"/>
        <w:rPr>
          <w:rFonts w:ascii="Arial" w:cs="Arial" w:eastAsia="Arial" w:hAnsi="Arial"/>
          <w:sz w:val="18"/>
          <w:szCs w:val="18"/>
          <w:color w:val="auto"/>
        </w:rPr>
      </w:pPr>
    </w:p>
    <w:p>
      <w:pPr>
        <w:ind w:left="620" w:right="219" w:hanging="252"/>
        <w:spacing w:after="0" w:line="279" w:lineRule="auto"/>
        <w:tabs>
          <w:tab w:leader="none" w:pos="6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3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derivative action or proceeding brought on our behalf;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99" w:hanging="252"/>
        <w:spacing w:after="0" w:line="258"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spacing w:after="0" w:line="1" w:lineRule="exact"/>
        <w:rPr>
          <w:rFonts w:ascii="Arial" w:cs="Arial" w:eastAsia="Arial" w:hAnsi="Arial"/>
          <w:sz w:val="18"/>
          <w:szCs w:val="18"/>
          <w:color w:val="auto"/>
        </w:rPr>
      </w:pPr>
    </w:p>
    <w:p>
      <w:pPr>
        <w:ind w:left="620" w:right="399" w:hanging="252"/>
        <w:spacing w:after="0" w:line="250" w:lineRule="auto"/>
        <w:tabs>
          <w:tab w:leader="none" w:pos="6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tax rates and policy, unemployment trends, the impact of natural disasters such as pandemics, civil disturbances, and terrorist activities may adversely impact consumer spending, which may adversely impact our customers’ spending and demand for our products.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2"/>
              </w:rPr>
              <w:t>Incorporation By Reference</w:t>
            </w:r>
          </w:p>
        </w:tc>
        <w:tc>
          <w:tcPr>
            <w:tcW w:w="740" w:type="dxa"/>
            <w:vAlign w:val="bottom"/>
            <w:tcBorders>
              <w:bottom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gridSpan w:val="25"/>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97"/>
              </w:rPr>
              <w:t>Form</w:t>
            </w:r>
          </w:p>
        </w:tc>
        <w:tc>
          <w:tcPr>
            <w:tcW w:w="17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SEC File No.</w:t>
            </w:r>
          </w:p>
        </w:tc>
        <w:tc>
          <w:tcPr>
            <w:tcW w:w="74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Exhibit/</w:t>
            </w:r>
          </w:p>
        </w:tc>
        <w:tc>
          <w:tcPr>
            <w:tcW w:w="15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7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5"/>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Reference</w:t>
            </w:r>
          </w:p>
        </w:tc>
        <w:tc>
          <w:tcPr>
            <w:tcW w:w="1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100"/>
              <w:spacing w:after="0" w:line="169" w:lineRule="exact"/>
              <w:rPr>
                <w:sz w:val="20"/>
                <w:szCs w:val="20"/>
                <w:color w:val="auto"/>
              </w:rPr>
            </w:pPr>
            <w:r>
              <w:rPr>
                <w:rFonts w:ascii="Arial" w:cs="Arial" w:eastAsia="Arial" w:hAnsi="Arial"/>
                <w:sz w:val="18"/>
                <w:szCs w:val="18"/>
                <w:color w:val="auto"/>
              </w:rPr>
              <w:t>3.1</w:t>
            </w:r>
          </w:p>
        </w:tc>
        <w:tc>
          <w:tcPr>
            <w:tcW w:w="2880" w:type="dxa"/>
            <w:vAlign w:val="bottom"/>
            <w:gridSpan w:val="26"/>
          </w:tcPr>
          <w:p>
            <w:pPr>
              <w:spacing w:after="0" w:line="169" w:lineRule="exact"/>
              <w:rPr>
                <w:rFonts w:ascii="Arial" w:cs="Arial" w:eastAsia="Arial" w:hAnsi="Arial"/>
                <w:sz w:val="18"/>
                <w:szCs w:val="18"/>
                <w:color w:val="0000EE"/>
              </w:rPr>
            </w:pPr>
            <w:hyperlink r:id="rId68">
              <w:r>
                <w:rPr>
                  <w:rFonts w:ascii="Arial" w:cs="Arial" w:eastAsia="Arial" w:hAnsi="Arial"/>
                  <w:sz w:val="18"/>
                  <w:szCs w:val="18"/>
                  <w:color w:val="0000EE"/>
                </w:rPr>
                <w:t>Amended and Restated Certificate</w:t>
              </w:r>
            </w:hyperlink>
          </w:p>
        </w:tc>
        <w:tc>
          <w:tcPr>
            <w:tcW w:w="680" w:type="dxa"/>
            <w:vAlign w:val="bottom"/>
          </w:tcPr>
          <w:p>
            <w:pPr>
              <w:jc w:val="center"/>
              <w:ind w:left="72"/>
              <w:spacing w:after="0" w:line="169" w:lineRule="exact"/>
              <w:rPr>
                <w:sz w:val="20"/>
                <w:szCs w:val="20"/>
                <w:color w:val="auto"/>
              </w:rPr>
            </w:pPr>
            <w:r>
              <w:rPr>
                <w:rFonts w:ascii="Arial" w:cs="Arial" w:eastAsia="Arial" w:hAnsi="Arial"/>
                <w:sz w:val="18"/>
                <w:szCs w:val="18"/>
                <w:color w:val="auto"/>
                <w:w w:val="99"/>
              </w:rPr>
              <w:t>8-K</w:t>
            </w:r>
          </w:p>
        </w:tc>
        <w:tc>
          <w:tcPr>
            <w:tcW w:w="1780" w:type="dxa"/>
            <w:vAlign w:val="bottom"/>
          </w:tcPr>
          <w:p>
            <w:pPr>
              <w:ind w:left="560"/>
              <w:spacing w:after="0" w:line="169" w:lineRule="exact"/>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line="169" w:lineRule="exact"/>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172"/>
              <w:spacing w:after="0" w:line="169"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4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of Incorporation</w:t>
              </w:r>
            </w:hyperlink>
          </w:p>
        </w:tc>
        <w:tc>
          <w:tcPr>
            <w:tcW w:w="4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ind w:left="100"/>
              <w:spacing w:after="0" w:line="196" w:lineRule="exact"/>
              <w:rPr>
                <w:sz w:val="20"/>
                <w:szCs w:val="20"/>
                <w:color w:val="auto"/>
              </w:rPr>
            </w:pPr>
            <w:r>
              <w:rPr>
                <w:rFonts w:ascii="Arial" w:cs="Arial" w:eastAsia="Arial" w:hAnsi="Arial"/>
                <w:sz w:val="18"/>
                <w:szCs w:val="18"/>
                <w:color w:val="auto"/>
              </w:rPr>
              <w:t>3.1.1</w:t>
            </w:r>
          </w:p>
        </w:tc>
        <w:tc>
          <w:tcPr>
            <w:tcW w:w="21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 xml:space="preserve">Amendment </w:t>
              </w:r>
              <w:r>
                <w:rPr>
                  <w:rFonts w:ascii="Arial" w:cs="Arial" w:eastAsia="Arial" w:hAnsi="Arial"/>
                  <w:sz w:val="18"/>
                  <w:szCs w:val="18"/>
                  <w:color w:val="0000EE"/>
                  <w:highlight w:val="white"/>
                  <w:w w:val="89"/>
                </w:rPr>
                <w:t>to Amended and</w:t>
              </w:r>
            </w:hyperlink>
          </w:p>
        </w:tc>
        <w:tc>
          <w:tcPr>
            <w:tcW w:w="760" w:type="dxa"/>
            <w:vAlign w:val="bottom"/>
            <w:gridSpan w:val="14"/>
          </w:tcPr>
          <w:p>
            <w:pPr>
              <w:spacing w:after="0"/>
              <w:rPr>
                <w:sz w:val="17"/>
                <w:szCs w:val="17"/>
                <w:color w:val="auto"/>
              </w:rPr>
            </w:pPr>
          </w:p>
        </w:tc>
        <w:tc>
          <w:tcPr>
            <w:tcW w:w="680" w:type="dxa"/>
            <w:vAlign w:val="bottom"/>
          </w:tcPr>
          <w:p>
            <w:pPr>
              <w:jc w:val="center"/>
              <w:ind w:left="72"/>
              <w:spacing w:after="0" w:line="196" w:lineRule="exact"/>
              <w:rPr>
                <w:sz w:val="20"/>
                <w:szCs w:val="20"/>
                <w:color w:val="auto"/>
              </w:rPr>
            </w:pPr>
            <w:r>
              <w:rPr>
                <w:rFonts w:ascii="Arial" w:cs="Arial" w:eastAsia="Arial" w:hAnsi="Arial"/>
                <w:sz w:val="18"/>
                <w:szCs w:val="18"/>
                <w:color w:val="auto"/>
                <w:w w:val="99"/>
              </w:rPr>
              <w:t>8-K</w:t>
            </w:r>
          </w:p>
        </w:tc>
        <w:tc>
          <w:tcPr>
            <w:tcW w:w="1780" w:type="dxa"/>
            <w:vAlign w:val="bottom"/>
          </w:tcPr>
          <w:p>
            <w:pPr>
              <w:ind w:left="560"/>
              <w:spacing w:after="0" w:line="196" w:lineRule="exact"/>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line="196" w:lineRule="exact"/>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172"/>
              <w:spacing w:after="0" w:line="196" w:lineRule="exact"/>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Restated Certificate of</w:t>
              </w:r>
            </w:hyperlink>
          </w:p>
        </w:tc>
        <w:tc>
          <w:tcPr>
            <w:tcW w:w="126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Incorporation</w:t>
              </w:r>
            </w:hyperlink>
          </w:p>
        </w:tc>
        <w:tc>
          <w:tcPr>
            <w:tcW w:w="190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Amendment to Amended and</w:t>
              </w:r>
            </w:hyperlink>
          </w:p>
        </w:tc>
        <w:tc>
          <w:tcPr>
            <w:tcW w:w="760" w:type="dxa"/>
            <w:vAlign w:val="bottom"/>
            <w:gridSpan w:val="14"/>
          </w:tcPr>
          <w:p>
            <w:pPr>
              <w:spacing w:after="0"/>
              <w:rPr>
                <w:sz w:val="24"/>
                <w:szCs w:val="24"/>
                <w:color w:val="auto"/>
              </w:rPr>
            </w:pPr>
          </w:p>
        </w:tc>
        <w:tc>
          <w:tcPr>
            <w:tcW w:w="680" w:type="dxa"/>
            <w:vAlign w:val="bottom"/>
          </w:tcPr>
          <w:p>
            <w:pPr>
              <w:jc w:val="center"/>
              <w:ind w:left="72"/>
              <w:spacing w:after="0"/>
              <w:rPr>
                <w:sz w:val="20"/>
                <w:szCs w:val="20"/>
                <w:color w:val="auto"/>
              </w:rPr>
            </w:pPr>
            <w:r>
              <w:rPr>
                <w:rFonts w:ascii="Arial" w:cs="Arial" w:eastAsia="Arial" w:hAnsi="Arial"/>
                <w:sz w:val="18"/>
                <w:szCs w:val="18"/>
                <w:color w:val="auto"/>
                <w:w w:val="99"/>
              </w:rPr>
              <w:t>8-K</w:t>
            </w:r>
          </w:p>
        </w:tc>
        <w:tc>
          <w:tcPr>
            <w:tcW w:w="1780" w:type="dxa"/>
            <w:vAlign w:val="bottom"/>
          </w:tcPr>
          <w:p>
            <w:pPr>
              <w:ind w:left="560"/>
              <w:spacing w:after="0"/>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172"/>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Restated Certificate of</w:t>
              </w:r>
            </w:hyperlink>
          </w:p>
        </w:tc>
        <w:tc>
          <w:tcPr>
            <w:tcW w:w="126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Incorporation</w:t>
              </w:r>
            </w:hyperlink>
          </w:p>
        </w:tc>
        <w:tc>
          <w:tcPr>
            <w:tcW w:w="190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Amended and Restated Bylaws</w:t>
              </w:r>
            </w:hyperlink>
          </w:p>
        </w:tc>
        <w:tc>
          <w:tcPr>
            <w:tcW w:w="620" w:type="dxa"/>
            <w:vAlign w:val="bottom"/>
            <w:gridSpan w:val="8"/>
          </w:tcPr>
          <w:p>
            <w:pPr>
              <w:spacing w:after="0"/>
              <w:rPr>
                <w:sz w:val="17"/>
                <w:szCs w:val="17"/>
                <w:color w:val="auto"/>
              </w:rPr>
            </w:pPr>
          </w:p>
        </w:tc>
        <w:tc>
          <w:tcPr>
            <w:tcW w:w="680" w:type="dxa"/>
            <w:vAlign w:val="bottom"/>
          </w:tcPr>
          <w:p>
            <w:pPr>
              <w:jc w:val="center"/>
              <w:ind w:left="72"/>
              <w:spacing w:after="0" w:line="196" w:lineRule="exact"/>
              <w:rPr>
                <w:sz w:val="20"/>
                <w:szCs w:val="20"/>
                <w:color w:val="auto"/>
              </w:rPr>
            </w:pPr>
            <w:r>
              <w:rPr>
                <w:rFonts w:ascii="Arial" w:cs="Arial" w:eastAsia="Arial" w:hAnsi="Arial"/>
                <w:sz w:val="18"/>
                <w:szCs w:val="18"/>
                <w:color w:val="auto"/>
                <w:w w:val="99"/>
              </w:rPr>
              <w:t>8-K</w:t>
            </w:r>
          </w:p>
        </w:tc>
        <w:tc>
          <w:tcPr>
            <w:tcW w:w="1780" w:type="dxa"/>
            <w:vAlign w:val="bottom"/>
          </w:tcPr>
          <w:p>
            <w:pPr>
              <w:ind w:left="560"/>
              <w:spacing w:after="0" w:line="196" w:lineRule="exact"/>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line="196" w:lineRule="exact"/>
              <w:rPr>
                <w:sz w:val="20"/>
                <w:szCs w:val="20"/>
                <w:color w:val="auto"/>
              </w:rPr>
            </w:pPr>
            <w:r>
              <w:rPr>
                <w:rFonts w:ascii="Arial" w:cs="Arial" w:eastAsia="Arial" w:hAnsi="Arial"/>
                <w:sz w:val="18"/>
                <w:szCs w:val="18"/>
                <w:color w:val="auto"/>
                <w:w w:val="87"/>
              </w:rPr>
              <w:t>3.2</w:t>
            </w:r>
          </w:p>
        </w:tc>
        <w:tc>
          <w:tcPr>
            <w:tcW w:w="1560" w:type="dxa"/>
            <w:vAlign w:val="bottom"/>
          </w:tcPr>
          <w:p>
            <w:pPr>
              <w:jc w:val="center"/>
              <w:ind w:left="172"/>
              <w:spacing w:after="0" w:line="196" w:lineRule="exact"/>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412"/>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2880" w:type="dxa"/>
            <w:vAlign w:val="bottom"/>
            <w:gridSpan w:val="26"/>
          </w:tcPr>
          <w:p>
            <w:pPr>
              <w:spacing w:after="0"/>
              <w:rPr>
                <w:rFonts w:ascii="Arial" w:cs="Arial" w:eastAsia="Arial" w:hAnsi="Arial"/>
                <w:sz w:val="18"/>
                <w:szCs w:val="18"/>
                <w:color w:val="0000EE"/>
              </w:rPr>
            </w:pPr>
            <w:hyperlink r:id="rId72">
              <w:r>
                <w:rPr>
                  <w:rFonts w:ascii="Arial" w:cs="Arial" w:eastAsia="Arial" w:hAnsi="Arial"/>
                  <w:sz w:val="18"/>
                  <w:szCs w:val="18"/>
                  <w:color w:val="0000EE"/>
                </w:rPr>
                <w:t>Executive Employment</w:t>
              </w:r>
            </w:hyperlink>
          </w:p>
        </w:tc>
        <w:tc>
          <w:tcPr>
            <w:tcW w:w="680" w:type="dxa"/>
            <w:vAlign w:val="bottom"/>
          </w:tcPr>
          <w:p>
            <w:pPr>
              <w:jc w:val="center"/>
              <w:ind w:left="72"/>
              <w:spacing w:after="0"/>
              <w:rPr>
                <w:sz w:val="20"/>
                <w:szCs w:val="20"/>
                <w:color w:val="auto"/>
              </w:rPr>
            </w:pPr>
            <w:r>
              <w:rPr>
                <w:rFonts w:ascii="Arial" w:cs="Arial" w:eastAsia="Arial" w:hAnsi="Arial"/>
                <w:sz w:val="18"/>
                <w:szCs w:val="18"/>
                <w:color w:val="auto"/>
                <w:w w:val="99"/>
              </w:rPr>
              <w:t>8-K</w:t>
            </w:r>
          </w:p>
        </w:tc>
        <w:tc>
          <w:tcPr>
            <w:tcW w:w="1780" w:type="dxa"/>
            <w:vAlign w:val="bottom"/>
          </w:tcPr>
          <w:p>
            <w:pPr>
              <w:ind w:left="560"/>
              <w:spacing w:after="0"/>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rPr>
                <w:sz w:val="20"/>
                <w:szCs w:val="20"/>
                <w:color w:val="auto"/>
              </w:rPr>
            </w:pPr>
            <w:r>
              <w:rPr>
                <w:rFonts w:ascii="Arial" w:cs="Arial" w:eastAsia="Arial" w:hAnsi="Arial"/>
                <w:sz w:val="18"/>
                <w:szCs w:val="18"/>
                <w:color w:val="auto"/>
                <w:w w:val="85"/>
              </w:rPr>
              <w:t>10.1</w:t>
            </w:r>
          </w:p>
        </w:tc>
        <w:tc>
          <w:tcPr>
            <w:tcW w:w="1560" w:type="dxa"/>
            <w:vAlign w:val="bottom"/>
          </w:tcPr>
          <w:p>
            <w:pPr>
              <w:jc w:val="center"/>
              <w:ind w:left="172"/>
              <w:spacing w:after="0"/>
              <w:rPr>
                <w:sz w:val="20"/>
                <w:szCs w:val="20"/>
                <w:color w:val="auto"/>
              </w:rPr>
            </w:pPr>
            <w:r>
              <w:rPr>
                <w:rFonts w:ascii="Arial" w:cs="Arial" w:eastAsia="Arial" w:hAnsi="Arial"/>
                <w:sz w:val="18"/>
                <w:szCs w:val="18"/>
                <w:color w:val="auto"/>
                <w:w w:val="92"/>
              </w:rPr>
              <w:t>7/22/2021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880" w:type="dxa"/>
            <w:vAlign w:val="bottom"/>
            <w:gridSpan w:val="26"/>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Agreement, effective as of April 3,</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2021, between Everspin</w:t>
              </w:r>
            </w:hyperlink>
          </w:p>
        </w:tc>
        <w:tc>
          <w:tcPr>
            <w:tcW w:w="760" w:type="dxa"/>
            <w:vAlign w:val="bottom"/>
            <w:tcBorders>
              <w:top w:val="single" w:sz="8" w:color="0000EE"/>
            </w:tcBorders>
            <w:gridSpan w:val="16"/>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Technologies, Inc. and Sanjeev</w:t>
              </w:r>
            </w:hyperlink>
          </w:p>
        </w:tc>
        <w:tc>
          <w:tcPr>
            <w:tcW w:w="6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880" w:type="dxa"/>
            <w:vAlign w:val="bottom"/>
            <w:gridSpan w:val="26"/>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Aggarwal</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ind w:left="100"/>
              <w:spacing w:after="0"/>
              <w:rPr>
                <w:sz w:val="20"/>
                <w:szCs w:val="20"/>
                <w:color w:val="auto"/>
              </w:rPr>
            </w:pPr>
            <w:r>
              <w:rPr>
                <w:rFonts w:ascii="Arial" w:cs="Arial" w:eastAsia="Arial" w:hAnsi="Arial"/>
                <w:sz w:val="18"/>
                <w:szCs w:val="18"/>
                <w:color w:val="auto"/>
              </w:rPr>
              <w:t>10.2</w:t>
            </w:r>
          </w:p>
        </w:tc>
        <w:tc>
          <w:tcPr>
            <w:tcW w:w="2880" w:type="dxa"/>
            <w:vAlign w:val="bottom"/>
            <w:gridSpan w:val="26"/>
          </w:tcPr>
          <w:p>
            <w:pPr>
              <w:spacing w:after="0"/>
              <w:rPr>
                <w:rFonts w:ascii="Arial" w:cs="Arial" w:eastAsia="Arial" w:hAnsi="Arial"/>
                <w:sz w:val="18"/>
                <w:szCs w:val="18"/>
                <w:color w:val="0000EE"/>
              </w:rPr>
            </w:pPr>
            <w:hyperlink r:id="rId73">
              <w:r>
                <w:rPr>
                  <w:rFonts w:ascii="Arial" w:cs="Arial" w:eastAsia="Arial" w:hAnsi="Arial"/>
                  <w:sz w:val="18"/>
                  <w:szCs w:val="18"/>
                  <w:color w:val="0000EE"/>
                </w:rPr>
                <w:t>Executive Employment</w:t>
              </w:r>
            </w:hyperlink>
          </w:p>
        </w:tc>
        <w:tc>
          <w:tcPr>
            <w:tcW w:w="680" w:type="dxa"/>
            <w:vAlign w:val="bottom"/>
          </w:tcPr>
          <w:p>
            <w:pPr>
              <w:jc w:val="center"/>
              <w:ind w:left="72"/>
              <w:spacing w:after="0"/>
              <w:rPr>
                <w:sz w:val="20"/>
                <w:szCs w:val="20"/>
                <w:color w:val="auto"/>
              </w:rPr>
            </w:pPr>
            <w:r>
              <w:rPr>
                <w:rFonts w:ascii="Arial" w:cs="Arial" w:eastAsia="Arial" w:hAnsi="Arial"/>
                <w:sz w:val="18"/>
                <w:szCs w:val="18"/>
                <w:color w:val="auto"/>
                <w:w w:val="99"/>
              </w:rPr>
              <w:t>8-K</w:t>
            </w:r>
          </w:p>
        </w:tc>
        <w:tc>
          <w:tcPr>
            <w:tcW w:w="1780" w:type="dxa"/>
            <w:vAlign w:val="bottom"/>
          </w:tcPr>
          <w:p>
            <w:pPr>
              <w:ind w:left="560"/>
              <w:spacing w:after="0"/>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rPr>
                <w:sz w:val="20"/>
                <w:szCs w:val="20"/>
                <w:color w:val="auto"/>
              </w:rPr>
            </w:pPr>
            <w:r>
              <w:rPr>
                <w:rFonts w:ascii="Arial" w:cs="Arial" w:eastAsia="Arial" w:hAnsi="Arial"/>
                <w:sz w:val="18"/>
                <w:szCs w:val="18"/>
                <w:color w:val="auto"/>
                <w:w w:val="85"/>
              </w:rPr>
              <w:t>10.2</w:t>
            </w:r>
          </w:p>
        </w:tc>
        <w:tc>
          <w:tcPr>
            <w:tcW w:w="1560" w:type="dxa"/>
            <w:vAlign w:val="bottom"/>
          </w:tcPr>
          <w:p>
            <w:pPr>
              <w:jc w:val="center"/>
              <w:ind w:left="172"/>
              <w:spacing w:after="0"/>
              <w:rPr>
                <w:sz w:val="20"/>
                <w:szCs w:val="20"/>
                <w:color w:val="auto"/>
              </w:rPr>
            </w:pPr>
            <w:r>
              <w:rPr>
                <w:rFonts w:ascii="Arial" w:cs="Arial" w:eastAsia="Arial" w:hAnsi="Arial"/>
                <w:sz w:val="18"/>
                <w:szCs w:val="18"/>
                <w:color w:val="auto"/>
                <w:w w:val="92"/>
              </w:rPr>
              <w:t>7/22/2021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880" w:type="dxa"/>
            <w:vAlign w:val="bottom"/>
            <w:gridSpan w:val="26"/>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Agreement, effective as of July 2,</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2021, between Everspin</w:t>
              </w:r>
            </w:hyperlink>
          </w:p>
        </w:tc>
        <w:tc>
          <w:tcPr>
            <w:tcW w:w="680" w:type="dxa"/>
            <w:vAlign w:val="bottom"/>
            <w:tcBorders>
              <w:top w:val="single" w:sz="8" w:color="0000EE"/>
            </w:tcBorders>
            <w:gridSpan w:val="14"/>
          </w:tcPr>
          <w:p>
            <w:pPr>
              <w:spacing w:after="0"/>
              <w:rPr>
                <w:sz w:val="17"/>
                <w:szCs w:val="17"/>
                <w:color w:val="auto"/>
              </w:rPr>
            </w:pPr>
          </w:p>
        </w:tc>
        <w:tc>
          <w:tcPr>
            <w:tcW w:w="4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880" w:type="dxa"/>
            <w:vAlign w:val="bottom"/>
            <w:gridSpan w:val="26"/>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Technologies, Inc. and Anuj</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Aggarwal</w:t>
              </w:r>
            </w:hyperlink>
          </w:p>
        </w:tc>
        <w:tc>
          <w:tcPr>
            <w:tcW w:w="86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ind w:left="100"/>
              <w:spacing w:after="0"/>
              <w:rPr>
                <w:sz w:val="20"/>
                <w:szCs w:val="20"/>
                <w:color w:val="auto"/>
              </w:rPr>
            </w:pPr>
            <w:r>
              <w:rPr>
                <w:rFonts w:ascii="Arial" w:cs="Arial" w:eastAsia="Arial" w:hAnsi="Arial"/>
                <w:sz w:val="18"/>
                <w:szCs w:val="18"/>
                <w:color w:val="auto"/>
              </w:rPr>
              <w:t>10.3</w:t>
            </w:r>
          </w:p>
        </w:tc>
        <w:tc>
          <w:tcPr>
            <w:tcW w:w="2880" w:type="dxa"/>
            <w:vAlign w:val="bottom"/>
            <w:gridSpan w:val="26"/>
          </w:tcPr>
          <w:p>
            <w:pPr>
              <w:spacing w:after="0"/>
              <w:rPr>
                <w:rFonts w:ascii="Arial" w:cs="Arial" w:eastAsia="Arial" w:hAnsi="Arial"/>
                <w:sz w:val="18"/>
                <w:szCs w:val="18"/>
                <w:color w:val="0000EE"/>
              </w:rPr>
            </w:pPr>
            <w:hyperlink r:id="rId74">
              <w:r>
                <w:rPr>
                  <w:rFonts w:ascii="Arial" w:cs="Arial" w:eastAsia="Arial" w:hAnsi="Arial"/>
                  <w:sz w:val="18"/>
                  <w:szCs w:val="18"/>
                  <w:color w:val="0000EE"/>
                </w:rPr>
                <w:t>Second Amendment to Amended</w:t>
              </w:r>
            </w:hyperlink>
          </w:p>
        </w:tc>
        <w:tc>
          <w:tcPr>
            <w:tcW w:w="680" w:type="dxa"/>
            <w:vAlign w:val="bottom"/>
          </w:tcPr>
          <w:p>
            <w:pPr>
              <w:jc w:val="center"/>
              <w:ind w:left="92"/>
              <w:spacing w:after="0"/>
              <w:rPr>
                <w:sz w:val="20"/>
                <w:szCs w:val="20"/>
                <w:color w:val="auto"/>
              </w:rPr>
            </w:pPr>
            <w:r>
              <w:rPr>
                <w:rFonts w:ascii="Arial" w:cs="Arial" w:eastAsia="Arial" w:hAnsi="Arial"/>
                <w:sz w:val="18"/>
                <w:szCs w:val="18"/>
                <w:color w:val="auto"/>
                <w:w w:val="94"/>
              </w:rPr>
              <w:t>10-Q</w:t>
            </w:r>
          </w:p>
        </w:tc>
        <w:tc>
          <w:tcPr>
            <w:tcW w:w="1780" w:type="dxa"/>
            <w:vAlign w:val="bottom"/>
          </w:tcPr>
          <w:p>
            <w:pPr>
              <w:ind w:left="560"/>
              <w:spacing w:after="0"/>
              <w:rPr>
                <w:sz w:val="20"/>
                <w:szCs w:val="20"/>
                <w:color w:val="auto"/>
              </w:rPr>
            </w:pPr>
            <w:r>
              <w:rPr>
                <w:rFonts w:ascii="Arial" w:cs="Arial" w:eastAsia="Arial" w:hAnsi="Arial"/>
                <w:sz w:val="18"/>
                <w:szCs w:val="18"/>
                <w:color w:val="auto"/>
              </w:rPr>
              <w:t>001-37900</w:t>
            </w:r>
          </w:p>
        </w:tc>
        <w:tc>
          <w:tcPr>
            <w:tcW w:w="740" w:type="dxa"/>
            <w:vAlign w:val="bottom"/>
          </w:tcPr>
          <w:p>
            <w:pPr>
              <w:jc w:val="center"/>
              <w:ind w:right="35"/>
              <w:spacing w:after="0"/>
              <w:rPr>
                <w:sz w:val="20"/>
                <w:szCs w:val="20"/>
                <w:color w:val="auto"/>
              </w:rPr>
            </w:pPr>
            <w:r>
              <w:rPr>
                <w:rFonts w:ascii="Arial" w:cs="Arial" w:eastAsia="Arial" w:hAnsi="Arial"/>
                <w:sz w:val="18"/>
                <w:szCs w:val="18"/>
                <w:color w:val="auto"/>
                <w:w w:val="85"/>
              </w:rPr>
              <w:t>10.5</w:t>
            </w:r>
          </w:p>
        </w:tc>
        <w:tc>
          <w:tcPr>
            <w:tcW w:w="1560" w:type="dxa"/>
            <w:vAlign w:val="bottom"/>
          </w:tcPr>
          <w:p>
            <w:pPr>
              <w:jc w:val="center"/>
              <w:ind w:left="172"/>
              <w:spacing w:after="0"/>
              <w:rPr>
                <w:sz w:val="20"/>
                <w:szCs w:val="20"/>
                <w:color w:val="auto"/>
              </w:rPr>
            </w:pPr>
            <w:r>
              <w:rPr>
                <w:rFonts w:ascii="Arial" w:cs="Arial" w:eastAsia="Arial" w:hAnsi="Arial"/>
                <w:sz w:val="18"/>
                <w:szCs w:val="18"/>
                <w:color w:val="auto"/>
                <w:w w:val="92"/>
              </w:rPr>
              <w:t>8/12/2021</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and Restated Loan and Security</w:t>
              </w:r>
            </w:hyperlink>
          </w:p>
        </w:tc>
        <w:tc>
          <w:tcPr>
            <w:tcW w:w="80" w:type="dxa"/>
            <w:vAlign w:val="bottom"/>
            <w:tcBorders>
              <w:top w:val="single" w:sz="8" w:color="0000EE"/>
            </w:tcBorders>
            <w:gridSpan w:val="2"/>
          </w:tcPr>
          <w:p>
            <w:pPr>
              <w:spacing w:after="0"/>
              <w:rPr>
                <w:sz w:val="17"/>
                <w:szCs w:val="17"/>
                <w:color w:val="auto"/>
              </w:rPr>
            </w:pPr>
          </w:p>
        </w:tc>
        <w:tc>
          <w:tcPr>
            <w:tcW w:w="5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Agreement, dated as of July 28,</w:t>
              </w:r>
            </w:hyperlink>
          </w:p>
        </w:tc>
        <w:tc>
          <w:tcPr>
            <w:tcW w:w="60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3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2021, between the Company and</w:t>
              </w:r>
            </w:hyperlink>
          </w:p>
        </w:tc>
        <w:tc>
          <w:tcPr>
            <w:tcW w:w="52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Silicon Valley Bank</w:t>
              </w:r>
            </w:hyperlink>
          </w:p>
        </w:tc>
        <w:tc>
          <w:tcPr>
            <w:tcW w:w="144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180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of Principal</w:t>
              </w:r>
            </w:hyperlink>
          </w:p>
        </w:tc>
        <w:tc>
          <w:tcPr>
            <w:tcW w:w="1080" w:type="dxa"/>
            <w:vAlign w:val="bottom"/>
            <w:gridSpan w:val="16"/>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Executive Officer Pursuant to</w:t>
              </w:r>
            </w:hyperlink>
          </w:p>
        </w:tc>
        <w:tc>
          <w:tcPr>
            <w:tcW w:w="74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Rules 13a-14(a) and 15d-14(a)</w:t>
              </w:r>
            </w:hyperlink>
          </w:p>
        </w:tc>
        <w:tc>
          <w:tcPr>
            <w:tcW w:w="6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88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under the Exchange Act</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288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Principal Financial</w:t>
              </w:r>
            </w:hyperlink>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Officer Pursuant to Rules 13a-</w:t>
              </w:r>
            </w:hyperlink>
          </w:p>
        </w:tc>
        <w:tc>
          <w:tcPr>
            <w:tcW w:w="300" w:type="dxa"/>
            <w:vAlign w:val="bottom"/>
            <w:tcBorders>
              <w:top w:val="single" w:sz="8" w:color="0000EE"/>
            </w:tcBorders>
            <w:gridSpan w:val="10"/>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14(a) and 15d-14(a) under the</w:t>
              </w:r>
            </w:hyperlink>
          </w:p>
        </w:tc>
        <w:tc>
          <w:tcPr>
            <w:tcW w:w="7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88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Exchange Act</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2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49</w:t>
            </w: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800" w:type="dxa"/>
            <w:vAlign w:val="bottom"/>
            <w:tcBorders>
              <w:bottom w:val="single" w:sz="8" w:color="0000EE"/>
            </w:tcBorders>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Certification of Principal</w:t>
              </w:r>
            </w:hyperlink>
          </w:p>
        </w:tc>
        <w:tc>
          <w:tcPr>
            <w:tcW w:w="70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2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Executive Officer and Principal</w:t>
              </w:r>
            </w:hyperlink>
          </w:p>
        </w:tc>
        <w:tc>
          <w:tcPr>
            <w:tcW w:w="22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Financial Officer Pursuant to 18</w:t>
              </w:r>
            </w:hyperlink>
          </w:p>
        </w:tc>
        <w:tc>
          <w:tcPr>
            <w:tcW w:w="18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U.S.C. Section 1350, as Adopted</w:t>
              </w:r>
            </w:hyperlink>
          </w:p>
        </w:tc>
        <w:tc>
          <w:tcPr>
            <w:tcW w:w="1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50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Pursuant to Section 906 of the</w:t>
              </w:r>
            </w:hyperlink>
          </w:p>
        </w:tc>
      </w:tr>
      <w:tr>
        <w:trPr>
          <w:trHeight w:val="196"/>
        </w:trPr>
        <w:tc>
          <w:tcPr>
            <w:tcW w:w="1180" w:type="dxa"/>
            <w:vAlign w:val="bottom"/>
          </w:tcPr>
          <w:p>
            <w:pPr>
              <w:spacing w:after="0"/>
              <w:rPr>
                <w:sz w:val="17"/>
                <w:szCs w:val="17"/>
                <w:color w:val="auto"/>
              </w:rPr>
            </w:pPr>
          </w:p>
        </w:tc>
        <w:tc>
          <w:tcPr>
            <w:tcW w:w="2160" w:type="dxa"/>
            <w:vAlign w:val="bottom"/>
            <w:tcBorders>
              <w:top w:val="single" w:sz="8" w:color="0000EE"/>
            </w:tcBorders>
            <w:gridSpan w:val="3"/>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Sarbanes-Oxley Act of 2002</w:t>
              </w:r>
            </w:hyperlink>
          </w:p>
        </w:tc>
        <w:tc>
          <w:tcPr>
            <w:tcW w:w="340" w:type="dxa"/>
            <w:vAlign w:val="bottom"/>
            <w:gridSpan w:val="4"/>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2500" w:type="dxa"/>
            <w:vAlign w:val="bottom"/>
            <w:gridSpan w:val="7"/>
          </w:tcPr>
          <w:p>
            <w:pPr>
              <w:spacing w:after="0"/>
              <w:rPr>
                <w:sz w:val="20"/>
                <w:szCs w:val="20"/>
                <w:color w:val="auto"/>
              </w:rPr>
            </w:pPr>
            <w:r>
              <w:rPr>
                <w:rFonts w:ascii="Arial" w:cs="Arial" w:eastAsia="Arial" w:hAnsi="Arial"/>
                <w:sz w:val="18"/>
                <w:szCs w:val="18"/>
                <w:color w:val="auto"/>
                <w:w w:val="93"/>
              </w:rPr>
              <w:t>Inline XBRL Instance Document -</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7"/>
              </w:rPr>
              <w:t>the instance document does not</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1"/>
              </w:rPr>
              <w:t>appear in the Interactive Data File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because its XBRL tags are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3"/>
              </w:rPr>
              <w:t>embedded within the Inline XBRL</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Extension Schema 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9"/>
              </w:rPr>
              <w:t>Extension Calculation Linkbase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Extension Definition Linkbase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Extension Label Linkbase</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2500" w:type="dxa"/>
            <w:vAlign w:val="bottom"/>
            <w:gridSpan w:val="7"/>
          </w:tcPr>
          <w:p>
            <w:pPr>
              <w:spacing w:after="0"/>
              <w:rPr>
                <w:sz w:val="20"/>
                <w:szCs w:val="20"/>
                <w:color w:val="auto"/>
              </w:rPr>
            </w:pPr>
            <w:r>
              <w:rPr>
                <w:rFonts w:ascii="Arial" w:cs="Arial" w:eastAsia="Arial" w:hAnsi="Arial"/>
                <w:sz w:val="18"/>
                <w:szCs w:val="18"/>
                <w:color w:val="auto"/>
              </w:rPr>
              <w:t>Inline XBRL Taxonomy</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w w:val="94"/>
              </w:rPr>
              <w:t>Extension Presentation Linkbase</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2500" w:type="dxa"/>
            <w:vAlign w:val="bottom"/>
            <w:gridSpan w:val="7"/>
          </w:tcPr>
          <w:p>
            <w:pPr>
              <w:spacing w:after="0"/>
              <w:rPr>
                <w:sz w:val="20"/>
                <w:szCs w:val="20"/>
                <w:color w:val="auto"/>
              </w:rPr>
            </w:pPr>
            <w:r>
              <w:rPr>
                <w:rFonts w:ascii="Arial" w:cs="Arial" w:eastAsia="Arial" w:hAnsi="Arial"/>
                <w:sz w:val="18"/>
                <w:szCs w:val="18"/>
                <w:color w:val="auto"/>
                <w:w w:val="95"/>
              </w:rPr>
              <w:t>Cover Page Interactive Data File</w:t>
            </w:r>
          </w:p>
        </w:tc>
      </w:tr>
      <w:tr>
        <w:trPr>
          <w:trHeight w:val="216"/>
        </w:trPr>
        <w:tc>
          <w:tcPr>
            <w:tcW w:w="1180" w:type="dxa"/>
            <w:vAlign w:val="bottom"/>
          </w:tcPr>
          <w:p>
            <w:pPr>
              <w:spacing w:after="0"/>
              <w:rPr>
                <w:sz w:val="18"/>
                <w:szCs w:val="18"/>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(formatted as Inline XBRL and</w:t>
            </w:r>
          </w:p>
        </w:tc>
      </w:tr>
      <w:tr>
        <w:trPr>
          <w:trHeight w:val="230"/>
        </w:trPr>
        <w:tc>
          <w:tcPr>
            <w:tcW w:w="11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Arial" w:cs="Arial" w:eastAsia="Arial" w:hAnsi="Arial"/>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360" w:hanging="316"/>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right="99" w:hanging="316"/>
        <w:spacing w:after="0" w:line="253" w:lineRule="auto"/>
        <w:tabs>
          <w:tab w:leader="none" w:pos="3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Everspin Technologies, Inc.</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November 12, 2021</w:t>
            </w: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By:/s/ Darin Billerbeck</w:t>
            </w:r>
          </w:p>
        </w:tc>
      </w:tr>
      <w:tr>
        <w:trPr>
          <w:trHeight w:val="195"/>
        </w:trPr>
        <w:tc>
          <w:tcPr>
            <w:tcW w:w="3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Darin Billerbeck</w:t>
            </w:r>
          </w:p>
        </w:tc>
      </w:tr>
      <w:tr>
        <w:trPr>
          <w:trHeight w:val="216"/>
        </w:trPr>
        <w:tc>
          <w:tcPr>
            <w:tcW w:w="3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120" w:type="dxa"/>
            <w:vAlign w:val="bottom"/>
          </w:tcPr>
          <w:p>
            <w:pPr>
              <w:spacing w:after="0"/>
              <w:rPr>
                <w:sz w:val="20"/>
                <w:szCs w:val="20"/>
                <w:color w:val="auto"/>
              </w:rPr>
            </w:pPr>
            <w:r>
              <w:rPr>
                <w:rFonts w:ascii="Arial" w:cs="Arial" w:eastAsia="Arial" w:hAnsi="Arial"/>
                <w:sz w:val="18"/>
                <w:szCs w:val="18"/>
                <w:color w:val="auto"/>
              </w:rPr>
              <w:t>Date: November 12, 2021</w:t>
            </w:r>
          </w:p>
        </w:tc>
        <w:tc>
          <w:tcPr>
            <w:tcW w:w="5800" w:type="dxa"/>
            <w:vAlign w:val="bottom"/>
            <w:gridSpan w:val="2"/>
          </w:tcPr>
          <w:p>
            <w:pPr>
              <w:ind w:left="2000"/>
              <w:spacing w:after="0"/>
              <w:rPr>
                <w:sz w:val="20"/>
                <w:szCs w:val="20"/>
                <w:color w:val="auto"/>
              </w:rPr>
            </w:pPr>
            <w:r>
              <w:rPr>
                <w:rFonts w:ascii="Arial" w:cs="Arial" w:eastAsia="Arial" w:hAnsi="Arial"/>
                <w:sz w:val="18"/>
                <w:szCs w:val="18"/>
                <w:color w:val="auto"/>
              </w:rPr>
              <w:t>By:/s/ Anuj Aggarwal</w:t>
            </w:r>
          </w:p>
        </w:tc>
      </w:tr>
      <w:tr>
        <w:trPr>
          <w:trHeight w:val="195"/>
        </w:trPr>
        <w:tc>
          <w:tcPr>
            <w:tcW w:w="3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Anuj Aggarwal</w:t>
            </w:r>
          </w:p>
        </w:tc>
      </w:tr>
      <w:tr>
        <w:trPr>
          <w:trHeight w:val="216"/>
        </w:trPr>
        <w:tc>
          <w:tcPr>
            <w:tcW w:w="3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120" w:type="dxa"/>
            <w:vAlign w:val="bottom"/>
          </w:tcPr>
          <w:p>
            <w:pPr>
              <w:spacing w:after="0"/>
              <w:rPr>
                <w:sz w:val="24"/>
                <w:szCs w:val="24"/>
                <w:color w:val="auto"/>
              </w:rPr>
            </w:pPr>
          </w:p>
        </w:tc>
        <w:tc>
          <w:tcPr>
            <w:tcW w:w="2280" w:type="dxa"/>
            <w:vAlign w:val="bottom"/>
          </w:tcPr>
          <w:p>
            <w:pPr>
              <w:jc w:val="right"/>
              <w:ind w:right="770"/>
              <w:spacing w:after="0"/>
              <w:rPr>
                <w:sz w:val="20"/>
                <w:szCs w:val="20"/>
                <w:color w:val="auto"/>
              </w:rPr>
            </w:pPr>
            <w:r>
              <w:rPr>
                <w:rFonts w:ascii="Arial" w:cs="Arial" w:eastAsia="Arial" w:hAnsi="Arial"/>
                <w:sz w:val="18"/>
                <w:szCs w:val="18"/>
                <w:color w:val="auto"/>
              </w:rPr>
              <w:t>51</w:t>
            </w:r>
          </w:p>
        </w:tc>
        <w:tc>
          <w:tcPr>
            <w:tcW w:w="35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Darin Billerbeck, certify that:</w:t>
      </w:r>
    </w:p>
    <w:p>
      <w:pPr>
        <w:spacing w:after="0" w:line="198" w:lineRule="exact"/>
        <w:rPr>
          <w:sz w:val="20"/>
          <w:szCs w:val="20"/>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12, 2021</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Darin Billerbeck</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Interim Chief Executive Officer</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198" w:lineRule="exact"/>
        <w:rPr>
          <w:sz w:val="20"/>
          <w:szCs w:val="20"/>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326"/>
        <w:spacing w:after="0" w:line="294"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jc w:val="both"/>
        <w:ind w:left="1020" w:right="79" w:hanging="322"/>
        <w:spacing w:after="0" w:line="243"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99" w:hanging="326"/>
        <w:spacing w:after="0" w:line="248"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12, 2021</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6" w:lineRule="exact"/>
        <w:rPr>
          <w:sz w:val="20"/>
          <w:szCs w:val="20"/>
          <w:color w:val="auto"/>
        </w:rPr>
      </w:pPr>
    </w:p>
    <w:p>
      <w:pPr>
        <w:ind w:left="60" w:right="299"/>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Darin Billerbeck, Interim Chief Executive Officer of Everspin Technologies, Inc. (the “Company”), and Anuj Aggarwal, Chief Financial Officer of the Company, each hereby certifies that, to the best of his knowledge:</w:t>
      </w:r>
    </w:p>
    <w:p>
      <w:pPr>
        <w:spacing w:after="0" w:line="172" w:lineRule="exact"/>
        <w:rPr>
          <w:sz w:val="20"/>
          <w:szCs w:val="20"/>
          <w:color w:val="auto"/>
        </w:rPr>
      </w:pPr>
    </w:p>
    <w:p>
      <w:pPr>
        <w:jc w:val="both"/>
        <w:ind w:left="60" w:right="159" w:hanging="10"/>
        <w:spacing w:after="0" w:line="248"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12, 2021</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243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648960" cy="124333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Interim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Anuj Aggarwal</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313055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68" Type="http://schemas.openxmlformats.org/officeDocument/2006/relationships/hyperlink" Target="http://www.sec.gov/Archives/edgar/data/1438423/000119312516737688/d271840dex31.htm" TargetMode="External"/><Relationship Id="rId69" Type="http://schemas.openxmlformats.org/officeDocument/2006/relationships/hyperlink" Target="http://www.sec.gov/Archives/edgar/data/1438423/000119312519154165/d752899dex31.htm" TargetMode="External"/><Relationship Id="rId70" Type="http://schemas.openxmlformats.org/officeDocument/2006/relationships/hyperlink" Target="https://www.sec.gov/Archives/edgar/data/1438423/000119312520153247/d936625dex31.htm" TargetMode="External"/><Relationship Id="rId71" Type="http://schemas.openxmlformats.org/officeDocument/2006/relationships/hyperlink" Target="https://www.sec.gov/Archives/edgar/data/1438423/000119312519154165/d752899dex32.htm" TargetMode="External"/><Relationship Id="rId72" Type="http://schemas.openxmlformats.org/officeDocument/2006/relationships/hyperlink" Target="https://www.sec.gov/Archives/edgar/data/1438423/000110465921094559/tm2122756d1_ex10-1.htm" TargetMode="External"/><Relationship Id="rId73" Type="http://schemas.openxmlformats.org/officeDocument/2006/relationships/hyperlink" Target="https://www.sec.gov/Archives/edgar/data/1438423/000110465921094559/tm2122756d1_ex10-2.htm" TargetMode="External"/><Relationship Id="rId74" Type="http://schemas.openxmlformats.org/officeDocument/2006/relationships/hyperlink" Target="https://www.sec.gov/Archives/edgar/data/1438423/000155837021011516/mram-20210630x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2021-11-13T01:01:32Z</dcterms:created>
  <dcterms:modified xsi:type="dcterms:W3CDTF">2021-11-13T01:01:32Z</dcterms:modified>
</cp:coreProperties>
</file>