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96520</wp:posOffset>
            </wp:positionV>
            <wp:extent cx="156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30" w:right="180" w:hanging="430"/>
        <w:spacing w:after="0" w:line="237" w:lineRule="auto"/>
        <w:tabs>
          <w:tab w:leader="none" w:pos="43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30" w:right="180" w:hanging="430"/>
        <w:spacing w:after="0" w:line="262" w:lineRule="auto"/>
        <w:tabs>
          <w:tab w:leader="none" w:pos="43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270"/>
        <w:spacing w:after="0"/>
        <w:tabs>
          <w:tab w:leader="none" w:pos="621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-5080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2"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5670 W. Chandler Boulevard, Suite 130</w:t>
      </w:r>
    </w:p>
    <w:p>
      <w:pPr>
        <w:spacing w:after="0" w:line="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ind w:left="255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88265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3420" w:type="dxa"/>
            <w:vAlign w:val="bottom"/>
            <w:tcBorders>
              <w:top w:val="single" w:sz="8" w:color="auto"/>
              <w:left w:val="single" w:sz="8" w:color="auto"/>
              <w:right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Trading Symbol(s)</w:t>
            </w:r>
          </w:p>
        </w:tc>
        <w:tc>
          <w:tcPr>
            <w:tcW w:w="342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42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jc w:val="both"/>
        <w:ind w:left="10"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1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77"/>
        </w:trPr>
        <w:tc>
          <w:tcPr>
            <w:tcW w:w="1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0"/>
              <w:spacing w:after="0" w:line="177"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77" w:lineRule="exact"/>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77"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3"/>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93"/>
        </w:trPr>
        <w:tc>
          <w:tcPr>
            <w:tcW w:w="94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April 25, 2025, was 22,467,446.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608965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340" w:type="dxa"/>
            <w:vAlign w:val="bottom"/>
            <w:gridSpan w:val="13"/>
            <w:vMerge w:val="restart"/>
          </w:tcPr>
          <w:p>
            <w:pPr>
              <w:jc w:val="center"/>
              <w:ind w:right="2180"/>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340" w:type="dxa"/>
            <w:vAlign w:val="bottom"/>
            <w:gridSpan w:val="13"/>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40" w:type="dxa"/>
            <w:vAlign w:val="bottom"/>
            <w:gridSpan w:val="3"/>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Balance Sheets as of March 31, 2025 (unaudited) and December 31,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Statements of Operations and Comprehensive Loss for the three months ended March</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31, 2025 and 2024 (unaudited)</w:t>
            </w:r>
          </w:p>
        </w:tc>
        <w:tc>
          <w:tcPr>
            <w:tcW w:w="480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Statements of Stockholders’ Equity for the three months ended March 31, 2025 and</w:t>
            </w:r>
          </w:p>
        </w:tc>
        <w:tc>
          <w:tcPr>
            <w:tcW w:w="2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2024 (unaudited)</w:t>
            </w:r>
          </w:p>
        </w:tc>
        <w:tc>
          <w:tcPr>
            <w:tcW w:w="592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Statements of Cash Flows for the three months ended March 31, 2025 and 2024</w:t>
            </w:r>
          </w:p>
        </w:tc>
        <w:tc>
          <w:tcPr>
            <w:tcW w:w="56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(unaudited)</w:t>
            </w:r>
          </w:p>
        </w:tc>
        <w:tc>
          <w:tcPr>
            <w:tcW w:w="632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20" w:type="dxa"/>
            <w:vAlign w:val="bottom"/>
            <w:tcBorders>
              <w:top w:val="single" w:sz="8" w:color="0000EE"/>
            </w:tcBorders>
            <w:gridSpan w:val="3"/>
          </w:tcPr>
          <w:p>
            <w:pPr>
              <w:spacing w:after="0"/>
              <w:rPr>
                <w:sz w:val="18"/>
                <w:szCs w:val="18"/>
                <w:color w:val="auto"/>
              </w:rPr>
            </w:pPr>
          </w:p>
        </w:tc>
        <w:tc>
          <w:tcPr>
            <w:tcW w:w="100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23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766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40" w:type="dxa"/>
            <w:vAlign w:val="bottom"/>
            <w:gridSpan w:val="8"/>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160" w:type="dxa"/>
            <w:vAlign w:val="bottom"/>
            <w:gridSpan w:val="11"/>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720" w:type="dxa"/>
            <w:vAlign w:val="bottom"/>
            <w:gridSpan w:val="1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160" w:type="dxa"/>
            <w:vAlign w:val="bottom"/>
            <w:gridSpan w:val="17"/>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900" w:type="dxa"/>
            <w:vAlign w:val="bottom"/>
            <w:gridSpan w:val="2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EXHIBIT INDEX</w:t>
            </w:r>
          </w:p>
        </w:tc>
        <w:tc>
          <w:tcPr>
            <w:tcW w:w="7120" w:type="dxa"/>
            <w:vAlign w:val="bottom"/>
            <w:gridSpan w:val="21"/>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84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“Everspin,”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49"/>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r>
      <w:tr>
        <w:trPr>
          <w:trHeight w:val="197"/>
        </w:trPr>
        <w:tc>
          <w:tcPr>
            <w:tcW w:w="6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obligations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liabilities, current portion</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Software liabilities, net of current portion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15,196</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6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22,352,145 and 22,059,697 shares issued and outstanding as of March 31, 2025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199,460</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(138,035)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(136,869)</w:t>
            </w:r>
          </w:p>
        </w:tc>
      </w:tr>
      <w:tr>
        <w:trPr>
          <w:trHeight w:val="210"/>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w:t>
            </w:r>
          </w:p>
        </w:tc>
      </w:tr>
      <w:tr>
        <w:trPr>
          <w:trHeight w:val="209"/>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2040"/>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22,188,114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21,252,359</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22,188,114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21,252,359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7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0"/>
                <w:szCs w:val="10"/>
                <w:color w:val="auto"/>
              </w:rPr>
            </w:pPr>
          </w:p>
        </w:tc>
        <w:tc>
          <w:tcPr>
            <w:tcW w:w="82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22,059,697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199,460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(136,869)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22,352,145</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201,066</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(138,035)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7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0"/>
                <w:szCs w:val="10"/>
                <w:color w:val="auto"/>
              </w:rPr>
            </w:pPr>
          </w:p>
        </w:tc>
        <w:tc>
          <w:tcPr>
            <w:tcW w:w="82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21,080,472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191,569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(137,650)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21,406,511</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193,636</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(137,852)</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EVERSPIN TECHNOLOGIES, INC.</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Condensed Statements of Cash Flows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1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6"/>
        </w:trPr>
        <w:tc>
          <w:tcPr>
            <w:tcW w:w="61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44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(1,166)</w:t>
            </w:r>
          </w:p>
        </w:tc>
        <w:tc>
          <w:tcPr>
            <w:tcW w:w="440" w:type="dxa"/>
            <w:vAlign w:val="bottom"/>
            <w:gridSpan w:val="2"/>
            <w:shd w:val="clear" w:color="auto" w:fill="CCEEFF"/>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846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398</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1,577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1,714</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(1,524)</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(1,881)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338</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538</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(2,266)</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(255)</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Contract obligations</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 liabilities, net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Long-term income tax liability</w:t>
            </w:r>
          </w:p>
        </w:tc>
        <w:tc>
          <w:tcPr>
            <w:tcW w:w="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124</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1,440</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(1,293)</w:t>
            </w:r>
          </w:p>
        </w:tc>
        <w:tc>
          <w:tcPr>
            <w:tcW w:w="0" w:type="dxa"/>
            <w:vAlign w:val="bottom"/>
          </w:tcPr>
          <w:p>
            <w:pPr>
              <w:spacing w:after="0"/>
              <w:rPr>
                <w:sz w:val="1"/>
                <w:szCs w:val="1"/>
                <w:color w:val="auto"/>
              </w:rPr>
            </w:pPr>
          </w:p>
        </w:tc>
      </w:tr>
      <w:tr>
        <w:trPr>
          <w:trHeight w:val="156"/>
        </w:trPr>
        <w:tc>
          <w:tcPr>
            <w:tcW w:w="6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(1,205)</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intangible assets</w:t>
            </w:r>
          </w:p>
        </w:tc>
        <w:tc>
          <w:tcPr>
            <w:tcW w:w="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(478)</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(1,391)</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(1,205)</w:t>
            </w:r>
          </w:p>
        </w:tc>
        <w:tc>
          <w:tcPr>
            <w:tcW w:w="0" w:type="dxa"/>
            <w:vAlign w:val="bottom"/>
          </w:tcPr>
          <w:p>
            <w:pPr>
              <w:spacing w:after="0"/>
              <w:rPr>
                <w:sz w:val="1"/>
                <w:szCs w:val="1"/>
                <w:color w:val="auto"/>
              </w:rPr>
            </w:pPr>
          </w:p>
        </w:tc>
      </w:tr>
      <w:tr>
        <w:trPr>
          <w:trHeight w:val="156"/>
        </w:trPr>
        <w:tc>
          <w:tcPr>
            <w:tcW w:w="6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on finance leases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 plan</w:t>
            </w:r>
          </w:p>
        </w:tc>
        <w:tc>
          <w:tcPr>
            <w:tcW w:w="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353</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353</w:t>
            </w:r>
          </w:p>
        </w:tc>
        <w:tc>
          <w:tcPr>
            <w:tcW w:w="0" w:type="dxa"/>
            <w:vAlign w:val="bottom"/>
          </w:tcPr>
          <w:p>
            <w:pPr>
              <w:spacing w:after="0"/>
              <w:rPr>
                <w:sz w:val="1"/>
                <w:szCs w:val="1"/>
                <w:color w:val="auto"/>
              </w:rPr>
            </w:pPr>
          </w:p>
        </w:tc>
      </w:tr>
      <w:tr>
        <w:trPr>
          <w:trHeight w:val="155"/>
        </w:trPr>
        <w:tc>
          <w:tcPr>
            <w:tcW w:w="6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61</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(2,145)</w:t>
            </w:r>
          </w:p>
        </w:tc>
        <w:tc>
          <w:tcPr>
            <w:tcW w:w="0" w:type="dxa"/>
            <w:vAlign w:val="bottom"/>
          </w:tcPr>
          <w:p>
            <w:pPr>
              <w:spacing w:after="0"/>
              <w:rPr>
                <w:sz w:val="1"/>
                <w:szCs w:val="1"/>
                <w:color w:val="auto"/>
              </w:rPr>
            </w:pPr>
          </w:p>
        </w:tc>
      </w:tr>
      <w:tr>
        <w:trPr>
          <w:trHeight w:val="162"/>
        </w:trPr>
        <w:tc>
          <w:tcPr>
            <w:tcW w:w="61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42,097</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36,946</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3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42,158</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34,801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44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353</w:t>
            </w:r>
          </w:p>
        </w:tc>
        <w:tc>
          <w:tcPr>
            <w:tcW w:w="440" w:type="dxa"/>
            <w:vAlign w:val="bottom"/>
            <w:gridSpan w:val="2"/>
            <w:shd w:val="clear" w:color="auto" w:fill="CCEEFF"/>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17</w:t>
            </w:r>
          </w:p>
        </w:tc>
        <w:tc>
          <w:tcPr>
            <w:tcW w:w="2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43"/>
        </w:trPr>
        <w:tc>
          <w:tcPr>
            <w:tcW w:w="6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44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143"/>
        </w:trPr>
        <w:tc>
          <w:tcPr>
            <w:tcW w:w="61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230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ind w:left="40" w:right="179" w:firstLine="324"/>
        <w:spacing w:after="0" w:line="255" w:lineRule="auto"/>
        <w:rPr>
          <w:sz w:val="20"/>
          <w:szCs w:val="20"/>
          <w:color w:val="auto"/>
        </w:rPr>
      </w:pPr>
      <w:r>
        <w:rPr>
          <w:rFonts w:ascii="Times New Roman" w:cs="Times New Roman" w:eastAsia="Times New Roman" w:hAnsi="Times New Roman"/>
          <w:sz w:val="18"/>
          <w:szCs w:val="18"/>
          <w:color w:val="auto"/>
        </w:rPr>
        <w:t>Everspin Technologies, Inc. (“we”, “our”, “us”, “Everspin Technologies”, “Everspin”, or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2024,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w:t>
      </w:r>
    </w:p>
    <w:p>
      <w:pPr>
        <w:spacing w:after="0" w:line="6" w:lineRule="exact"/>
        <w:rPr>
          <w:sz w:val="20"/>
          <w:szCs w:val="20"/>
          <w:color w:val="auto"/>
        </w:rPr>
      </w:pPr>
    </w:p>
    <w:p>
      <w:pPr>
        <w:ind w:left="40" w:right="279"/>
        <w:spacing w:after="0" w:line="260" w:lineRule="auto"/>
        <w:rPr>
          <w:sz w:val="20"/>
          <w:szCs w:val="20"/>
          <w:color w:val="auto"/>
        </w:rPr>
      </w:pPr>
      <w:r>
        <w:rPr>
          <w:rFonts w:ascii="Times New Roman" w:cs="Times New Roman" w:eastAsia="Times New Roman" w:hAnsi="Times New Roman"/>
          <w:sz w:val="18"/>
          <w:szCs w:val="18"/>
          <w:color w:val="auto"/>
        </w:rPr>
        <w:t>March 31, 2025, are not necessarily indicative of the results to be expected for the year ending December 31, 2025 or for any other interim period or for any other future year.</w:t>
      </w:r>
    </w:p>
    <w:p>
      <w:pPr>
        <w:spacing w:after="0" w:line="181" w:lineRule="exact"/>
        <w:rPr>
          <w:sz w:val="20"/>
          <w:szCs w:val="20"/>
          <w:color w:val="auto"/>
        </w:rPr>
      </w:pPr>
    </w:p>
    <w:p>
      <w:pPr>
        <w:ind w:left="4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2024, included in the Company’s Annual Report on Form 10-K filed with the SEC.</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40" w:right="99" w:firstLine="324"/>
        <w:spacing w:after="0" w:line="281" w:lineRule="auto"/>
        <w:rPr>
          <w:sz w:val="20"/>
          <w:szCs w:val="20"/>
          <w:color w:val="auto"/>
        </w:rPr>
      </w:pPr>
      <w:r>
        <w:rPr>
          <w:rFonts w:ascii="Times New Roman" w:cs="Times New Roman" w:eastAsia="Times New Roman" w:hAnsi="Times New Roman"/>
          <w:sz w:val="17"/>
          <w:szCs w:val="17"/>
          <w:color w:val="auto"/>
        </w:rPr>
        <w:t>Certain reclassifications of previously reported amounts have been made to conform to the current period presentation. Specifically, interest income was previously presented within other income (expense), net for the three months ended March 31, 2024 in the Quarterly Report on Form 10-Q filed with the SEC on May 2, 2024. Interest income is presented separately in the unaudited condensed statement of operations and comprehensive loss within these financial statements.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13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Company’s MRAM technology solutions are sold as products and services through MRAM-based products, licenses and royalties of MRAM and magnetic sensor technology and backend foundry and design services. The Company identifies and manages the business activities in one reportable segment. The Company’s Chief Executive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net income. Significant segment expenses within net income are those separately presented on the Company’s statements of operations and comprehensive loss, which include cost of sales, research and development, general and administrative, and sales and marketing expenses.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short-term investments with maturity dates of 90 days or less at the date of purchase to be cash equivalents. The Company’s cash equivalents consist solely of money market funds.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76"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142"/>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tcBorders>
              <w:top w:val="single" w:sz="8" w:color="auto"/>
              <w:bottom w:val="single" w:sz="8" w:color="auto"/>
            </w:tcBorders>
            <w:gridSpan w:val="5"/>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r>
      <w:tr>
        <w:trPr>
          <w:trHeight w:val="142"/>
        </w:trPr>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94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20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210"/>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B</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306"/>
        </w:trPr>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4"/>
                <w:szCs w:val="24"/>
                <w:color w:val="auto"/>
              </w:rPr>
            </w:pPr>
          </w:p>
        </w:tc>
        <w:tc>
          <w:tcPr>
            <w:tcW w:w="8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0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Less than 10%</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pacing w:after="0" w:line="162" w:lineRule="exact"/>
        <w:rPr>
          <w:sz w:val="20"/>
          <w:szCs w:val="20"/>
          <w:color w:val="auto"/>
        </w:rPr>
      </w:pPr>
    </w:p>
    <w:p>
      <w:pPr>
        <w:ind w:left="360" w:right="339"/>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162"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80"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33,613</w:t>
            </w: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33,613</w:t>
            </w: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74"/>
        </w:trPr>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w:t>
            </w: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which improves income tax disclosure requirements, primarily through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effective income tax rate reconciliation and additional disclosures regarding income taxes paid. The guidance is effective for fiscal years beginning after December 15, 2024, and interim periods within fiscal years beginning after December 15, 2024.</w:t>
      </w:r>
    </w:p>
    <w:p>
      <w:pPr>
        <w:spacing w:after="0" w:line="185" w:lineRule="exact"/>
        <w:rPr>
          <w:sz w:val="20"/>
          <w:szCs w:val="20"/>
          <w:color w:val="auto"/>
        </w:rPr>
      </w:pPr>
    </w:p>
    <w:p>
      <w:pPr>
        <w:ind w:left="40" w:right="139" w:firstLine="324"/>
        <w:spacing w:after="0" w:line="282" w:lineRule="auto"/>
        <w:rPr>
          <w:sz w:val="20"/>
          <w:szCs w:val="20"/>
          <w:color w:val="auto"/>
        </w:rPr>
      </w:pPr>
      <w:r>
        <w:rPr>
          <w:rFonts w:ascii="Times New Roman" w:cs="Times New Roman" w:eastAsia="Times New Roman" w:hAnsi="Times New Roman"/>
          <w:sz w:val="18"/>
          <w:szCs w:val="18"/>
          <w:color w:val="auto"/>
        </w:rPr>
        <w:t>The Company adopted ASU 2023-09 effective January 1, 2025, on a prospective basis. The adoption of ASU 2023-09 did not have a significant impact to the condensed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Under Evaluation</w:t>
      </w:r>
    </w:p>
    <w:p>
      <w:pPr>
        <w:spacing w:after="0" w:line="227"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(Topic 220): Disaggregation of Income Statement Expenses</w:t>
      </w:r>
      <w:r>
        <w:rPr>
          <w:rFonts w:ascii="Times New Roman" w:cs="Times New Roman" w:eastAsia="Times New Roman" w:hAnsi="Times New Roman"/>
          <w:sz w:val="18"/>
          <w:szCs w:val="18"/>
          <w:color w:val="auto"/>
        </w:rPr>
        <w:t>, which requires additional disclosure of certain amounts included in the expense captions presented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operations, as well as disclosures about selling expenses. ASU 2024-03 is effective for the Company’s annual reporting periods beginning after December 15, 2026 and interim reporting periods beginning after December 15, 2027, on a prospective basis, with the option for retrospective application. Early adoption is permitted for annual financial statements that have not yet been issued. The Company is currently evaluating the impact that the standard will have on its condensed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The Company </w:t>
      </w:r>
      <w:r>
        <w:rPr>
          <w:rFonts w:ascii="Times New Roman" w:cs="Times New Roman" w:eastAsia="Times New Roman" w:hAnsi="Times New Roman"/>
          <w:sz w:val="18"/>
          <w:szCs w:val="18"/>
          <w:color w:val="000000"/>
        </w:rPr>
        <w:t>reviewed</w:t>
      </w:r>
      <w:r>
        <w:rPr>
          <w:rFonts w:ascii="Times New Roman" w:cs="Times New Roman" w:eastAsia="Times New Roman" w:hAnsi="Times New Roman"/>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Statements of Operations and Comprehensive Loss Components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sells products to its distributors, original design manufacturers (ODMs), and original equipment manufacturers (OEMs). The Company also recognizes revenue under licensing, patent, and royalty agreements with some customers.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sales channel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165"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16"/>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r>
      <w:tr>
        <w:trPr>
          <w:trHeight w:val="209"/>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0"/>
        </w:trPr>
        <w:tc>
          <w:tcPr>
            <w:tcW w:w="4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31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p>
      <w:pPr>
        <w:spacing w:after="0" w:line="187"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09"/>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14,430</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left="40" w:right="279" w:firstLine="324"/>
        <w:spacing w:after="0" w:line="289" w:lineRule="auto"/>
        <w:rPr>
          <w:sz w:val="20"/>
          <w:szCs w:val="20"/>
          <w:color w:val="auto"/>
        </w:rPr>
      </w:pPr>
      <w:r>
        <w:rPr>
          <w:rFonts w:ascii="Times New Roman" w:cs="Times New Roman" w:eastAsia="Times New Roman" w:hAnsi="Times New Roman"/>
          <w:sz w:val="17"/>
          <w:szCs w:val="17"/>
          <w:color w:val="auto"/>
        </w:rPr>
        <w:t>On August 14, 2024, the Company received a strategic award to develop a long-term plan to provide manufacturing services for aerospace and defense segments (the Award). Under the Award, the Company will provide a plan to mitigate risks to its MRAM manufacturing supply chain. Pursuant to the Award, the Company may receive cash payments upon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the achievement of certain technical tasks and deliverables. The Award allows for milestones totaling up to approximately $14.6 million for the Company over a span of 2.5 years.</w:t>
      </w:r>
    </w:p>
    <w:p>
      <w:pPr>
        <w:spacing w:after="0" w:line="162" w:lineRule="exact"/>
        <w:rPr>
          <w:sz w:val="20"/>
          <w:szCs w:val="20"/>
          <w:color w:val="auto"/>
        </w:rPr>
      </w:pPr>
    </w:p>
    <w:p>
      <w:pPr>
        <w:ind w:left="40" w:right="459" w:firstLine="324"/>
        <w:spacing w:after="0" w:line="312" w:lineRule="auto"/>
        <w:rPr>
          <w:sz w:val="20"/>
          <w:szCs w:val="20"/>
          <w:color w:val="auto"/>
        </w:rPr>
      </w:pPr>
      <w:r>
        <w:rPr>
          <w:rFonts w:ascii="Times New Roman" w:cs="Times New Roman" w:eastAsia="Times New Roman" w:hAnsi="Times New Roman"/>
          <w:sz w:val="17"/>
          <w:szCs w:val="17"/>
          <w:color w:val="auto"/>
        </w:rPr>
        <w:t>The Award is not in the ordinary course of the Company’s business and hence not a contract with a customer. The Company has applied the revenue recognition principles under Accounting Standards Codification 606 by analogy.</w:t>
      </w:r>
    </w:p>
    <w:p>
      <w:pPr>
        <w:spacing w:after="0" w:line="140"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 billed $1.0 million relating to the Award and recorded $0.4 million of other income. The Company has recorded this other income using an input method based on costs incurred to date relative to the total expected costs of the Award over its term. The remaining $0.6 million of the billed amount for the Award is recorded as contract obligations liability on the condensed balance sheets. This amount represents the Company’s obligation to perform future services for which the Company has received or is entitled to receive payment but which are not yet fulfilled.</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6"/>
              </w:rPr>
              <w:t>10,991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4"/>
                <w:szCs w:val="24"/>
                <w:color w:val="auto"/>
              </w:rPr>
            </w:pPr>
          </w:p>
        </w:tc>
        <w:tc>
          <w:tcPr>
            <w:tcW w:w="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60" w:type="dxa"/>
            <w:vAlign w:val="bottom"/>
            <w:gridSpan w:val="2"/>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3,220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159"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during the three months ended March 31, 2025 and 2024 was $0.4 million and $0.4 million, respectively.</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intangible assets are as follows at the dates indicated (in thousands):</w:t>
      </w: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87"/>
        </w:trPr>
        <w:tc>
          <w:tcPr>
            <w:tcW w:w="3020" w:type="dxa"/>
            <w:vAlign w:val="bottom"/>
          </w:tcPr>
          <w:p>
            <w:pPr>
              <w:spacing w:after="0"/>
              <w:rPr>
                <w:sz w:val="16"/>
                <w:szCs w:val="16"/>
                <w:color w:val="auto"/>
              </w:rPr>
            </w:pPr>
          </w:p>
        </w:tc>
        <w:tc>
          <w:tcPr>
            <w:tcW w:w="1500" w:type="dxa"/>
            <w:vAlign w:val="bottom"/>
          </w:tcPr>
          <w:p>
            <w:pPr>
              <w:jc w:val="center"/>
              <w:ind w:left="3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20" w:type="dxa"/>
            <w:vAlign w:val="bottom"/>
          </w:tcPr>
          <w:p>
            <w:pPr>
              <w:spacing w:after="0"/>
              <w:rPr>
                <w:sz w:val="18"/>
                <w:szCs w:val="18"/>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3020" w:type="dxa"/>
            <w:vAlign w:val="bottom"/>
          </w:tcPr>
          <w:p>
            <w:pPr>
              <w:spacing w:after="0"/>
              <w:rPr>
                <w:sz w:val="20"/>
                <w:szCs w:val="20"/>
                <w:color w:val="auto"/>
              </w:rPr>
            </w:pPr>
          </w:p>
        </w:tc>
        <w:tc>
          <w:tcPr>
            <w:tcW w:w="15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0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0"/>
        </w:trPr>
        <w:tc>
          <w:tcPr>
            <w:tcW w:w="3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42"/>
        </w:trPr>
        <w:tc>
          <w:tcPr>
            <w:tcW w:w="30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7"/>
        </w:trPr>
        <w:tc>
          <w:tcPr>
            <w:tcW w:w="3020" w:type="dxa"/>
            <w:vAlign w:val="bottom"/>
          </w:tcPr>
          <w:p>
            <w:pPr>
              <w:spacing w:after="0"/>
              <w:rPr>
                <w:sz w:val="16"/>
                <w:szCs w:val="16"/>
                <w:color w:val="auto"/>
              </w:rPr>
            </w:pPr>
          </w:p>
        </w:tc>
        <w:tc>
          <w:tcPr>
            <w:tcW w:w="1500" w:type="dxa"/>
            <w:vAlign w:val="bottom"/>
          </w:tcPr>
          <w:p>
            <w:pPr>
              <w:jc w:val="center"/>
              <w:ind w:left="3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20" w:type="dxa"/>
            <w:vAlign w:val="bottom"/>
          </w:tcPr>
          <w:p>
            <w:pPr>
              <w:spacing w:after="0"/>
              <w:rPr>
                <w:sz w:val="18"/>
                <w:szCs w:val="18"/>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3020" w:type="dxa"/>
            <w:vAlign w:val="bottom"/>
          </w:tcPr>
          <w:p>
            <w:pPr>
              <w:spacing w:after="0"/>
              <w:rPr>
                <w:sz w:val="20"/>
                <w:szCs w:val="20"/>
                <w:color w:val="auto"/>
              </w:rPr>
            </w:pPr>
          </w:p>
        </w:tc>
        <w:tc>
          <w:tcPr>
            <w:tcW w:w="15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0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0"/>
        </w:trPr>
        <w:tc>
          <w:tcPr>
            <w:tcW w:w="3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239"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the intangible assets was $0.4 million and zero for the three months ended March 31, 2025 and 2024, respectively.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10"/>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March 2025, the Company renewed a contractual arrangement with a customer for the development of a strategic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radiation hardened (“RAD-Hard”) field programmable gate array product. The total consideration in the arrangement is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 million. The Company is recognizing revenue related to the performance obligation over time using the input method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based on costs incurred to date relative to the total expected costs of the contract and began recognizing revenue in the first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quarter of 2025. As of March 31, 2025, the Company has billed $0.2 million for the performance under the agreement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has recognized $0.1 million in revenue for the three months ended March 31, 2025, with the $0.1 million difference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deferred revenue. The Company expects to recognize the remaining $0.1 million of the transaction price as services are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performed throughout the contractual period and performance is expected to be complete in the year ended December 31,</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The Company concluded this contractual arrangement represents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In January 2025, the Company executed a contractual arrangement with a customer to provide engineering services supporting the customer’s development that uses capabilities of MRAM for in-memory computing. The total consideration in the arrangement is $4.1 million. The Company is recognizing revenue related to the performance obligation over time using the input method based on costs incurred to date relative to the total expected costs of the contract and began recognizing revenue in the first quarter of 2025. As of March 31, 2025, the Company has billed $2.2 million for the performance under the agreement and has recognized $1.2 million in revenue for the three months ended March 31, 2025, with the $1.0 difference in deferred revenue. The Company expects to recognize the remaining $1.0 million of the transaction price as services are performed throughout the contractual period and performance is expected to be complete in the year ended December 31, 2025.</w:t>
      </w:r>
    </w:p>
    <w:p>
      <w:pPr>
        <w:spacing w:after="0" w:line="188"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The Company concluded that this contractual arrangement represents one arrangement and assessed the nature of the promises made to the customer to determine whether the performance obligations were distinct. The Company determined that the engineering services are not separately identifiable from the promised development services, as the engineering services are highly interrelated with, and dependent upon, the overall development services over the life of the contract. Accordingly, the Company concluded that the engineering services are not distinct within the context of the contract and, therefore, should be combined with the other promised services into a single performance obligation.</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Operating leases consist primarily of office space and manufacturing facilities expiring at various dates through 2029. Finance leases relate to server leases expiring at various dates through 2029. The Company’s lease agreements do not contain any material residual value guarantees or material restrictive covenants.</w:t>
      </w:r>
    </w:p>
    <w:p>
      <w:pPr>
        <w:spacing w:after="0" w:line="176"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9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4.15</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3.90 %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3.90 %</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share-based compensation expense (in thousands):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39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three months ended March 31, 2025:</w:t>
      </w:r>
    </w:p>
    <w:p>
      <w:pPr>
        <w:spacing w:after="0" w:line="232"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1,509,111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exercisable—March 31, 2025</w:t>
            </w:r>
          </w:p>
        </w:tc>
        <w:tc>
          <w:tcPr>
            <w:tcW w:w="98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line="20" w:lineRule="exact"/>
              <w:rPr>
                <w:sz w:val="1"/>
                <w:szCs w:val="1"/>
                <w:color w:val="auto"/>
              </w:rPr>
            </w:pPr>
          </w:p>
        </w:tc>
      </w:tr>
      <w:tr>
        <w:trPr>
          <w:trHeight w:val="197"/>
        </w:trPr>
        <w:tc>
          <w:tcPr>
            <w:tcW w:w="3000" w:type="dxa"/>
            <w:vAlign w:val="bottom"/>
            <w:gridSpan w:val="2"/>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1,407,156</w:t>
            </w:r>
          </w:p>
        </w:tc>
        <w:tc>
          <w:tcPr>
            <w:tcW w:w="3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539" w:firstLine="324"/>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options vested was $0.2 million and $0.3 million during the three months ended March 31, 2025 and 2024, respectively.</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options were granted in the three months ended March 31, 2025 or 2024.</w:t>
      </w:r>
    </w:p>
    <w:p>
      <w:pPr>
        <w:spacing w:after="0" w:line="225" w:lineRule="exact"/>
        <w:rPr>
          <w:sz w:val="20"/>
          <w:szCs w:val="20"/>
          <w:color w:val="auto"/>
        </w:rPr>
      </w:pPr>
    </w:p>
    <w:p>
      <w:pPr>
        <w:ind w:left="40" w:right="51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there was $0.5 million of total unrecognized stock-based compensation expense related to unvested options which is expected to be recognized over a weighted-average period of 0.91 years. Stock-based compensation cost for options capitalized within inventory at March 31, 2025 and 2024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jc w:val="both"/>
        <w:ind w:left="40" w:right="179" w:firstLine="324"/>
        <w:spacing w:after="0" w:line="261" w:lineRule="auto"/>
        <w:rPr>
          <w:sz w:val="20"/>
          <w:szCs w:val="20"/>
          <w:color w:val="auto"/>
        </w:rPr>
      </w:pPr>
      <w:r>
        <w:rPr>
          <w:rFonts w:ascii="Times New Roman" w:cs="Times New Roman" w:eastAsia="Times New Roman" w:hAnsi="Times New Roman"/>
          <w:sz w:val="18"/>
          <w:szCs w:val="18"/>
          <w:color w:val="auto"/>
        </w:rPr>
        <w:t>In January 2025, there was an increase of 220,596 shares reserved for issuance under the Company’s Employee Stock Purchase Plan (ESPP) pursuant to the terms of the ESPP. The Company had 1,252,396 shares available for future issuance under the Company’s ESPP as of March 31, 2025. Employees did not purchase any shares during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three months ended March 31, 2025:</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987,965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781,336</w:t>
            </w: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(281,828)</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(4,853)</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w:t>
      </w:r>
    </w:p>
    <w:p>
      <w:pPr>
        <w:spacing w:after="0" w:line="162" w:lineRule="exact"/>
        <w:rPr>
          <w:sz w:val="20"/>
          <w:szCs w:val="20"/>
          <w:color w:val="auto"/>
        </w:rPr>
      </w:pPr>
    </w:p>
    <w:p>
      <w:pPr>
        <w:ind w:left="40" w:right="21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there was $9.4 million of unrecognized stock-based compensation expense related to RSUs to be recognized over a weighted-average period of 2.4 years. Stock-based compensation cost related to RSUs capitalized within inventory at March 31, 2025 and 2024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Significant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left="40" w:right="239" w:firstLine="324"/>
        <w:spacing w:after="0" w:line="256"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(GLOBALFOUNDRIES), a semiconductor foundry, for the joint development of Spin-transfer Torque MRAM (STT-MRAM), technology to produce a family of discrete and embedded MRAM technologies. The term of the JDA is until the completion, termination, or expiration of the last statement of work entered into pursuant to the JDA. The JDA was extended on December 31, 2019, to include a new phase of support for 12nm MRAM development.</w:t>
      </w:r>
    </w:p>
    <w:p>
      <w:pPr>
        <w:spacing w:after="0" w:line="187" w:lineRule="exact"/>
        <w:rPr>
          <w:sz w:val="20"/>
          <w:szCs w:val="20"/>
          <w:color w:val="auto"/>
        </w:rPr>
      </w:pPr>
    </w:p>
    <w:p>
      <w:pPr>
        <w:ind w:left="40" w:right="179" w:firstLine="401"/>
        <w:spacing w:after="0" w:line="254"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GLOBALFOUNDRIES possesses the exclusive right to manufacture the Company’s discrete and embedded STT-MRAM devices developed pursuant to the JDA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JDA to named competitors of the Company.</w:t>
      </w:r>
    </w:p>
    <w:p>
      <w:pPr>
        <w:spacing w:after="0" w:line="84" w:lineRule="exact"/>
        <w:rPr>
          <w:sz w:val="20"/>
          <w:szCs w:val="20"/>
          <w:color w:val="auto"/>
        </w:rPr>
      </w:pPr>
    </w:p>
    <w:p>
      <w:pPr>
        <w:ind w:left="40" w:right="59" w:firstLine="401"/>
        <w:spacing w:after="0" w:line="266" w:lineRule="auto"/>
        <w:rPr>
          <w:sz w:val="20"/>
          <w:szCs w:val="20"/>
          <w:color w:val="auto"/>
        </w:rPr>
      </w:pPr>
      <w:r>
        <w:rPr>
          <w:rFonts w:ascii="Times New Roman" w:cs="Times New Roman" w:eastAsia="Times New Roman" w:hAnsi="Times New Roman"/>
          <w:sz w:val="18"/>
          <w:szCs w:val="18"/>
          <w:color w:val="auto"/>
        </w:rPr>
        <w:t>If GLOBALFOUNDRIES manufactures, sells, or transfers to customers wafers containing production quantified STT-MRAM devices that utilize certain design information, GLOBALFOUNDRIES will be required to pay the Company a royalty.</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Net (Loss) Income Per Common Share</w:t>
      </w:r>
    </w:p>
    <w:p>
      <w:pPr>
        <w:spacing w:after="0" w:line="229" w:lineRule="exact"/>
        <w:rPr>
          <w:sz w:val="20"/>
          <w:szCs w:val="20"/>
          <w:color w:val="auto"/>
        </w:rPr>
      </w:pPr>
    </w:p>
    <w:p>
      <w:pPr>
        <w:jc w:val="both"/>
        <w:ind w:left="40" w:right="59" w:firstLine="441"/>
        <w:spacing w:after="0" w:line="255" w:lineRule="auto"/>
        <w:rPr>
          <w:sz w:val="20"/>
          <w:szCs w:val="20"/>
          <w:color w:val="auto"/>
        </w:rPr>
      </w:pPr>
      <w:r>
        <w:rPr>
          <w:rFonts w:ascii="Times New Roman" w:cs="Times New Roman" w:eastAsia="Times New Roman" w:hAnsi="Times New Roman"/>
          <w:sz w:val="18"/>
          <w:szCs w:val="18"/>
          <w:color w:val="auto"/>
        </w:rPr>
        <w:t>Basic net (loss) income per common share is calculated by dividing the net (loss) income by the weighted-average number of shares of common stock outstanding for the period less shares subject to repurchase, without consideration of potentially dilutive securities. Diluted earnings per share is calculated using the treasury stock method by dividing net (loss) income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(loss) income per share attributable to common stockholders (in thousands, except share and per share amounts):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Basic and diluted EPS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income attributable to common stockholders, diluted</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22,188,114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74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22,188,114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21,252,359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diluted</w:t>
            </w: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279" w:firstLine="324"/>
        <w:spacing w:after="0" w:line="266" w:lineRule="auto"/>
        <w:rPr>
          <w:sz w:val="20"/>
          <w:szCs w:val="20"/>
          <w:color w:val="auto"/>
        </w:rPr>
      </w:pPr>
      <w:r>
        <w:rPr>
          <w:rFonts w:ascii="Times New Roman" w:cs="Times New Roman" w:eastAsia="Times New Roman" w:hAnsi="Times New Roman"/>
          <w:sz w:val="18"/>
          <w:szCs w:val="18"/>
          <w:color w:val="auto"/>
        </w:rPr>
        <w:t>Potentially dilutive securities representing 1.8 million and 1.5 million stock options and RSUs that were outstanding during the three months ended March 31, 2025, and 2024, respectively, were excluded from the computation of diluted earnings per common share during these periods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4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4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379" w:firstLine="324"/>
        <w:spacing w:after="0" w:line="255" w:lineRule="auto"/>
        <w:rPr>
          <w:sz w:val="20"/>
          <w:szCs w:val="20"/>
          <w:color w:val="auto"/>
        </w:rPr>
      </w:pPr>
      <w:r>
        <w:rPr>
          <w:rFonts w:ascii="Times New Roman" w:cs="Times New Roman" w:eastAsia="Times New Roman" w:hAnsi="Times New Roman"/>
          <w:sz w:val="18"/>
          <w:szCs w:val="18"/>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OEMs and ODMs.</w:t>
      </w:r>
    </w:p>
    <w:p>
      <w:pPr>
        <w:spacing w:after="0" w:line="225" w:lineRule="exact"/>
        <w:rPr>
          <w:sz w:val="20"/>
          <w:szCs w:val="20"/>
          <w:color w:val="auto"/>
        </w:rPr>
      </w:pPr>
    </w:p>
    <w:p>
      <w:pPr>
        <w:ind w:left="40" w:right="199" w:firstLine="324"/>
        <w:spacing w:after="0" w:line="258"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net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income, a non-GAAP financial measure, and design wins. We define Adjusted net income as net income adjusted for stock-based compensation expense.</w:t>
      </w:r>
    </w:p>
    <w:p>
      <w:pPr>
        <w:spacing w:after="0" w:line="160"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Our management and board of directors use Adjusted net income to assess and evaluate our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financial trends, inform the annual budgeting process, and guide both short-term and long-term operational and strategic planning. As such, we believe Adjusted net income provides meaningful insight for investors into our financial performance, consistent with how our management team and board view and analyze our results. Adjusted net income is a non-GAAP financial measure and should be considered alongside, but not as a replacement for or superior to, net income as reported in accordance with GAAP. The following table provides a reconciliation of net income, the most directly comparable GAAP measure, to Adjusted net income for the periods presented:</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 reconciliation:</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2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Net Income</w:t>
            </w: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4"/>
          </w:tcPr>
          <w:p>
            <w:pPr>
              <w:jc w:val="right"/>
              <w:ind w:right="29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(As a percentage</w:t>
            </w:r>
          </w:p>
        </w:tc>
        <w:tc>
          <w:tcPr>
            <w:tcW w:w="7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of revenue)</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1099" w:firstLine="324"/>
        <w:spacing w:after="0" w:line="282" w:lineRule="auto"/>
        <w:rPr>
          <w:sz w:val="20"/>
          <w:szCs w:val="20"/>
          <w:color w:val="auto"/>
        </w:rPr>
      </w:pPr>
      <w:r>
        <w:rPr>
          <w:rFonts w:ascii="Times New Roman" w:cs="Times New Roman" w:eastAsia="Times New Roman" w:hAnsi="Times New Roman"/>
          <w:sz w:val="18"/>
          <w:szCs w:val="18"/>
          <w:color w:val="auto"/>
        </w:rPr>
        <w:t>We generated 60% and 71% of our revenue from products sold to distributors for the three months ended March 31, 2025 and 2024, respectively.</w:t>
      </w:r>
    </w:p>
    <w:p>
      <w:pPr>
        <w:spacing w:after="0" w:line="162"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In addition to selling our products to our distributors, we maintain a direct selling relationship, for strategic purposes, with several key customer accounts. We have organized our sales team and representatives into three primary regions: North America; EMEA; and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5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50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10"/>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14,430</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5"/>
          </w:tcPr>
          <w:p>
            <w:pPr>
              <w:jc w:val="right"/>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14,430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68" w:lineRule="auto"/>
        <w:rPr>
          <w:sz w:val="20"/>
          <w:szCs w:val="20"/>
          <w:color w:val="auto"/>
        </w:rPr>
      </w:pPr>
      <w:r>
        <w:rPr>
          <w:rFonts w:ascii="Times New Roman" w:cs="Times New Roman" w:eastAsia="Times New Roman" w:hAnsi="Times New Roman"/>
          <w:sz w:val="17"/>
          <w:szCs w:val="17"/>
          <w:color w:val="auto"/>
        </w:rPr>
        <w:t>Total revenue decreased by $1.3 million, or 9.0%, from $14.4 million during the three months ended March 31, 2024 to $13.1 million during the three months ended March 31, 2025. The decrease was primarily due to a decrease in licensing, royalty, patent, and other revenue of $1.5 million. Licensing, royalty, patent, and other revenue is a highly variable revenue item characterized by a small number of transactions annually with revenue based on size and terms of each transaction. Our best estimate of royalty revenue earned is made throughout the year for royalty contracts with an annual performance period, with an annual adjustment recognized for actual sales in the first quarter of each fiscal year. Licensing, royalty, patent, and other revenue decreased by $1.5 million, or 40.8% from $3.6 million during the three months ended</w:t>
      </w:r>
    </w:p>
    <w:p>
      <w:pPr>
        <w:spacing w:after="0" w:line="2" w:lineRule="exact"/>
        <w:rPr>
          <w:sz w:val="20"/>
          <w:szCs w:val="20"/>
          <w:color w:val="auto"/>
        </w:rPr>
      </w:pPr>
    </w:p>
    <w:p>
      <w:pPr>
        <w:ind w:left="40" w:right="299"/>
        <w:spacing w:after="0" w:line="253" w:lineRule="auto"/>
        <w:rPr>
          <w:sz w:val="20"/>
          <w:szCs w:val="20"/>
          <w:color w:val="auto"/>
        </w:rPr>
      </w:pPr>
      <w:r>
        <w:rPr>
          <w:rFonts w:ascii="Times New Roman" w:cs="Times New Roman" w:eastAsia="Times New Roman" w:hAnsi="Times New Roman"/>
          <w:sz w:val="18"/>
          <w:szCs w:val="18"/>
          <w:color w:val="auto"/>
        </w:rPr>
        <w:t>March 31, 2024, to $2.1 million during the three months ended March 31, 2025. The decrease was primarily due to the progression of our contractual agreements with customers for the development of RAD-Hard products, along with the conclusion of a contractual arrangement with a customer for the development of reliability models for strategic radiation hardened toggle MRAM, partially offset by a new agreement for the development of an AI technology application.</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6"/>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$ 6,029</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$ 6,002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$ 6,385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$ 6,270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7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9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Cost of product sales remained consistent at $6.0 million during the three months ended March 31, 2025 and 2024.</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 of product sales relate primarily to costs of our toggle and STT products.</w:t>
      </w:r>
    </w:p>
    <w:p>
      <w:pPr>
        <w:spacing w:after="0" w:line="207" w:lineRule="exact"/>
        <w:rPr>
          <w:sz w:val="20"/>
          <w:szCs w:val="20"/>
          <w:color w:val="auto"/>
        </w:rPr>
      </w:pPr>
    </w:p>
    <w:p>
      <w:pPr>
        <w:ind w:left="40" w:right="79" w:firstLine="324"/>
        <w:spacing w:after="0" w:line="261" w:lineRule="auto"/>
        <w:rPr>
          <w:sz w:val="20"/>
          <w:szCs w:val="20"/>
          <w:color w:val="auto"/>
        </w:rPr>
      </w:pPr>
      <w:r>
        <w:rPr>
          <w:rFonts w:ascii="Times New Roman" w:cs="Times New Roman" w:eastAsia="Times New Roman" w:hAnsi="Times New Roman"/>
          <w:sz w:val="18"/>
          <w:szCs w:val="18"/>
          <w:color w:val="auto"/>
        </w:rPr>
        <w:t>Cost of licensing, royalty, patent, and other revenue slightly increased by $0.1 million, or 32.8% from $0.3 million during the three months ended March 31, 2024, to $0.4 million during the three months ended March 31, 2025. The increase was primarily due to an increase in licensing costs related to labor and materials associated with the progression of our RAD-Hard projects.</w:t>
      </w:r>
    </w:p>
    <w:p>
      <w:pPr>
        <w:spacing w:after="0" w:line="180"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from 56.5% during the three months ended March 31, 2024, to 51.4% during the three months ended March 31, 2025. Gross margin decreased as a result of a shift in product mix, a decrease in FAB loadings, and a decrease in licensing revenue partially offset by increased yields on our toggle products.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2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5"/>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$ 3,356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$ 3,418</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26 %</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jc w:val="both"/>
        <w:ind w:left="40" w:right="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remained consistent at $3.4 million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2025 and 2024. Research and development expenses relate primarily to the development and enhancement of our new Extended Serial Peripheral Interface (xSPI) family of STT-MRAM products,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19"/>
        <w:spacing w:after="0" w:line="282" w:lineRule="auto"/>
        <w:rPr>
          <w:sz w:val="20"/>
          <w:szCs w:val="20"/>
          <w:color w:val="auto"/>
        </w:rPr>
      </w:pPr>
      <w:r>
        <w:rPr>
          <w:rFonts w:ascii="Times New Roman" w:cs="Times New Roman" w:eastAsia="Times New Roman" w:hAnsi="Times New Roman"/>
          <w:sz w:val="18"/>
          <w:szCs w:val="18"/>
          <w:color w:val="auto"/>
        </w:rPr>
        <w:t>which offer high-performance, multiple I/O, SPI-compatibility and feature a high-speed, low pin count SPI compatible interface, and increases in share-based compensation.</w:t>
      </w:r>
    </w:p>
    <w:p>
      <w:pPr>
        <w:spacing w:after="0" w:line="15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6"/>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$ 3,838</w:t>
            </w:r>
          </w:p>
        </w:tc>
        <w:tc>
          <w:tcPr>
            <w:tcW w:w="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$ 4,036</w:t>
            </w:r>
          </w:p>
        </w:tc>
        <w:tc>
          <w:tcPr>
            <w:tcW w:w="1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 (198)</w:t>
            </w:r>
          </w:p>
        </w:tc>
        <w:tc>
          <w:tcPr>
            <w:tcW w:w="1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$0.2 million, or 4.9%,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 million during the three months ended March 31, 2024, to $3.8 million during the three months ended March 31, 2025. The decrease is primarily due to reduced professional services costs.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5"/>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$ 1,491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$ 185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jc w:val="both"/>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$0.2 million, or 14.2%, from $1.3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2024, to $1.5 million during the three months ended March 31, 2025. Sales and marketing expenses relate primarily to compensation costs and contract labor.</w:t>
      </w:r>
    </w:p>
    <w:p>
      <w:pPr>
        <w:spacing w:after="0" w:line="196"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42"/>
        </w:trPr>
        <w:tc>
          <w:tcPr>
            <w:tcW w:w="2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5"/>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w w:val="90"/>
              </w:rPr>
              <w:t>(Dollars in thousands)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0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(31)</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income remained consistent at $0.4 million during the three months ended March 31, 2025 and 2024.</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5"/>
                <w:szCs w:val="15"/>
                <w:color w:val="auto"/>
              </w:rPr>
            </w:pPr>
          </w:p>
        </w:tc>
        <w:tc>
          <w:tcPr>
            <w:tcW w:w="16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gridSpan w:val="2"/>
            <w:vMerge w:val="continue"/>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$ 429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Other income (expense), net increased by $0.4 million, or 1,046.3%, from $0.04 million other expense during the three months ended March 31, 2024, to $0.4 million other income during the three months ended March 31, 2025. </w:t>
      </w:r>
      <w:r>
        <w:rPr>
          <w:rFonts w:ascii="Times New Roman" w:cs="Times New Roman" w:eastAsia="Times New Roman" w:hAnsi="Times New Roman"/>
          <w:sz w:val="18"/>
          <w:szCs w:val="18"/>
          <w:color w:val="212529"/>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relates primarily to other income recognized from a strategic award received by the Company to develop a long-term plan to provide manufacturing services for aerospace and defense segments.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March 31, 2025, we had $42.2 million of cash and cash equivalents, compared to $42.1 million as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2024. We believe our cash and cash equivalents are sufficient to meet our anticipated capital requirements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next 12 months. Our future capital requirements will depend on many factors, including, among other things, our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growth rate, the timing and extent of our spending to support research and development activities, the timing and cost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establishing additional sales and marketing capabilities, and the introduction of new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28"/>
        </w:trPr>
        <w:tc>
          <w:tcPr>
            <w:tcW w:w="4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operating activities was $1.4 million, which consisted of net loss of $1.2 million, non-cash charges of $2.4 million and changes of net operating assets and liabilities of $0.2 million. The non-cash charges primarily consisted of stock-based compensation of $1.6 million, depreciation and amortization of $0.8 million. The change in our net operating assets and liabilities was primarily due to an increase in accounts payable of $1.1 million, an increase in deferred revenue of $1.1 million, an increase in contract obligations of $0.6 million, a decrease in prepaid expenses and other current assets of $0.2 million, offset by an increase in inventory of $1.9 million, and an increase in accounts receivable of $0.8 million.</w:t>
      </w:r>
    </w:p>
    <w:p>
      <w:pPr>
        <w:spacing w:after="0" w:line="189"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cash used in operating activities was $1.3 million, which consisted of net loss of $0.2 million, cash provided by non-cash charges of $2.1 million and changes of net operating assets and liabilities of $3.3 million. The non-cash charges consisted of stock-based compensation of $1.7 million and depreciation and amortization of $0.4 million. The use of cash due to the change in our net operating assets and liabilities was primarily due to an increase in accounts receivable of $1.5 million due to timing of cash receipts for outstanding balances, offset by a decrease in inventory of $0.3 million, a decrease in prepaid and other current assets of $0.5 million, a decrease in accrued liabilities of $2.3 million, and a decrease in deferred revenue of $0.3 million.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2025 was $1.4 million primarily due to $0.9 million in purchases of manufacturing equipment and $0.5 million in purchase of intangible assets.</w:t>
      </w:r>
    </w:p>
    <w:p>
      <w:pPr>
        <w:spacing w:after="0" w:line="162" w:lineRule="exact"/>
        <w:rPr>
          <w:sz w:val="20"/>
          <w:szCs w:val="20"/>
          <w:color w:val="auto"/>
        </w:rPr>
      </w:pPr>
    </w:p>
    <w:p>
      <w:pPr>
        <w:ind w:left="40" w:right="41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2024 was $1.2 million primarily for the purchases of manufacturing equipment.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2025 was $0.01 million, consisting of proceeds from the exercise of employee stock options and purchase of shares under our employee stock purchase plan, offset by payments of finance leases.</w:t>
      </w:r>
    </w:p>
    <w:p>
      <w:pPr>
        <w:spacing w:after="0" w:line="176" w:lineRule="exact"/>
        <w:rPr>
          <w:sz w:val="20"/>
          <w:szCs w:val="20"/>
          <w:color w:val="auto"/>
        </w:rPr>
      </w:pPr>
    </w:p>
    <w:p>
      <w:pPr>
        <w:ind w:left="40" w:right="279" w:firstLine="324"/>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2024 was $0.4 million, consisting of proceeds from the exercise of employee stock options.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2024, filed with the SEC on February 27, 2025, that have had a material impact on our condensed financial statements and related notes.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(CEO) and Chief Financial Officer (CFO), evaluated the effectiveness of the design and operation of our disclosure controls and procedures (as defined in Rules 13a-15(e) and 15d-15(e) under the Exchange Act), as of March 31, 2025, the end of the period covered by this Quarterly Report on Form 10-Q.</w:t>
      </w:r>
    </w:p>
    <w:p>
      <w:pPr>
        <w:spacing w:after="0" w:line="180" w:lineRule="exact"/>
        <w:rPr>
          <w:sz w:val="20"/>
          <w:szCs w:val="20"/>
          <w:color w:val="auto"/>
        </w:rPr>
      </w:pPr>
    </w:p>
    <w:p>
      <w:pPr>
        <w:ind w:left="40" w:right="299" w:firstLine="324"/>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March 31, 2025.</w:t>
      </w:r>
    </w:p>
    <w:p>
      <w:pPr>
        <w:spacing w:after="0" w:line="162" w:lineRule="exact"/>
        <w:rPr>
          <w:sz w:val="20"/>
          <w:szCs w:val="20"/>
          <w:color w:val="auto"/>
        </w:rPr>
      </w:pPr>
    </w:p>
    <w:p>
      <w:pPr>
        <w:ind w:left="40" w:right="419" w:firstLine="40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March 31, 2025 that materially affected, or are reasonably likely to materially affect, our internal control over financial reporting.</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left="40" w:right="59" w:firstLine="401"/>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219" w:firstLine="324"/>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December 31, 2024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w:t>
      </w:r>
    </w:p>
    <w:p>
      <w:pPr>
        <w:spacing w:after="0" w:line="179" w:lineRule="exact"/>
        <w:rPr>
          <w:sz w:val="20"/>
          <w:szCs w:val="20"/>
          <w:color w:val="auto"/>
        </w:rPr>
      </w:pPr>
    </w:p>
    <w:p>
      <w:pPr>
        <w:ind w:left="40" w:right="5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ind w:left="40" w:right="359" w:firstLine="324"/>
        <w:spacing w:after="0" w:line="282" w:lineRule="auto"/>
        <w:rPr>
          <w:sz w:val="20"/>
          <w:szCs w:val="20"/>
          <w:color w:val="auto"/>
        </w:rPr>
      </w:pPr>
      <w:r>
        <w:rPr>
          <w:rFonts w:ascii="Times New Roman" w:cs="Times New Roman" w:eastAsia="Times New Roman" w:hAnsi="Times New Roman"/>
          <w:sz w:val="18"/>
          <w:szCs w:val="18"/>
          <w:color w:val="auto"/>
        </w:rPr>
        <w:t>The recent announcements of substantial new tariffs and other restrictive trade policies have created a dynamic and unpredictable trade landscape, which may adversely impact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Current or future tariffs or other restrictive trade measures may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w:t>
      </w:r>
    </w:p>
    <w:p>
      <w:pPr>
        <w:spacing w:after="0" w:line="180"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187"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Ongoing uncertainty regarding trade policies may also complicate our short- and long-term strategic planning, and that of our partners and customers, including decisions regarding hiring, product strategy, capital investment, supply chain design and geographic expansion.</w:t>
      </w:r>
    </w:p>
    <w:p>
      <w:pPr>
        <w:spacing w:after="0" w:line="176" w:lineRule="exact"/>
        <w:rPr>
          <w:sz w:val="20"/>
          <w:szCs w:val="20"/>
          <w:color w:val="auto"/>
        </w:rPr>
      </w:pPr>
    </w:p>
    <w:p>
      <w:pPr>
        <w:ind w:left="40" w:right="239" w:firstLine="324"/>
        <w:spacing w:after="0" w:line="258"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our Annual Report on Form 10-K for our fiscal year ended December 31, 2024.</w:t>
      </w: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Trading Arrangements of Directors and Executive Officers.</w:t>
      </w:r>
    </w:p>
    <w:p>
      <w:pPr>
        <w:spacing w:after="0" w:line="227" w:lineRule="exact"/>
        <w:rPr>
          <w:sz w:val="20"/>
          <w:szCs w:val="20"/>
          <w:color w:val="auto"/>
        </w:rPr>
      </w:pPr>
    </w:p>
    <w:p>
      <w:pPr>
        <w:ind w:left="40" w:right="219" w:firstLine="401"/>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a non-Rule 10b5-1 trading arrangement (as defined under Item 408(a) of Regulation S-K) during the quarter ended March 31, 2025.</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6"/>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vMerge w:val="restart"/>
          </w:tcPr>
          <w:p>
            <w:pPr>
              <w:spacing w:after="0"/>
              <w:rPr>
                <w:sz w:val="10"/>
                <w:szCs w:val="10"/>
                <w:color w:val="auto"/>
              </w:rPr>
            </w:pPr>
          </w:p>
        </w:tc>
        <w:tc>
          <w:tcPr>
            <w:tcW w:w="660" w:type="dxa"/>
            <w:vAlign w:val="bottom"/>
            <w:vMerge w:val="restart"/>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740" w:type="dxa"/>
            <w:vAlign w:val="bottom"/>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2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8"/>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Certificate</w:t>
              </w:r>
            </w:hyperlink>
          </w:p>
        </w:tc>
        <w:tc>
          <w:tcPr>
            <w:tcW w:w="66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40"/>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8"/>
                <w:szCs w:val="18"/>
                <w:color w:val="auto"/>
              </w:rPr>
            </w:pPr>
          </w:p>
        </w:tc>
        <w:tc>
          <w:tcPr>
            <w:tcW w:w="13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of Incorporation</w:t>
              </w:r>
            </w:hyperlink>
          </w:p>
        </w:tc>
        <w:tc>
          <w:tcPr>
            <w:tcW w:w="4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 xml:space="preserve">Amendment </w:t>
              </w:r>
              <w:r>
                <w:rPr>
                  <w:rFonts w:ascii="Times New Roman" w:cs="Times New Roman" w:eastAsia="Times New Roman" w:hAnsi="Times New Roman"/>
                  <w:sz w:val="18"/>
                  <w:szCs w:val="18"/>
                  <w:color w:val="0000EE"/>
                  <w:highlight w:val="white"/>
                  <w:w w:val="98"/>
                </w:rPr>
                <w:t>to Amended and</w:t>
              </w:r>
            </w:hyperlink>
          </w:p>
        </w:tc>
        <w:tc>
          <w:tcPr>
            <w:tcW w:w="760" w:type="dxa"/>
            <w:vAlign w:val="bottom"/>
            <w:gridSpan w:val="3"/>
          </w:tcPr>
          <w:p>
            <w:pPr>
              <w:spacing w:after="0"/>
              <w:rPr>
                <w:sz w:val="24"/>
                <w:szCs w:val="24"/>
                <w:color w:val="auto"/>
              </w:rPr>
            </w:pPr>
          </w:p>
        </w:tc>
        <w:tc>
          <w:tcPr>
            <w:tcW w:w="66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40"/>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Restated Certificate of</w:t>
              </w:r>
            </w:hyperlink>
          </w:p>
        </w:tc>
        <w:tc>
          <w:tcPr>
            <w:tcW w:w="12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42">
              <w:r>
                <w:rPr>
                  <w:rFonts w:ascii="Times New Roman" w:cs="Times New Roman" w:eastAsia="Times New Roman" w:hAnsi="Times New Roman"/>
                  <w:sz w:val="18"/>
                  <w:szCs w:val="18"/>
                  <w:color w:val="0000EE"/>
                  <w:w w:val="97"/>
                </w:rPr>
                <w:t>Incorporation</w:t>
              </w:r>
            </w:hyperlink>
          </w:p>
        </w:tc>
        <w:tc>
          <w:tcPr>
            <w:tcW w:w="19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1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Amendment to Amended and</w:t>
              </w:r>
            </w:hyperlink>
          </w:p>
        </w:tc>
        <w:tc>
          <w:tcPr>
            <w:tcW w:w="700" w:type="dxa"/>
            <w:vAlign w:val="bottom"/>
            <w:gridSpan w:val="13"/>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001-37900</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w:t>
            </w:r>
          </w:p>
        </w:tc>
        <w:tc>
          <w:tcPr>
            <w:tcW w:w="11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5/27/2020</w:t>
            </w:r>
          </w:p>
        </w:tc>
      </w:tr>
      <w:tr>
        <w:trPr>
          <w:trHeight w:val="196"/>
        </w:trPr>
        <w:tc>
          <w:tcPr>
            <w:tcW w:w="118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Restated Certificate of</w:t>
              </w:r>
            </w:hyperlink>
          </w:p>
        </w:tc>
        <w:tc>
          <w:tcPr>
            <w:tcW w:w="1200" w:type="dxa"/>
            <w:vAlign w:val="bottom"/>
            <w:gridSpan w:val="20"/>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44">
              <w:r>
                <w:rPr>
                  <w:rFonts w:ascii="Times New Roman" w:cs="Times New Roman" w:eastAsia="Times New Roman" w:hAnsi="Times New Roman"/>
                  <w:sz w:val="18"/>
                  <w:szCs w:val="18"/>
                  <w:color w:val="0000EE"/>
                  <w:w w:val="97"/>
                </w:rPr>
                <w:t>Incorporation</w:t>
              </w:r>
            </w:hyperlink>
          </w:p>
        </w:tc>
        <w:tc>
          <w:tcPr>
            <w:tcW w:w="1840" w:type="dxa"/>
            <w:vAlign w:val="bottom"/>
            <w:gridSpan w:val="23"/>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21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Amendment to Amended and</w:t>
              </w:r>
            </w:hyperlink>
          </w:p>
        </w:tc>
        <w:tc>
          <w:tcPr>
            <w:tcW w:w="700" w:type="dxa"/>
            <w:vAlign w:val="bottom"/>
            <w:gridSpan w:val="13"/>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001-37900</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w:t>
            </w:r>
          </w:p>
        </w:tc>
        <w:tc>
          <w:tcPr>
            <w:tcW w:w="11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5/25/2023</w:t>
            </w:r>
          </w:p>
        </w:tc>
      </w:tr>
      <w:tr>
        <w:trPr>
          <w:trHeight w:val="196"/>
        </w:trPr>
        <w:tc>
          <w:tcPr>
            <w:tcW w:w="118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Restated Certificate of</w:t>
              </w:r>
            </w:hyperlink>
          </w:p>
        </w:tc>
        <w:tc>
          <w:tcPr>
            <w:tcW w:w="1200" w:type="dxa"/>
            <w:vAlign w:val="bottom"/>
            <w:gridSpan w:val="20"/>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45">
              <w:r>
                <w:rPr>
                  <w:rFonts w:ascii="Times New Roman" w:cs="Times New Roman" w:eastAsia="Times New Roman" w:hAnsi="Times New Roman"/>
                  <w:sz w:val="18"/>
                  <w:szCs w:val="18"/>
                  <w:color w:val="0000EE"/>
                  <w:w w:val="97"/>
                </w:rPr>
                <w:t>Incorporation</w:t>
              </w:r>
            </w:hyperlink>
          </w:p>
        </w:tc>
        <w:tc>
          <w:tcPr>
            <w:tcW w:w="1840" w:type="dxa"/>
            <w:vAlign w:val="bottom"/>
            <w:gridSpan w:val="23"/>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Amended and Restated Bylaws</w:t>
              </w:r>
            </w:hyperlink>
          </w:p>
        </w:tc>
        <w:tc>
          <w:tcPr>
            <w:tcW w:w="560" w:type="dxa"/>
            <w:vAlign w:val="bottom"/>
            <w:gridSpan w:val="6"/>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001-37900</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w:t>
            </w:r>
          </w:p>
        </w:tc>
        <w:tc>
          <w:tcPr>
            <w:tcW w:w="11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5/22/2019</w:t>
            </w: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20" w:type="dxa"/>
            <w:vAlign w:val="bottom"/>
            <w:gridSpan w:val="24"/>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Offer Letter, dated November 12,</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001-37900</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1/8/2025</w:t>
            </w:r>
          </w:p>
        </w:tc>
      </w:tr>
      <w:tr>
        <w:trPr>
          <w:trHeight w:val="196"/>
        </w:trPr>
        <w:tc>
          <w:tcPr>
            <w:tcW w:w="11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2024, by and between the</w:t>
              </w:r>
            </w:hyperlink>
          </w:p>
        </w:tc>
        <w:tc>
          <w:tcPr>
            <w:tcW w:w="560" w:type="dxa"/>
            <w:vAlign w:val="bottom"/>
            <w:tcBorders>
              <w:top w:val="single" w:sz="8" w:color="0000EE"/>
            </w:tcBorders>
            <w:gridSpan w:val="13"/>
          </w:tcPr>
          <w:p>
            <w:pPr>
              <w:spacing w:after="0"/>
              <w:rPr>
                <w:sz w:val="17"/>
                <w:szCs w:val="17"/>
                <w:color w:val="auto"/>
              </w:rPr>
            </w:pPr>
          </w:p>
        </w:tc>
        <w:tc>
          <w:tcPr>
            <w:tcW w:w="4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820" w:type="dxa"/>
            <w:vAlign w:val="bottom"/>
            <w:gridSpan w:val="2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registrant and William Cooper</w:t>
              </w:r>
            </w:hyperlink>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18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Executive Employment</w:t>
              </w:r>
            </w:hyperlink>
          </w:p>
        </w:tc>
        <w:tc>
          <w:tcPr>
            <w:tcW w:w="640" w:type="dxa"/>
            <w:vAlign w:val="bottom"/>
            <w:gridSpan w:val="10"/>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001-37900</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10.30</w:t>
            </w:r>
          </w:p>
        </w:tc>
        <w:tc>
          <w:tcPr>
            <w:tcW w:w="11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2/27/2025</w:t>
            </w:r>
          </w:p>
        </w:tc>
      </w:tr>
      <w:tr>
        <w:trPr>
          <w:trHeight w:val="20"/>
        </w:trPr>
        <w:tc>
          <w:tcPr>
            <w:tcW w:w="1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Agreement, dated February 26,</w:t>
              </w:r>
            </w:hyperlink>
          </w:p>
        </w:tc>
        <w:tc>
          <w:tcPr>
            <w:tcW w:w="58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2025, by and between the</w:t>
              </w:r>
            </w:hyperlink>
          </w:p>
        </w:tc>
        <w:tc>
          <w:tcPr>
            <w:tcW w:w="980" w:type="dxa"/>
            <w:vAlign w:val="bottom"/>
            <w:gridSpan w:val="15"/>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820" w:type="dxa"/>
            <w:vAlign w:val="bottom"/>
            <w:gridSpan w:val="2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registrant and William Cooper</w:t>
              </w:r>
            </w:hyperlink>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7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Non-Employee Director</w:t>
            </w:r>
          </w:p>
        </w:tc>
        <w:tc>
          <w:tcPr>
            <w:tcW w:w="440" w:type="dxa"/>
            <w:vAlign w:val="bottom"/>
            <w:tcBorders>
              <w:top w:val="single" w:sz="8" w:color="0000EE"/>
            </w:tcBorders>
            <w:gridSpan w:val="7"/>
          </w:tcPr>
          <w:p>
            <w:pPr>
              <w:spacing w:after="0"/>
              <w:rPr>
                <w:sz w:val="24"/>
                <w:szCs w:val="24"/>
                <w:color w:val="auto"/>
              </w:rPr>
            </w:pPr>
          </w:p>
        </w:tc>
        <w:tc>
          <w:tcPr>
            <w:tcW w:w="640" w:type="dxa"/>
            <w:vAlign w:val="bottom"/>
            <w:gridSpan w:val="10"/>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w:t>
            </w:r>
          </w:p>
        </w:tc>
        <w:tc>
          <w:tcPr>
            <w:tcW w:w="1780" w:type="dxa"/>
            <w:vAlign w:val="bottom"/>
            <w:gridSpan w:val="21"/>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20" w:type="dxa"/>
            <w:vAlign w:val="bottom"/>
            <w:gridSpan w:val="16"/>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1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 to</w:t>
            </w:r>
          </w:p>
        </w:tc>
        <w:tc>
          <w:tcPr>
            <w:tcW w:w="68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2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w:t>
            </w:r>
          </w:p>
        </w:tc>
        <w:tc>
          <w:tcPr>
            <w:tcW w:w="60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8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under the Exchange Act</w:t>
            </w: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w:t>
            </w:r>
          </w:p>
        </w:tc>
        <w:tc>
          <w:tcPr>
            <w:tcW w:w="300" w:type="dxa"/>
            <w:vAlign w:val="bottom"/>
            <w:tcBorders>
              <w:top w:val="single" w:sz="8" w:color="0000EE"/>
            </w:tcBorders>
            <w:gridSpan w:val="8"/>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66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8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20" w:type="dxa"/>
            <w:vAlign w:val="bottom"/>
            <w:gridSpan w:val="16"/>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2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 Principal</w:t>
            </w:r>
          </w:p>
        </w:tc>
        <w:tc>
          <w:tcPr>
            <w:tcW w:w="54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w:t>
            </w:r>
          </w:p>
        </w:tc>
        <w:tc>
          <w:tcPr>
            <w:tcW w:w="50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w:t>
            </w:r>
          </w:p>
        </w:tc>
        <w:tc>
          <w:tcPr>
            <w:tcW w:w="4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8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1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6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40" w:type="dxa"/>
            <w:vAlign w:val="bottom"/>
            <w:gridSpan w:val="10"/>
            <w:shd w:val="clear" w:color="auto" w:fill="0000EE"/>
          </w:tcPr>
          <w:p>
            <w:pPr>
              <w:spacing w:after="0" w:line="20" w:lineRule="exact"/>
              <w:rPr>
                <w:sz w:val="1"/>
                <w:szCs w:val="1"/>
                <w:color w:val="auto"/>
              </w:rPr>
            </w:pPr>
          </w:p>
        </w:tc>
        <w:tc>
          <w:tcPr>
            <w:tcW w:w="780" w:type="dxa"/>
            <w:vAlign w:val="bottom"/>
            <w:gridSpan w:val="1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appear in the Interactive Data File</w:t>
            </w: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because its XBRL tags are</w:t>
            </w: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embedded within the Inline XBRL</w:t>
            </w: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Extension Schema Document</w:t>
            </w: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Extension Calculation Linkbase</w:t>
            </w: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Extension Definition Linkbase</w:t>
            </w:r>
          </w:p>
        </w:tc>
        <w:tc>
          <w:tcPr>
            <w:tcW w:w="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28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Label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Presentation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(formatted as Inline XBRL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211455</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720"/>
            <w:col w:w="7699"/>
          </w:cols>
          <w:pgMar w:left="1440" w:top="513" w:right="1440" w:bottom="1440" w:gutter="0" w:footer="0" w:header="0"/>
          <w:type w:val="continuous"/>
        </w:sectPr>
      </w:pPr>
    </w:p>
    <w:p>
      <w:pPr>
        <w:spacing w:after="0" w:line="223" w:lineRule="exact"/>
        <w:rPr>
          <w:sz w:val="20"/>
          <w:szCs w:val="20"/>
          <w:color w:val="auto"/>
        </w:rPr>
      </w:pPr>
    </w:p>
    <w:p>
      <w:pPr>
        <w:ind w:left="360" w:hanging="316"/>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right="99" w:hanging="316"/>
        <w:spacing w:after="0" w:line="253" w:lineRule="auto"/>
        <w:tabs>
          <w:tab w:leader="none" w:pos="3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59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By:/s/ Sanjeev Aggarwal</w:t>
            </w:r>
          </w:p>
        </w:tc>
      </w:tr>
      <w:tr>
        <w:trPr>
          <w:trHeight w:val="191"/>
        </w:trPr>
        <w:tc>
          <w:tcPr>
            <w:tcW w:w="2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Sanjeev Aggarwal</w:t>
            </w:r>
          </w:p>
        </w:tc>
      </w:tr>
      <w:tr>
        <w:trPr>
          <w:trHeight w:val="216"/>
        </w:trPr>
        <w:tc>
          <w:tcPr>
            <w:tcW w:w="2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9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59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By:/s/ William Cooper</w:t>
            </w:r>
          </w:p>
        </w:tc>
      </w:tr>
      <w:tr>
        <w:trPr>
          <w:trHeight w:val="191"/>
        </w:trPr>
        <w:tc>
          <w:tcPr>
            <w:tcW w:w="2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Cooper</w:t>
            </w:r>
          </w:p>
        </w:tc>
      </w:tr>
      <w:tr>
        <w:trPr>
          <w:trHeight w:val="216"/>
        </w:trPr>
        <w:tc>
          <w:tcPr>
            <w:tcW w:w="2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75"/>
        </w:trPr>
        <w:tc>
          <w:tcPr>
            <w:tcW w:w="2940" w:type="dxa"/>
            <w:vAlign w:val="bottom"/>
          </w:tcPr>
          <w:p>
            <w:pPr>
              <w:spacing w:after="0"/>
              <w:rPr>
                <w:sz w:val="24"/>
                <w:szCs w:val="24"/>
                <w:color w:val="auto"/>
              </w:rPr>
            </w:pPr>
          </w:p>
        </w:tc>
        <w:tc>
          <w:tcPr>
            <w:tcW w:w="24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26</w:t>
            </w:r>
          </w:p>
        </w:tc>
        <w:tc>
          <w:tcPr>
            <w:tcW w:w="3520" w:type="dxa"/>
            <w:vAlign w:val="bottom"/>
          </w:tcPr>
          <w:p>
            <w:pPr>
              <w:spacing w:after="0"/>
              <w:rPr>
                <w:sz w:val="24"/>
                <w:szCs w:val="24"/>
                <w:color w:val="auto"/>
              </w:rPr>
            </w:pPr>
          </w:p>
        </w:tc>
      </w:tr>
      <w:tr>
        <w:trPr>
          <w:trHeight w:val="560"/>
        </w:trPr>
        <w:tc>
          <w:tcPr>
            <w:tcW w:w="29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26" w:name="page27"/>
    <w:bookmarkEnd w:id="2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OMPENSATION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162" w:lineRule="exact"/>
        <w:rPr>
          <w:sz w:val="20"/>
          <w:szCs w:val="20"/>
          <w:color w:val="auto"/>
        </w:rPr>
      </w:pPr>
    </w:p>
    <w:p>
      <w:pPr>
        <w:ind w:left="200" w:right="239" w:firstLine="441"/>
        <w:spacing w:after="0" w:line="256" w:lineRule="auto"/>
        <w:rPr>
          <w:sz w:val="20"/>
          <w:szCs w:val="20"/>
          <w:color w:val="auto"/>
        </w:rPr>
      </w:pPr>
      <w:r>
        <w:rPr>
          <w:rFonts w:ascii="Times New Roman" w:cs="Times New Roman" w:eastAsia="Times New Roman" w:hAnsi="Times New Roman"/>
          <w:sz w:val="18"/>
          <w:szCs w:val="18"/>
          <w:color w:val="auto"/>
        </w:rPr>
        <w:t>Each non-employee director receives an annual fee of $55,000 in cash for serving on the Board of Directors. The Chairman of the Board of Directors receives an additional annual cash fee of $20,000. The Chairman of the Audit Committee of the Board of Directors receives an additional annual cash fee of $15,000. The Chairman of the Compensation Committee of the Board of Directors receives an additional annual cash fee of $10,000. The Chairman of the Nominating and Corporate Governance Committee of the Board of Directors receives an additional annual cash fee of $7,500. All fees are payable in cash in equal quarterly installments, payable in arrears.</w:t>
      </w:r>
    </w:p>
    <w:p>
      <w:pPr>
        <w:spacing w:after="0" w:line="120" w:lineRule="exact"/>
        <w:rPr>
          <w:sz w:val="20"/>
          <w:szCs w:val="20"/>
          <w:color w:val="auto"/>
        </w:rPr>
      </w:pPr>
    </w:p>
    <w:p>
      <w:pPr>
        <w:ind w:left="200" w:right="339" w:firstLine="441"/>
        <w:spacing w:after="0" w:line="282" w:lineRule="auto"/>
        <w:rPr>
          <w:sz w:val="20"/>
          <w:szCs w:val="20"/>
          <w:color w:val="auto"/>
        </w:rPr>
      </w:pPr>
      <w:r>
        <w:rPr>
          <w:rFonts w:ascii="Times New Roman" w:cs="Times New Roman" w:eastAsia="Times New Roman" w:hAnsi="Times New Roman"/>
          <w:sz w:val="18"/>
          <w:szCs w:val="18"/>
          <w:color w:val="auto"/>
        </w:rPr>
        <w:t>New non-employee directors will receive an initial annual cash retainer of $55,000. All fees are payable in cash in equal quarterly installments, payable in arrears.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46" w:lineRule="exact"/>
        <w:rPr>
          <w:sz w:val="20"/>
          <w:szCs w:val="20"/>
          <w:color w:val="auto"/>
        </w:rPr>
      </w:pPr>
    </w:p>
    <w:p>
      <w:pPr>
        <w:ind w:left="200" w:right="31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Initial Grants</w:t>
      </w:r>
      <w:r>
        <w:rPr>
          <w:rFonts w:ascii="Times New Roman" w:cs="Times New Roman" w:eastAsia="Times New Roman" w:hAnsi="Times New Roman"/>
          <w:sz w:val="18"/>
          <w:szCs w:val="18"/>
          <w:color w:val="auto"/>
        </w:rPr>
        <w:t>. Newly-elected non-employee directors will be granted an restricted stock unit (“RSU”)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grant value of $250,000 (the “Initial Grant”). The Initial Grant will vest 50% on each of the first and second anniversary from the date of grant. In the event of a change in control, any unvested portion of the RSU award underlying an Initial Grant will immediately vest. Upon completion of two years of service on the Board of Directors, new non-employee directors will be entitled to receive an Annual Grant (as defined below).</w:t>
      </w:r>
    </w:p>
    <w:p>
      <w:pPr>
        <w:spacing w:after="0" w:line="183" w:lineRule="exact"/>
        <w:rPr>
          <w:sz w:val="20"/>
          <w:szCs w:val="20"/>
          <w:color w:val="auto"/>
        </w:rPr>
      </w:pPr>
    </w:p>
    <w:p>
      <w:pPr>
        <w:ind w:left="200" w:right="33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Annual Grants. </w:t>
      </w:r>
      <w:r>
        <w:rPr>
          <w:rFonts w:ascii="Times New Roman" w:cs="Times New Roman" w:eastAsia="Times New Roman" w:hAnsi="Times New Roman"/>
          <w:sz w:val="18"/>
          <w:szCs w:val="18"/>
          <w:color w:val="auto"/>
        </w:rPr>
        <w:t>On the date of each annual meeting of stockholders, each then current 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receive additional an annual RSU award (an “Annual Grant”), in an amount to be determined by the Compensation Committee of the Board of Directors. The Annual Grant will vest monthly over one year from the date of grant. In the event of a change in control, any unvested portion of the RSU award underlying an Annual Grant will immediately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583565</wp:posOffset>
            </wp:positionV>
            <wp:extent cx="54521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27" w:name="page28"/>
    <w:bookmarkEnd w:id="2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239" w:hanging="330"/>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Cooper, certify that:</w:t>
      </w:r>
    </w:p>
    <w:p>
      <w:pPr>
        <w:spacing w:after="0" w:line="225" w:lineRule="exact"/>
        <w:rPr>
          <w:sz w:val="20"/>
          <w:szCs w:val="20"/>
          <w:color w:val="auto"/>
        </w:rPr>
      </w:pPr>
    </w:p>
    <w:p>
      <w:pPr>
        <w:ind w:left="700" w:hanging="326"/>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258"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99" w:hanging="326"/>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William Cooper</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18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William Cooper, Chief Financial Officer of the Company, each hereby certifies that, to the best of his knowledge:</w:t>
      </w:r>
    </w:p>
    <w:p>
      <w:pPr>
        <w:spacing w:after="0" w:line="160" w:lineRule="exact"/>
        <w:rPr>
          <w:sz w:val="20"/>
          <w:szCs w:val="20"/>
          <w:color w:val="auto"/>
        </w:rPr>
      </w:pPr>
    </w:p>
    <w:p>
      <w:pPr>
        <w:ind w:left="60" w:right="159" w:hanging="10"/>
        <w:spacing w:after="0" w:line="258" w:lineRule="auto"/>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“Periodic Report”), fully complies with the requirements of Section 13(a) or Section 15(d) of the Exchange Act; and</w:t>
      </w:r>
    </w:p>
    <w:p>
      <w:pPr>
        <w:spacing w:after="0" w:line="155" w:lineRule="exact"/>
        <w:rPr>
          <w:rFonts w:ascii="Times New Roman" w:cs="Times New Roman" w:eastAsia="Times New Roman" w:hAnsi="Times New Roman"/>
          <w:sz w:val="18"/>
          <w:szCs w:val="18"/>
          <w:color w:val="auto"/>
        </w:rPr>
      </w:pPr>
    </w:p>
    <w:p>
      <w:pPr>
        <w:ind w:left="60" w:right="439" w:hanging="10"/>
        <w:spacing w:after="0" w:line="266" w:lineRule="auto"/>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William Cooper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41" Type="http://schemas.openxmlformats.org/officeDocument/2006/relationships/hyperlink" Target="http://www.sec.gov/Archives/edgar/data/1438423/000119312516737688/d271840dex31.htm" TargetMode="External"/><Relationship Id="rId42" Type="http://schemas.openxmlformats.org/officeDocument/2006/relationships/hyperlink" Target="http://www.sec.gov/Archives/edgar/data/1438423/000119312519154165/d752899dex31.htm" TargetMode="External"/><Relationship Id="rId44" Type="http://schemas.openxmlformats.org/officeDocument/2006/relationships/hyperlink" Target="https://www.sec.gov/Archives/edgar/data/1438423/000119312520153247/d936625dex31.htm" TargetMode="External"/><Relationship Id="rId45" Type="http://schemas.openxmlformats.org/officeDocument/2006/relationships/hyperlink" Target="https://www.sec.gov/Archives/edgar/data/1438423/000110465923064640/tm2316966d1_ex3-1.htm" TargetMode="External"/><Relationship Id="rId46" Type="http://schemas.openxmlformats.org/officeDocument/2006/relationships/hyperlink" Target="https://www.sec.gov/Archives/edgar/data/1438423/000119312519154165/d752899dex32.htm" TargetMode="External"/><Relationship Id="rId47" Type="http://schemas.openxmlformats.org/officeDocument/2006/relationships/hyperlink" Target="https://www.sec.gov/Archives/edgar/data/1438423/000110465925002026/tm251884d1_ex10-1.htm" TargetMode="External"/><Relationship Id="rId48" Type="http://schemas.openxmlformats.org/officeDocument/2006/relationships/hyperlink" Target="https://www.sec.gov/Archives/edgar/data/1438423/000155837025001827/mram-20241231xex10d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2025-04-30T16:24:28Z</dcterms:created>
  <dcterms:modified xsi:type="dcterms:W3CDTF">2025-04-30T16:24:28Z</dcterms:modified>
</cp:coreProperties>
</file>