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Everspin Technologies,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001-37900</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1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5670 W. Chandler Blvd.</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Suite 130</w:t>
            </w:r>
          </w:p>
        </w:tc>
        <w:tc>
          <w:tcPr>
            <w:tcW w:w="16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Chandler, Arizona 85226</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(480) 347-1111</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Not Applicable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MRAM</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2, 2022, Everspin Technologies, Inc. (the “Company”) issued a press release announcing its financial results for the quarter ending December 31, 2021 and full-year 2021,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Executive Officer and Related Matters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28, 2022, the Company’s Board of Directors (the “Board”) appointed Sanjeev Aggarwal as the Company’s President and Chief Executive Officer, effective March 14, 2022. In this role, Mr. S. Aggarwal will serve as the Company’s principal executive officer. Mr. S. Aggarwal currently serves as the Company’s Chief Technology Officer and Vice President, Operations &amp; Technology R&amp;D. On February 28, 2022, the Board also elected Mr. S. Aggarwal as a member of the Board, effective March 14, 2022.</w:t>
      </w:r>
    </w:p>
    <w:p>
      <w:pPr>
        <w:spacing w:after="0" w:line="187" w:lineRule="exact"/>
        <w:rPr>
          <w:sz w:val="20"/>
          <w:szCs w:val="20"/>
          <w:color w:val="auto"/>
        </w:rPr>
      </w:pPr>
    </w:p>
    <w:p>
      <w:pPr>
        <w:ind w:left="340"/>
        <w:spacing w:after="0"/>
        <w:rPr>
          <w:rFonts w:ascii="Arial" w:cs="Arial" w:eastAsia="Arial" w:hAnsi="Arial"/>
          <w:sz w:val="17"/>
          <w:szCs w:val="17"/>
          <w:color w:val="auto"/>
        </w:rPr>
      </w:pPr>
      <w:hyperlink r:id="rId18">
        <w:r>
          <w:rPr>
            <w:rFonts w:ascii="Arial" w:cs="Arial" w:eastAsia="Arial" w:hAnsi="Arial"/>
            <w:sz w:val="17"/>
            <w:szCs w:val="17"/>
            <w:color w:val="auto"/>
          </w:rPr>
          <w:t xml:space="preserve">Biographical information about Mr. S. Aggarwal can be found in the Company’s </w:t>
        </w:r>
        <w:r>
          <w:rPr>
            <w:rFonts w:ascii="Arial" w:cs="Arial" w:eastAsia="Arial" w:hAnsi="Arial"/>
            <w:sz w:val="17"/>
            <w:szCs w:val="17"/>
            <w:u w:val="single" w:color="auto"/>
            <w:color w:val="0000EE"/>
          </w:rPr>
          <w:t>definitive proxy statement on Schedule 14A, filed with the U.S.</w:t>
        </w:r>
      </w:hyperlink>
    </w:p>
    <w:p>
      <w:pPr>
        <w:spacing w:after="0" w:line="35" w:lineRule="exact"/>
        <w:rPr>
          <w:sz w:val="20"/>
          <w:szCs w:val="20"/>
          <w:color w:val="auto"/>
        </w:rPr>
      </w:pPr>
    </w:p>
    <w:p>
      <w:pPr>
        <w:spacing w:after="0"/>
        <w:rPr>
          <w:rFonts w:ascii="Arial" w:cs="Arial" w:eastAsia="Arial" w:hAnsi="Arial"/>
          <w:sz w:val="18"/>
          <w:szCs w:val="18"/>
          <w:color w:val="0000EE"/>
        </w:rPr>
      </w:pPr>
      <w:hyperlink r:id="rId18">
        <w:r>
          <w:rPr>
            <w:rFonts w:ascii="Arial" w:cs="Arial" w:eastAsia="Arial" w:hAnsi="Arial"/>
            <w:sz w:val="18"/>
            <w:szCs w:val="18"/>
            <w:u w:val="single" w:color="auto"/>
            <w:color w:val="0000EE"/>
          </w:rPr>
          <w:t>Securities and Exchange Commission on April 6, 2021</w:t>
        </w:r>
        <w:r>
          <w:rPr>
            <w:rFonts w:ascii="Arial" w:cs="Arial" w:eastAsia="Arial" w:hAnsi="Arial"/>
            <w:sz w:val="18"/>
            <w:szCs w:val="18"/>
            <w:color w:val="000000"/>
          </w:rPr>
          <w:t>, and is incorporated herein by reference.</w:t>
        </w:r>
      </w:hyperlink>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are no arrangements or understandings between Mr. S. Aggarwal and any other person pursuant to which he was appointed to serve as the Company’s President and Chief Executive Officer or as a director. There are also no family relationships between Mr. S. Aggarwal and any director or executive officer of the Company, and Mr. S. Aggarwal does not have a direct or indirect material interest in any “related party” transaction required to be disclosed pursuant to Item 404(a) of Regulation S-K.</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connection with Mr. S. Aggarwal’s appointment, on February 28, 2022, the Company and Mr. S. Aggarwal entered into the First Amendment to Executive Employment Agreement, effective March 14, 2022, which amends Mr. S. Aggarwal’s current employment agreement with the Company. Pursuant to this amendment, Mr. S. Aggarwal will be entitled to receive a base salary of $400,000 per year, retroactive to January 1, 2022, and will be eligible for an annual discretionary bonus of up to 100% of his base salary. All other terms of Mr. S. Aggarwal’s current employment agreement with the Company remain substantially the same. On February 28, 2022, the compensation committee of the Board (the “Compensation Committee”) also approved a grant to Mr. S. Aggarwal of (i) 62,000 restricted stock units (“RSUs”), with such RSUs vesting 25% per year over four years on each of January 1, 2023, 2024, 2025 and 2026; and (ii) options to purchase 112,000 shares of the Company’s common stock, with such options vesting as to 25% of the shares one year from the date of grant and the remainder vesting in 36 monthly increments thereafter.</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Darin Billerbeck, the Company’s Executive Chairman of the Board and Interim Chief Executive Officer, has been serving as the Company’s principal executive officer since January 2021. Effective March 14, 2022, Mr. Billerbeck will resign as the Company’s Interim Chief Executive Officer and will continue to serve as the Company’s Executive Chairman of the Board. In connection with this transition, on February 28, 2022, the Company and Mr. Billerbeck entered into the First Amendment to Offer Letter, effective March 14, 2022, which amends Mr. Billerbeck’s current offer letter with the Company. Pursuant to this amendment, Mr. Billerbeck will remain an employee of the Company serving as the Company’s Executive Chairman of the Board through December 31, 2022. Mr. Billerbeck’s base salary will be reduced to an annual rate of $35,568. Additionally, Mr. Billerbeck will be entitled to a grant of 62,000 RSUs, with such RSUs vesting monthly through the end of 2022 so long as he remains Executive Chairman of the Board through each monthly vesting date. Mr. Billerbeck’s current $6,000 monthly housing stipend will remain in place through November 2022. All other terms of Mr. Billerbeck’s current offer letter with the Company remain substantially the same.</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 xml:space="preserve">The foregoing description of the </w:t>
      </w:r>
      <w:r>
        <w:rPr>
          <w:rFonts w:ascii="Arial" w:cs="Arial" w:eastAsia="Arial" w:hAnsi="Arial"/>
          <w:sz w:val="18"/>
          <w:szCs w:val="18"/>
          <w:color w:val="000000"/>
        </w:rPr>
        <w:t>First Amendment to Executive Employment Agreement for Mr. S. Aggarwal and the First Amendment to Offer Letter</w:t>
      </w:r>
      <w:r>
        <w:rPr>
          <w:rFonts w:ascii="Arial" w:cs="Arial" w:eastAsia="Arial" w:hAnsi="Arial"/>
          <w:sz w:val="18"/>
          <w:szCs w:val="18"/>
          <w:color w:val="212529"/>
        </w:rPr>
        <w:t xml:space="preserve"> </w:t>
      </w:r>
      <w:r>
        <w:rPr>
          <w:rFonts w:ascii="Arial" w:cs="Arial" w:eastAsia="Arial" w:hAnsi="Arial"/>
          <w:sz w:val="18"/>
          <w:szCs w:val="18"/>
          <w:color w:val="000000"/>
        </w:rPr>
        <w:t xml:space="preserve">for Mr. Billerbeck </w:t>
      </w:r>
      <w:r>
        <w:rPr>
          <w:rFonts w:ascii="Arial" w:cs="Arial" w:eastAsia="Arial" w:hAnsi="Arial"/>
          <w:sz w:val="18"/>
          <w:szCs w:val="18"/>
          <w:color w:val="212529"/>
        </w:rPr>
        <w:t>does not purport to be complete and is qualified in its entirety by reference to the full text of such agreements, which are attached hereto</w:t>
      </w:r>
      <w:r>
        <w:rPr>
          <w:rFonts w:ascii="Arial" w:cs="Arial" w:eastAsia="Arial" w:hAnsi="Arial"/>
          <w:sz w:val="18"/>
          <w:szCs w:val="18"/>
          <w:color w:val="000000"/>
        </w:rPr>
        <w:t xml:space="preserve"> </w:t>
      </w:r>
      <w:r>
        <w:rPr>
          <w:rFonts w:ascii="Arial" w:cs="Arial" w:eastAsia="Arial" w:hAnsi="Arial"/>
          <w:sz w:val="18"/>
          <w:szCs w:val="18"/>
          <w:color w:val="212529"/>
        </w:rPr>
        <w:t>as Exhibit 10.1 and Exhibit 10.2, respectively, and are incorporated herein by reference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right="640" w:firstLine="324"/>
        <w:spacing w:after="0" w:line="277" w:lineRule="auto"/>
        <w:rPr>
          <w:sz w:val="20"/>
          <w:szCs w:val="20"/>
          <w:color w:val="auto"/>
        </w:rPr>
      </w:pPr>
      <w:r>
        <w:rPr>
          <w:rFonts w:ascii="Arial" w:cs="Arial" w:eastAsia="Arial" w:hAnsi="Arial"/>
          <w:sz w:val="18"/>
          <w:szCs w:val="18"/>
          <w:color w:val="auto"/>
        </w:rPr>
        <w:t>On March 2, 2022, the Company issued a press release announcing the appointment of Mr. S. Aggarwal as the Company’s President and Chief Executive Officer, a copy of which is attached hereto as Exhibit 99.2.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Executive Compensation Related Matters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February 28, 2022, the Company and Anuj Aggarwal, the Company’s Chief Financial Officer, entered into the First Amendment to Executive Employment Agreement, effective March 14, 2022, which amends Mr. A. Aggarwal’s current employment agreement with the Company. Pursuant to this amendment, Mr. A. Aggarwal will be entitled to receive a base salary of $330,000 per year, retroactive to January 1, 2022, and will be eligible for an annual discretionary bonus of up to 65% of his base salary. All other terms of Mr. A. Aggarwal’s current employment agreement with the Company remain substantially the same. On February 28, 2022, the Compensation Committee also approved a grant to Mr. A. Aggarwal of (i) 57,000 RSUs, with such RSUs vesting 25% per year over four years on each of January 1, 2023, 2024, 2025 and 2026; and (ii) options to purchase 98,000 shares of the Company’s common stock, with such options vesting as to 25% of the shares one year from the date of grant and the remainder vesting in 36 monthly increments thereafter.</w:t>
      </w:r>
    </w:p>
    <w:p>
      <w:pPr>
        <w:spacing w:after="0" w:line="19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On February 28, 2022, the Compensation Committee approved certain changes to the Company’s Executive Change in Control Plan, originally adopted on March 10, 2020, with such changes effective March 14, 2022 (as amended, the “Amended CIC Plan”). Pursuant to the Amended CIC Plan, </w:t>
      </w:r>
      <w:r>
        <w:rPr>
          <w:rFonts w:ascii="Arial" w:cs="Arial" w:eastAsia="Arial" w:hAnsi="Arial"/>
          <w:sz w:val="18"/>
          <w:szCs w:val="18"/>
          <w:color w:val="212529"/>
        </w:rPr>
        <w:t>in</w:t>
      </w:r>
      <w:r>
        <w:rPr>
          <w:rFonts w:ascii="Arial" w:cs="Arial" w:eastAsia="Arial" w:hAnsi="Arial"/>
          <w:sz w:val="18"/>
          <w:szCs w:val="18"/>
          <w:color w:val="auto"/>
        </w:rPr>
        <w:t xml:space="preserve"> </w:t>
      </w:r>
      <w:r>
        <w:rPr>
          <w:rFonts w:ascii="Arial" w:cs="Arial" w:eastAsia="Arial" w:hAnsi="Arial"/>
          <w:sz w:val="18"/>
          <w:szCs w:val="18"/>
          <w:color w:val="212529"/>
        </w:rPr>
        <w:t xml:space="preserve">the event the employment of </w:t>
      </w:r>
      <w:r>
        <w:rPr>
          <w:rFonts w:ascii="Arial" w:cs="Arial" w:eastAsia="Arial" w:hAnsi="Arial"/>
          <w:sz w:val="18"/>
          <w:szCs w:val="18"/>
          <w:color w:val="000000"/>
        </w:rPr>
        <w:t>the Company’s President and Chief Executive Officer, Chief Financial Officer or Chief Technology Officer (each, an “Eligible</w:t>
      </w:r>
      <w:r>
        <w:rPr>
          <w:rFonts w:ascii="Arial" w:cs="Arial" w:eastAsia="Arial" w:hAnsi="Arial"/>
          <w:sz w:val="18"/>
          <w:szCs w:val="18"/>
          <w:color w:val="212529"/>
        </w:rPr>
        <w:t xml:space="preserve"> </w:t>
      </w:r>
      <w:r>
        <w:rPr>
          <w:rFonts w:ascii="Arial" w:cs="Arial" w:eastAsia="Arial" w:hAnsi="Arial"/>
          <w:sz w:val="18"/>
          <w:szCs w:val="18"/>
          <w:color w:val="000000"/>
        </w:rPr>
        <w:t xml:space="preserve">CIC Participant”) </w:t>
      </w:r>
      <w:r>
        <w:rPr>
          <w:rFonts w:ascii="Arial" w:cs="Arial" w:eastAsia="Arial" w:hAnsi="Arial"/>
          <w:sz w:val="18"/>
          <w:szCs w:val="18"/>
          <w:color w:val="212529"/>
        </w:rPr>
        <w:t>is terminated by the Company or any acquirer or successor without Cause (as defined in</w:t>
      </w:r>
      <w:r>
        <w:rPr>
          <w:rFonts w:ascii="Arial" w:cs="Arial" w:eastAsia="Arial" w:hAnsi="Arial"/>
          <w:sz w:val="18"/>
          <w:szCs w:val="18"/>
          <w:color w:val="000000"/>
        </w:rPr>
        <w:t xml:space="preserve"> the Amended CIC Plan</w:t>
      </w:r>
      <w:r>
        <w:rPr>
          <w:rFonts w:ascii="Arial" w:cs="Arial" w:eastAsia="Arial" w:hAnsi="Arial"/>
          <w:sz w:val="18"/>
          <w:szCs w:val="18"/>
          <w:color w:val="212529"/>
        </w:rPr>
        <w:t>), or an</w:t>
      </w:r>
      <w:r>
        <w:rPr>
          <w:rFonts w:ascii="Arial" w:cs="Arial" w:eastAsia="Arial" w:hAnsi="Arial"/>
          <w:sz w:val="18"/>
          <w:szCs w:val="18"/>
          <w:color w:val="000000"/>
        </w:rPr>
        <w:t xml:space="preserve"> Eligible CIC Participant </w:t>
      </w:r>
      <w:r>
        <w:rPr>
          <w:rFonts w:ascii="Arial" w:cs="Arial" w:eastAsia="Arial" w:hAnsi="Arial"/>
          <w:sz w:val="18"/>
          <w:szCs w:val="18"/>
          <w:color w:val="212529"/>
        </w:rPr>
        <w:t>resigns with Good Reason (as defined in</w:t>
      </w:r>
      <w:r>
        <w:rPr>
          <w:rFonts w:ascii="Arial" w:cs="Arial" w:eastAsia="Arial" w:hAnsi="Arial"/>
          <w:sz w:val="18"/>
          <w:szCs w:val="18"/>
          <w:color w:val="000000"/>
        </w:rPr>
        <w:t xml:space="preserve"> the Amended CIC Plan</w:t>
      </w:r>
      <w:r>
        <w:rPr>
          <w:rFonts w:ascii="Arial" w:cs="Arial" w:eastAsia="Arial" w:hAnsi="Arial"/>
          <w:sz w:val="18"/>
          <w:szCs w:val="18"/>
          <w:color w:val="212529"/>
        </w:rPr>
        <w:t>), in each case, during the period commencing three months prior to a Change</w:t>
      </w:r>
      <w:r>
        <w:rPr>
          <w:rFonts w:ascii="Arial" w:cs="Arial" w:eastAsia="Arial" w:hAnsi="Arial"/>
          <w:sz w:val="18"/>
          <w:szCs w:val="18"/>
          <w:color w:val="000000"/>
        </w:rPr>
        <w:t xml:space="preserve"> </w:t>
      </w:r>
      <w:r>
        <w:rPr>
          <w:rFonts w:ascii="Arial" w:cs="Arial" w:eastAsia="Arial" w:hAnsi="Arial"/>
          <w:sz w:val="18"/>
          <w:szCs w:val="18"/>
          <w:color w:val="212529"/>
        </w:rPr>
        <w:t xml:space="preserve">in Control (as defined in </w:t>
      </w:r>
      <w:r>
        <w:rPr>
          <w:rFonts w:ascii="Arial" w:cs="Arial" w:eastAsia="Arial" w:hAnsi="Arial"/>
          <w:sz w:val="18"/>
          <w:szCs w:val="18"/>
          <w:color w:val="000000"/>
        </w:rPr>
        <w:t>the Amended CIC Plan</w:t>
      </w:r>
      <w:r>
        <w:rPr>
          <w:rFonts w:ascii="Arial" w:cs="Arial" w:eastAsia="Arial" w:hAnsi="Arial"/>
          <w:sz w:val="18"/>
          <w:szCs w:val="18"/>
          <w:color w:val="212529"/>
        </w:rPr>
        <w:t xml:space="preserve">) and ending 12 months—or in the case of </w:t>
      </w:r>
      <w:r>
        <w:rPr>
          <w:rFonts w:ascii="Arial" w:cs="Arial" w:eastAsia="Arial" w:hAnsi="Arial"/>
          <w:sz w:val="18"/>
          <w:szCs w:val="18"/>
          <w:color w:val="000000"/>
        </w:rPr>
        <w:t>the Company’s President and Chief Executive Officer</w:t>
      </w:r>
      <w:r>
        <w:rPr>
          <w:rFonts w:ascii="Arial" w:cs="Arial" w:eastAsia="Arial" w:hAnsi="Arial"/>
          <w:sz w:val="18"/>
          <w:szCs w:val="18"/>
          <w:color w:val="212529"/>
        </w:rPr>
        <w:t xml:space="preserve">, 18 months—following a Change in Control, then, subject to the </w:t>
      </w:r>
      <w:r>
        <w:rPr>
          <w:rFonts w:ascii="Arial" w:cs="Arial" w:eastAsia="Arial" w:hAnsi="Arial"/>
          <w:sz w:val="18"/>
          <w:szCs w:val="18"/>
          <w:color w:val="000000"/>
        </w:rPr>
        <w:t>Eligible CIC Participant’s</w:t>
      </w:r>
      <w:r>
        <w:rPr>
          <w:rFonts w:ascii="Arial" w:cs="Arial" w:eastAsia="Arial" w:hAnsi="Arial"/>
          <w:sz w:val="18"/>
          <w:szCs w:val="18"/>
          <w:color w:val="212529"/>
        </w:rPr>
        <w:t xml:space="preserve"> execution and non-revocation of a general release of claims in favor of the Company within 45 days following the date of such termination, the Company will be obligated to provide the following payments and benefits to the </w:t>
      </w:r>
      <w:r>
        <w:rPr>
          <w:rFonts w:ascii="Arial" w:cs="Arial" w:eastAsia="Arial" w:hAnsi="Arial"/>
          <w:sz w:val="18"/>
          <w:szCs w:val="18"/>
          <w:color w:val="000000"/>
        </w:rPr>
        <w:t>Eligible CIC Participant</w:t>
      </w:r>
      <w:r>
        <w:rPr>
          <w:rFonts w:ascii="Arial" w:cs="Arial" w:eastAsia="Arial" w:hAnsi="Arial"/>
          <w:sz w:val="18"/>
          <w:szCs w:val="18"/>
          <w:color w:val="212529"/>
        </w:rPr>
        <w:t>:</w:t>
      </w:r>
    </w:p>
    <w:p>
      <w:pPr>
        <w:spacing w:after="0" w:line="19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 xml:space="preserve">a lump sum cash payment equal to 12 months of the </w:t>
      </w:r>
      <w:r>
        <w:rPr>
          <w:rFonts w:ascii="Arial" w:cs="Arial" w:eastAsia="Arial" w:hAnsi="Arial"/>
          <w:sz w:val="18"/>
          <w:szCs w:val="18"/>
          <w:color w:val="000000"/>
        </w:rPr>
        <w:t>Eligible CIC Participant’s</w:t>
      </w:r>
      <w:r>
        <w:rPr>
          <w:rFonts w:ascii="Arial" w:cs="Arial" w:eastAsia="Arial" w:hAnsi="Arial"/>
          <w:sz w:val="18"/>
          <w:szCs w:val="18"/>
          <w:color w:val="212529"/>
        </w:rPr>
        <w:t xml:space="preserve"> then-current base salary;</w:t>
      </w:r>
    </w:p>
    <w:p>
      <w:pPr>
        <w:spacing w:after="0" w:line="225" w:lineRule="exact"/>
        <w:rPr>
          <w:rFonts w:ascii="Arial" w:cs="Arial" w:eastAsia="Arial" w:hAnsi="Arial"/>
          <w:sz w:val="18"/>
          <w:szCs w:val="18"/>
          <w:color w:val="212529"/>
        </w:rPr>
      </w:pPr>
    </w:p>
    <w:p>
      <w:pPr>
        <w:ind w:left="660" w:right="60" w:hanging="328"/>
        <w:spacing w:after="0" w:line="277" w:lineRule="auto"/>
        <w:tabs>
          <w:tab w:leader="none" w:pos="660"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a payment of the Eligible CIC Participant’s target incentive bonus payout in the amounts equal to 100% of the Eligible CIC Participant’s incentive bonus target;</w:t>
      </w:r>
    </w:p>
    <w:p>
      <w:pPr>
        <w:spacing w:after="0" w:line="170" w:lineRule="exact"/>
        <w:rPr>
          <w:rFonts w:ascii="Arial" w:cs="Arial" w:eastAsia="Arial" w:hAnsi="Arial"/>
          <w:sz w:val="18"/>
          <w:szCs w:val="18"/>
          <w:color w:val="212529"/>
        </w:rPr>
      </w:pPr>
    </w:p>
    <w:p>
      <w:pPr>
        <w:ind w:left="660" w:hanging="328"/>
        <w:spacing w:after="0"/>
        <w:tabs>
          <w:tab w:leader="none" w:pos="660"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12 months of COBRA benefits continuation; and</w:t>
      </w:r>
    </w:p>
    <w:p>
      <w:pPr>
        <w:spacing w:after="0" w:line="225" w:lineRule="exact"/>
        <w:rPr>
          <w:rFonts w:ascii="Arial" w:cs="Arial" w:eastAsia="Arial" w:hAnsi="Arial"/>
          <w:sz w:val="18"/>
          <w:szCs w:val="18"/>
          <w:color w:val="212529"/>
        </w:rPr>
      </w:pPr>
    </w:p>
    <w:p>
      <w:pPr>
        <w:ind w:left="660" w:right="100" w:hanging="328"/>
        <w:spacing w:after="0" w:line="259" w:lineRule="auto"/>
        <w:tabs>
          <w:tab w:leader="none" w:pos="660"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 xml:space="preserve">acceleration of the vesting of the shares subject to any Equity Awards (as defined in the </w:t>
      </w:r>
      <w:r>
        <w:rPr>
          <w:rFonts w:ascii="Arial" w:cs="Arial" w:eastAsia="Arial" w:hAnsi="Arial"/>
          <w:sz w:val="18"/>
          <w:szCs w:val="18"/>
          <w:color w:val="000000"/>
        </w:rPr>
        <w:t>Amended</w:t>
      </w:r>
      <w:r>
        <w:rPr>
          <w:rFonts w:ascii="Arial" w:cs="Arial" w:eastAsia="Arial" w:hAnsi="Arial"/>
          <w:sz w:val="18"/>
          <w:szCs w:val="18"/>
          <w:color w:val="212529"/>
        </w:rPr>
        <w:t xml:space="preserve"> CIC Plan) held by the Eligible CIC Participant on the date of termination such that the then unvested Equity Awards shall vest and become exercisable as </w:t>
      </w:r>
      <w:r>
        <w:rPr>
          <w:rFonts w:ascii="Arial" w:cs="Arial" w:eastAsia="Arial" w:hAnsi="Arial"/>
          <w:sz w:val="18"/>
          <w:szCs w:val="18"/>
          <w:color w:val="000000"/>
        </w:rPr>
        <w:t>to the number of shares subject to such</w:t>
      </w:r>
      <w:r>
        <w:rPr>
          <w:rFonts w:ascii="Arial" w:cs="Arial" w:eastAsia="Arial" w:hAnsi="Arial"/>
          <w:sz w:val="18"/>
          <w:szCs w:val="18"/>
          <w:color w:val="212529"/>
        </w:rPr>
        <w:t xml:space="preserve"> </w:t>
      </w:r>
      <w:r>
        <w:rPr>
          <w:rFonts w:ascii="Arial" w:cs="Arial" w:eastAsia="Arial" w:hAnsi="Arial"/>
          <w:sz w:val="18"/>
          <w:szCs w:val="18"/>
          <w:color w:val="000000"/>
        </w:rPr>
        <w:t xml:space="preserve">Equity Award that would have vested if </w:t>
      </w:r>
      <w:r>
        <w:rPr>
          <w:rFonts w:ascii="Arial" w:cs="Arial" w:eastAsia="Arial" w:hAnsi="Arial"/>
          <w:sz w:val="18"/>
          <w:szCs w:val="18"/>
          <w:color w:val="212529"/>
        </w:rPr>
        <w:t>the Eligible CIC Participant had completed an additional 12 months of employment following the</w:t>
      </w:r>
      <w:r>
        <w:rPr>
          <w:rFonts w:ascii="Arial" w:cs="Arial" w:eastAsia="Arial" w:hAnsi="Arial"/>
          <w:sz w:val="18"/>
          <w:szCs w:val="18"/>
          <w:color w:val="000000"/>
        </w:rPr>
        <w:t xml:space="preserve"> </w:t>
      </w:r>
      <w:r>
        <w:rPr>
          <w:rFonts w:ascii="Arial" w:cs="Arial" w:eastAsia="Arial" w:hAnsi="Arial"/>
          <w:sz w:val="18"/>
          <w:szCs w:val="18"/>
          <w:color w:val="212529"/>
        </w:rPr>
        <w:t>termination date.</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Amended CIC Plan further provides that any Vice President of the Company who, prior to March 14, 2022, was a participant under the terms of the Company’s original Executive Change in Control Plan will continue to be eligible to receive the benefits under the terms of such original plan.</w:t>
      </w:r>
    </w:p>
    <w:p>
      <w:pPr>
        <w:spacing w:after="0" w:line="12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212529"/>
        </w:rPr>
        <w:t xml:space="preserve">The foregoing description of the </w:t>
      </w:r>
      <w:r>
        <w:rPr>
          <w:rFonts w:ascii="Arial" w:cs="Arial" w:eastAsia="Arial" w:hAnsi="Arial"/>
          <w:sz w:val="18"/>
          <w:szCs w:val="18"/>
          <w:color w:val="000000"/>
        </w:rPr>
        <w:t>First Amendment to Executive Employment Agreement for Mr. A. Aggarwal and the Amended</w:t>
      </w:r>
      <w:r>
        <w:rPr>
          <w:rFonts w:ascii="Arial" w:cs="Arial" w:eastAsia="Arial" w:hAnsi="Arial"/>
          <w:sz w:val="18"/>
          <w:szCs w:val="18"/>
          <w:color w:val="212529"/>
        </w:rPr>
        <w:t xml:space="preserve"> CIC Plan does not purport to be complete and is qualified in its entirety by reference to the full text of such agreements, which are attached hereto as Exhibit 10.3 and Exhibit 10.4, respectively, and are incorporated herein by reference in their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1260" w:hanging="831"/>
        <w:spacing w:after="0" w:line="277" w:lineRule="auto"/>
        <w:tabs>
          <w:tab w:leader="none" w:pos="124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First Amendment to Executive Employment Agreement, effective as of March 14, 2022, between Everspin Technologies, Inc. and Sanjeev</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Aggarwal</w:t>
        </w:r>
      </w:hyperlink>
    </w:p>
    <w:p>
      <w:pPr>
        <w:spacing w:after="0" w:line="170" w:lineRule="exact"/>
        <w:rPr>
          <w:rFonts w:ascii="Arial" w:cs="Arial" w:eastAsia="Arial" w:hAnsi="Arial"/>
          <w:sz w:val="18"/>
          <w:szCs w:val="18"/>
          <w:u w:val="single" w:color="auto"/>
          <w:color w:val="0000EE"/>
        </w:rPr>
      </w:pPr>
    </w:p>
    <w:p>
      <w:pPr>
        <w:ind w:left="420"/>
        <w:spacing w:after="0"/>
        <w:tabs>
          <w:tab w:leader="none" w:pos="124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First Amendment to Offer Letter, effective as of March 14, 2022, between Everspin Technologies, Inc. and Darin Billerbeck</w:t>
        </w:r>
      </w:hyperlink>
    </w:p>
    <w:p>
      <w:pPr>
        <w:spacing w:after="0" w:line="225" w:lineRule="exact"/>
        <w:rPr>
          <w:sz w:val="20"/>
          <w:szCs w:val="20"/>
          <w:color w:val="auto"/>
        </w:rPr>
      </w:pPr>
    </w:p>
    <w:p>
      <w:pPr>
        <w:ind w:left="1260" w:right="220" w:hanging="831"/>
        <w:spacing w:after="0" w:line="277" w:lineRule="auto"/>
        <w:tabs>
          <w:tab w:leader="none" w:pos="1240" w:val="left"/>
        </w:tabs>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8">
        <w:r>
          <w:rPr>
            <w:rFonts w:ascii="Arial" w:cs="Arial" w:eastAsia="Arial" w:hAnsi="Arial"/>
            <w:sz w:val="18"/>
            <w:szCs w:val="18"/>
            <w:u w:val="single" w:color="auto"/>
            <w:color w:val="0000EE"/>
          </w:rPr>
          <w:t>First Amendment to Executive Employment Agreement, effective as of March 14, 2022, between Everspin Technologies, Inc. and Anuj</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Aggarwal</w:t>
        </w:r>
      </w:hyperlink>
    </w:p>
    <w:p>
      <w:pPr>
        <w:spacing w:after="0" w:line="170" w:lineRule="exact"/>
        <w:rPr>
          <w:rFonts w:ascii="Arial" w:cs="Arial" w:eastAsia="Arial" w:hAnsi="Arial"/>
          <w:sz w:val="18"/>
          <w:szCs w:val="18"/>
          <w:u w:val="single" w:color="auto"/>
          <w:color w:val="0000EE"/>
        </w:rPr>
      </w:pPr>
    </w:p>
    <w:p>
      <w:pPr>
        <w:ind w:left="420"/>
        <w:spacing w:after="0"/>
        <w:tabs>
          <w:tab w:leader="none" w:pos="124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Executive Change in Control Plan (as amended effective March 14, 2022)</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5"/>
          <w:szCs w:val="15"/>
          <w:u w:val="single" w:color="auto"/>
          <w:color w:val="0000EE"/>
        </w:rPr>
      </w:pPr>
      <w:hyperlink w:anchor="page1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5">
        <w:r>
          <w:rPr>
            <w:rFonts w:ascii="Arial" w:cs="Arial" w:eastAsia="Arial" w:hAnsi="Arial"/>
            <w:sz w:val="15"/>
            <w:szCs w:val="15"/>
            <w:u w:val="single" w:color="auto"/>
            <w:color w:val="0000EE"/>
          </w:rPr>
          <w:t>Press release, dated March 2, 2022</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5"/>
          <w:szCs w:val="15"/>
          <w:u w:val="single" w:color="auto"/>
          <w:color w:val="0000EE"/>
        </w:rPr>
      </w:pPr>
      <w:hyperlink w:anchor="page24">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24">
        <w:r>
          <w:rPr>
            <w:rFonts w:ascii="Arial" w:cs="Arial" w:eastAsia="Arial" w:hAnsi="Arial"/>
            <w:sz w:val="15"/>
            <w:szCs w:val="15"/>
            <w:u w:val="single" w:color="auto"/>
            <w:color w:val="0000EE"/>
          </w:rPr>
          <w:t>Press release, dated March 2, 2022</w:t>
        </w:r>
      </w:hyperlink>
    </w:p>
    <w:p>
      <w:pPr>
        <w:spacing w:after="0" w:line="225"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2022</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31"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Sanjeev Aggarwal</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FIRST AMENDMENT TO EXECUTIVE EMPLOYMENT AGREEMENT for Sanjeev Aggarwal (“</w:t>
      </w:r>
      <w:r>
        <w:rPr>
          <w:rFonts w:ascii="Arial" w:cs="Arial" w:eastAsia="Arial" w:hAnsi="Arial"/>
          <w:sz w:val="18"/>
          <w:szCs w:val="18"/>
          <w:b w:val="1"/>
          <w:bCs w:val="1"/>
          <w:color w:val="auto"/>
        </w:rPr>
        <w:t>Amendment</w:t>
      </w:r>
      <w:r>
        <w:rPr>
          <w:rFonts w:ascii="Arial" w:cs="Arial" w:eastAsia="Arial" w:hAnsi="Arial"/>
          <w:sz w:val="18"/>
          <w:szCs w:val="18"/>
          <w:color w:val="auto"/>
        </w:rPr>
        <w:t>”), effective this 14 day of March, 2022, is entered into by and between Everspin Technologies, Inc. (the “</w:t>
      </w:r>
      <w:r>
        <w:rPr>
          <w:rFonts w:ascii="Arial" w:cs="Arial" w:eastAsia="Arial" w:hAnsi="Arial"/>
          <w:sz w:val="18"/>
          <w:szCs w:val="18"/>
          <w:b w:val="1"/>
          <w:bCs w:val="1"/>
          <w:color w:val="auto"/>
        </w:rPr>
        <w:t>Company</w:t>
      </w:r>
      <w:r>
        <w:rPr>
          <w:rFonts w:ascii="Arial" w:cs="Arial" w:eastAsia="Arial" w:hAnsi="Arial"/>
          <w:sz w:val="18"/>
          <w:szCs w:val="18"/>
          <w:color w:val="auto"/>
        </w:rPr>
        <w:t>”) and Sanjeev Aggarwal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Executive previously entered into that certain Employment Agreement, dated as of April 3, 2021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in accordance with Section 10.4 of the Employment Agreement, the Company and the Executive wish to amend the Employment Agreement to reflect the terms set forth below.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the mutual covenants set forth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1.1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81" w:lineRule="auto"/>
        <w:rPr>
          <w:sz w:val="20"/>
          <w:szCs w:val="20"/>
          <w:color w:val="auto"/>
        </w:rPr>
      </w:pPr>
      <w:r>
        <w:rPr>
          <w:rFonts w:ascii="Arial" w:cs="Arial" w:eastAsia="Arial" w:hAnsi="Arial"/>
          <w:sz w:val="17"/>
          <w:szCs w:val="17"/>
          <w:b w:val="1"/>
          <w:bCs w:val="1"/>
          <w:color w:val="auto"/>
        </w:rPr>
        <w:t>1.1 Position</w:t>
      </w:r>
      <w:r>
        <w:rPr>
          <w:rFonts w:ascii="Arial" w:cs="Arial" w:eastAsia="Arial" w:hAnsi="Arial"/>
          <w:sz w:val="17"/>
          <w:szCs w:val="17"/>
          <w:color w:val="auto"/>
        </w:rPr>
        <w:t>. Executive shall serve as the Company’s President and Chief Executive Officer, reporting directly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(the “Board”). During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6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1.2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81" w:lineRule="auto"/>
        <w:rPr>
          <w:sz w:val="20"/>
          <w:szCs w:val="20"/>
          <w:color w:val="auto"/>
        </w:rPr>
      </w:pPr>
      <w:r>
        <w:rPr>
          <w:rFonts w:ascii="Arial" w:cs="Arial" w:eastAsia="Arial" w:hAnsi="Arial"/>
          <w:sz w:val="17"/>
          <w:szCs w:val="17"/>
          <w:b w:val="1"/>
          <w:bCs w:val="1"/>
          <w:color w:val="auto"/>
        </w:rPr>
        <w:t>1.2 Duties and Location</w:t>
      </w:r>
      <w:r>
        <w:rPr>
          <w:rFonts w:ascii="Arial" w:cs="Arial" w:eastAsia="Arial" w:hAnsi="Arial"/>
          <w:sz w:val="17"/>
          <w:szCs w:val="17"/>
          <w:color w:val="auto"/>
        </w:rPr>
        <w:t>. Executive shall perform such duties as are required by the Board of Directors and will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responsibilities, duties and authority commensurate with the position of Chief Executive Officer as determined by the Board of Directors from time to time. Executive’s primary work location shall continue to be the Company’s headquarters in Chandler, Arizona; however, Executive is expected to travel frequently and shall perform his duties in other locations as reasonably necessary.</w:t>
      </w:r>
    </w:p>
    <w:p>
      <w:pPr>
        <w:spacing w:after="0" w:line="16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Executive may, without violating this Agreement: (i) as a passive investment, own publicly traded securities in such form or manner as shall not require any services by Executive in the operation of the entities in which such securities are owned; (ii) engage in charitable and civic activities, including participation in professional groups and associations; and (iii) serve on other company boards with the prior written consent of the Board.</w:t>
      </w:r>
    </w:p>
    <w:p>
      <w:pPr>
        <w:spacing w:after="0" w:line="187"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2.1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For services to be rendered hereunder, Executive shall receive a base salary at the rate of $400,000 per year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retroactive to January 1, 2022, subject to standard payroll deductions and withholdings and payable in accordance with the Company’s regular payroll schedule. Executive’s Base Salary shall be reviewed by the Compensation Committee of the Board (or Board) for possible adjustment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72" w:hanging="672"/>
        <w:spacing w:after="0"/>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2.2 of the Employment Agreement is hereby deleted and amended and restated in its entirety to read as follows:</w:t>
      </w:r>
    </w:p>
    <w:p>
      <w:pPr>
        <w:spacing w:after="0" w:line="221" w:lineRule="exact"/>
        <w:rPr>
          <w:sz w:val="20"/>
          <w:szCs w:val="20"/>
          <w:color w:val="auto"/>
        </w:rPr>
      </w:pPr>
    </w:p>
    <w:p>
      <w:pPr>
        <w:jc w:val="both"/>
        <w:ind w:left="1292"/>
        <w:spacing w:after="0" w:line="272" w:lineRule="auto"/>
        <w:rPr>
          <w:sz w:val="20"/>
          <w:szCs w:val="20"/>
          <w:color w:val="auto"/>
        </w:rPr>
      </w:pPr>
      <w:r>
        <w:rPr>
          <w:rFonts w:ascii="Arial" w:cs="Arial" w:eastAsia="Arial" w:hAnsi="Arial"/>
          <w:sz w:val="17"/>
          <w:szCs w:val="17"/>
          <w:b w:val="1"/>
          <w:bCs w:val="1"/>
          <w:color w:val="auto"/>
        </w:rPr>
        <w:t>2.2 Bonus</w:t>
      </w:r>
      <w:r>
        <w:rPr>
          <w:rFonts w:ascii="Arial" w:cs="Arial" w:eastAsia="Arial" w:hAnsi="Arial"/>
          <w:sz w:val="17"/>
          <w:szCs w:val="17"/>
          <w:color w:val="auto"/>
        </w:rPr>
        <w:t>. Executive will be eligible for an annual discretionary bonus of up to 100% of Executive’s Base Salary.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annual target bonus percentage, whether Executive receives an annual bonus for any given year, and the amount of any such annual bonus, will be determined by the Compensation Committee of the Board (or the Board) in its sole discretion based upon the Company’s and Executive’s achievement of objectives and milestones to be determined on an annual basis by the Compensation Committee of the Board (or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spacing w:after="0" w:line="176" w:lineRule="exact"/>
        <w:rPr>
          <w:sz w:val="20"/>
          <w:szCs w:val="20"/>
          <w:color w:val="auto"/>
        </w:rPr>
      </w:pPr>
    </w:p>
    <w:p>
      <w:pPr>
        <w:ind w:left="672" w:hanging="672"/>
        <w:spacing w:after="0"/>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amended by the terms of this Amendment, the Employment Agreement remains in full force and effect.</w:t>
      </w:r>
    </w:p>
    <w:p>
      <w:pPr>
        <w:spacing w:after="0" w:line="225" w:lineRule="exact"/>
        <w:rPr>
          <w:rFonts w:ascii="Arial" w:cs="Arial" w:eastAsia="Arial" w:hAnsi="Arial"/>
          <w:sz w:val="18"/>
          <w:szCs w:val="18"/>
          <w:color w:val="auto"/>
        </w:rPr>
      </w:pPr>
    </w:p>
    <w:p>
      <w:pPr>
        <w:jc w:val="both"/>
        <w:ind w:left="-8" w:firstLine="8"/>
        <w:spacing w:after="0" w:line="263" w:lineRule="auto"/>
        <w:tabs>
          <w:tab w:leader="none" w:pos="66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together will constitute one and the same instrument. Delivery of an executed counterpart of a signature page to this Amendment by facsimile, .pdf or other electronic means shall be effective as delivery of a manually executed counterpart to this Amendment.</w:t>
      </w:r>
    </w:p>
    <w:p>
      <w:pPr>
        <w:spacing w:after="0" w:line="183" w:lineRule="exact"/>
        <w:rPr>
          <w:rFonts w:ascii="Arial" w:cs="Arial" w:eastAsia="Arial" w:hAnsi="Arial"/>
          <w:sz w:val="18"/>
          <w:szCs w:val="18"/>
          <w:color w:val="auto"/>
        </w:rPr>
      </w:pPr>
    </w:p>
    <w:p>
      <w:pPr>
        <w:ind w:left="672" w:hanging="672"/>
        <w:spacing w:after="0"/>
        <w:tabs>
          <w:tab w:leader="none" w:pos="672"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questions concerning the construction, validity and interpretation of this Amendment will be governed by the laws of the State of Arizona.</w:t>
      </w:r>
    </w:p>
    <w:p>
      <w:pPr>
        <w:spacing w:after="0" w:line="236"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6"/>
          <w:szCs w:val="16"/>
          <w:color w:val="auto"/>
        </w:rPr>
        <w:t>IN WITNESS WHEREOF, the parties have executed this Amendment as of February 28, 2022 but effective as of the date and year set forth above.</w:t>
      </w:r>
    </w:p>
    <w:p>
      <w:pPr>
        <w:spacing w:after="0" w:line="248"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Everspin Technologies, Inc.</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 /s/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Darin Billerbeck</w:t>
      </w:r>
    </w:p>
    <w:p>
      <w:pPr>
        <w:spacing w:after="0" w:line="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Title: Interim Chief Executive Officer</w:t>
      </w:r>
    </w:p>
    <w:p>
      <w:pPr>
        <w:spacing w:after="0" w:line="211"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557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Sanjeev Aggarwal</w:t>
      </w: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9420 Hawkshead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First Amendment to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Darin: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the Offer Letter by and between you and Everspin 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December 30, 2020 (the “</w:t>
      </w:r>
      <w:r>
        <w:rPr>
          <w:rFonts w:ascii="Arial" w:cs="Arial" w:eastAsia="Arial" w:hAnsi="Arial"/>
          <w:sz w:val="18"/>
          <w:szCs w:val="18"/>
          <w:u w:val="single" w:color="auto"/>
          <w:color w:val="auto"/>
        </w:rPr>
        <w:t>Offer Letter</w:t>
      </w:r>
      <w:r>
        <w:rPr>
          <w:rFonts w:ascii="Arial" w:cs="Arial" w:eastAsia="Arial" w:hAnsi="Arial"/>
          <w:sz w:val="18"/>
          <w:szCs w:val="18"/>
          <w:color w:val="auto"/>
        </w:rPr>
        <w:t>”). This letter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amends the terms and conditions of the Offer Letter and shall become effective on March 14, 2022. Capitalized terms used in this Amendment but not defined herein have the meanings set forth in your Offer Letter.</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you know, effective March 14, 2022, Sanjeev Aggarwal will assume the role of President and Chief Executive Officer of the Company. In connection with Sanjeev’s appointment, you will resign your position as interim Chief Executive Officer and will continue as an “at will” employee of the Company, in the role of Executive Chairman, through December 31, 2022. As Executive Chairman you will report to the Board of Directors and will support strategic initiatives identified by the Board of Directors and/or the President and Chief Executive Officer.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consideration for your services as Executive Chairman, and subject to approval by the Board of Directors and other necessary approvals, you will granted 62,000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with such RSUs vesting monthly through the end of 2022 so long as you remain Executive Chairman through each monthly vesting date. The RSUs will be governed by the terms and conditions of the Equity Incentive Plan and the award agreement that you will be required to sign to accept the RSUs.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March 14, 2022, your Base Salary will be reduced to the annual rate of $35,568 (or such higher amount that equates to the applicable minimum wage). You will not be eligible to participate in the Company’s 2022 Executive Bonus Program. As previously approved by the Compensation Committee of the Board, your $6,000 monthly housing stipend will remain in place through November of 2022.</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Except as amended by the terms of this Amendment, the Employment Agreement remains in full force and effect. All questions concerning the construction, validity and interpretation of this Amendment will be governed by the laws of the State of Arizona.</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excited at the prospect of you moving into the Executive Chairman role. If you have any questions about this First Amendment, please let me know. If you are in agreement with the terms of this First Amendment, please sign below and return this First Amendment to me.</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Everspin Technologies,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Anuj Aggarwal</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This FIRST AMENDMENT TO EXECUTIVE EMPLOYMENT AGREEMENT for Anuj Aggarwal (“</w:t>
      </w:r>
      <w:r>
        <w:rPr>
          <w:rFonts w:ascii="Arial" w:cs="Arial" w:eastAsia="Arial" w:hAnsi="Arial"/>
          <w:sz w:val="18"/>
          <w:szCs w:val="18"/>
          <w:b w:val="1"/>
          <w:bCs w:val="1"/>
          <w:color w:val="auto"/>
        </w:rPr>
        <w:t>Amendment</w:t>
      </w:r>
      <w:r>
        <w:rPr>
          <w:rFonts w:ascii="Arial" w:cs="Arial" w:eastAsia="Arial" w:hAnsi="Arial"/>
          <w:sz w:val="18"/>
          <w:szCs w:val="18"/>
          <w:color w:val="auto"/>
        </w:rPr>
        <w:t>”), effective this 14 day of March, 2022, is entered into by and between Everspin Technologies, Inc. (the “</w:t>
      </w:r>
      <w:r>
        <w:rPr>
          <w:rFonts w:ascii="Arial" w:cs="Arial" w:eastAsia="Arial" w:hAnsi="Arial"/>
          <w:sz w:val="18"/>
          <w:szCs w:val="18"/>
          <w:b w:val="1"/>
          <w:bCs w:val="1"/>
          <w:color w:val="auto"/>
        </w:rPr>
        <w:t>Company</w:t>
      </w:r>
      <w:r>
        <w:rPr>
          <w:rFonts w:ascii="Arial" w:cs="Arial" w:eastAsia="Arial" w:hAnsi="Arial"/>
          <w:sz w:val="18"/>
          <w:szCs w:val="18"/>
          <w:color w:val="auto"/>
        </w:rPr>
        <w:t>”) and Anuj Aggarwal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Executive previously entered into that certain Employment Agreement, dated as of July 2, 2021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in accordance with Section 10.4 of the Employment Agreement, the Company and the Executive wish to amend the Employment Agreement to reflect the terms set forth below.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the mutual covenants set forth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1.1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b w:val="1"/>
          <w:bCs w:val="1"/>
          <w:color w:val="auto"/>
        </w:rPr>
        <w:t>1.1 Position</w:t>
      </w:r>
      <w:r>
        <w:rPr>
          <w:rFonts w:ascii="Arial" w:cs="Arial" w:eastAsia="Arial" w:hAnsi="Arial"/>
          <w:sz w:val="18"/>
          <w:szCs w:val="18"/>
          <w:color w:val="auto"/>
        </w:rPr>
        <w:t>. Executive shall serve as the Company’s Chief Financial Officer. During Executive’s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84"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1.2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b w:val="1"/>
          <w:bCs w:val="1"/>
          <w:color w:val="auto"/>
        </w:rPr>
        <w:t>1.2 Duties and Location</w:t>
      </w:r>
      <w:r>
        <w:rPr>
          <w:rFonts w:ascii="Arial" w:cs="Arial" w:eastAsia="Arial" w:hAnsi="Arial"/>
          <w:sz w:val="18"/>
          <w:szCs w:val="18"/>
          <w:color w:val="auto"/>
        </w:rPr>
        <w:t>. Executive shall perform such duties as are required by the President and Chief Executive Officer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Executive will report. Executive’s primary work location shall continue to be the Company’s headquarters in Chandler, Arizona. The Company reserves the right to reasonably require Executive to perform Executive’s duties at places other than Executive’s primary office location from time to time, and to require reasonable business travel.</w:t>
      </w:r>
    </w:p>
    <w:p>
      <w:pPr>
        <w:spacing w:after="0" w:line="18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Executive may, without violating this Agreement: (i) as a passive investment, own publicly traded securities in such form or manner as shall not require any services by Executive in the operation of the entities in which such securities are owned; (ii) engage in charitable and civic activities, including participation in professional groups and associations; and (iii) serve on other company boards with the prior written consent of the Board of Directors and the President and Chief Executive Officer.</w:t>
      </w:r>
    </w:p>
    <w:p>
      <w:pPr>
        <w:spacing w:after="0" w:line="187"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2.1 of the Employment Agreement is hereby deleted and amended and restated in its entirety to read as follows:</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For services to be rendered hereunder, Executive shall receive a base salary at the rate of $330,000 per year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retroactive to January 1, 2022, subject to standard payroll deductions and withholdings and payable in accordance with the Company’s regular payroll schedule. Executive’s Base Salary shall be reviewed by the Compensation Committee of the Board of Directors or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for possible adjustment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672" w:hanging="672"/>
        <w:spacing w:after="0"/>
        <w:tabs>
          <w:tab w:leader="none" w:pos="6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2.2 of the Employment Agreement is hereby deleted and amended and restated in its entirety to read as follows:</w:t>
      </w:r>
    </w:p>
    <w:p>
      <w:pPr>
        <w:spacing w:after="0" w:line="221" w:lineRule="exact"/>
        <w:rPr>
          <w:sz w:val="20"/>
          <w:szCs w:val="20"/>
          <w:color w:val="auto"/>
        </w:rPr>
      </w:pPr>
    </w:p>
    <w:p>
      <w:pPr>
        <w:jc w:val="both"/>
        <w:ind w:left="1292"/>
        <w:spacing w:after="0" w:line="254" w:lineRule="auto"/>
        <w:rPr>
          <w:sz w:val="20"/>
          <w:szCs w:val="20"/>
          <w:color w:val="auto"/>
        </w:rPr>
      </w:pPr>
      <w:r>
        <w:rPr>
          <w:rFonts w:ascii="Arial" w:cs="Arial" w:eastAsia="Arial" w:hAnsi="Arial"/>
          <w:sz w:val="18"/>
          <w:szCs w:val="18"/>
          <w:b w:val="1"/>
          <w:bCs w:val="1"/>
          <w:color w:val="auto"/>
        </w:rPr>
        <w:t>2.2 Bonus</w:t>
      </w:r>
      <w:r>
        <w:rPr>
          <w:rFonts w:ascii="Arial" w:cs="Arial" w:eastAsia="Arial" w:hAnsi="Arial"/>
          <w:sz w:val="18"/>
          <w:szCs w:val="18"/>
          <w:color w:val="auto"/>
        </w:rPr>
        <w:t>. Executive will be eligible for an annual discretionary bonus of up to 65% of Executive’s Base Salary.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bonus percentage, whether Executive receives an annual bonus for any given year, and the amount of any such annual bonus, will be determined by the Compensation Committee of the Board (or the Board) in its sole discretion based upon the Company’s and Executive’s achievement of objectives and milestones to be determined on an annual basis by the Compensation Committee of the Board (or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spacing w:after="0" w:line="196" w:lineRule="exact"/>
        <w:rPr>
          <w:sz w:val="20"/>
          <w:szCs w:val="20"/>
          <w:color w:val="auto"/>
        </w:rPr>
      </w:pPr>
    </w:p>
    <w:p>
      <w:pPr>
        <w:ind w:left="672" w:hanging="672"/>
        <w:spacing w:after="0"/>
        <w:tabs>
          <w:tab w:leader="none" w:pos="6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amended by the terms of this Amendment, the Employment Agreement remains in full force and effect.</w:t>
      </w:r>
    </w:p>
    <w:p>
      <w:pPr>
        <w:spacing w:after="0" w:line="225" w:lineRule="exact"/>
        <w:rPr>
          <w:rFonts w:ascii="Arial" w:cs="Arial" w:eastAsia="Arial" w:hAnsi="Arial"/>
          <w:sz w:val="18"/>
          <w:szCs w:val="18"/>
          <w:color w:val="auto"/>
        </w:rPr>
      </w:pPr>
    </w:p>
    <w:p>
      <w:pPr>
        <w:jc w:val="both"/>
        <w:ind w:left="-8" w:firstLine="8"/>
        <w:spacing w:after="0" w:line="263" w:lineRule="auto"/>
        <w:tabs>
          <w:tab w:leader="none" w:pos="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together will constitute one and the same instrument. Delivery of an executed counterpart of a signature page to this Amendment by facsimile, .pdf or other electronic means shall be effective as delivery of a manually executed counterpart to this Amendment.</w:t>
      </w:r>
    </w:p>
    <w:p>
      <w:pPr>
        <w:spacing w:after="0" w:line="183" w:lineRule="exact"/>
        <w:rPr>
          <w:rFonts w:ascii="Arial" w:cs="Arial" w:eastAsia="Arial" w:hAnsi="Arial"/>
          <w:sz w:val="18"/>
          <w:szCs w:val="18"/>
          <w:color w:val="auto"/>
        </w:rPr>
      </w:pPr>
    </w:p>
    <w:p>
      <w:pPr>
        <w:ind w:left="672" w:hanging="672"/>
        <w:spacing w:after="0"/>
        <w:tabs>
          <w:tab w:leader="none" w:pos="672"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questions concerning the construction, validity and interpretation of this Amendment will be governed by the laws of the State of Arizona.</w:t>
      </w:r>
    </w:p>
    <w:p>
      <w:pPr>
        <w:spacing w:after="0" w:line="236"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6"/>
          <w:szCs w:val="16"/>
          <w:color w:val="auto"/>
        </w:rPr>
        <w:t>IN WITNESS WHEREOF, the parties have executed this Amendment as of February 28, 2022 but effective as of the date and year set forth above.</w:t>
      </w:r>
    </w:p>
    <w:p>
      <w:pPr>
        <w:spacing w:after="0" w:line="248"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Everspin Technologies, Inc.</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 /s/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Darin Billerbeck</w:t>
      </w:r>
    </w:p>
    <w:p>
      <w:pPr>
        <w:spacing w:after="0" w:line="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Title: Interim Chief Executive Officer</w:t>
      </w:r>
    </w:p>
    <w:p>
      <w:pPr>
        <w:spacing w:after="0" w:line="211"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557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Anuj Aggarwal</w:t>
      </w: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jc w:val="center"/>
              <w:ind w:right="2410"/>
              <w:spacing w:after="0"/>
              <w:rPr>
                <w:sz w:val="20"/>
                <w:szCs w:val="20"/>
                <w:color w:val="auto"/>
              </w:rPr>
            </w:pPr>
            <w:r>
              <w:rPr>
                <w:rFonts w:ascii="Arial" w:cs="Arial" w:eastAsia="Arial" w:hAnsi="Arial"/>
                <w:sz w:val="18"/>
                <w:szCs w:val="18"/>
                <w:b w:val="1"/>
                <w:bCs w:val="1"/>
                <w:color w:val="auto"/>
              </w:rPr>
              <w:t>EVERSPIN TECHNOLOGIES, INC.</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jc w:val="center"/>
              <w:ind w:right="2410"/>
              <w:spacing w:after="0"/>
              <w:rPr>
                <w:sz w:val="20"/>
                <w:szCs w:val="20"/>
                <w:color w:val="auto"/>
              </w:rPr>
            </w:pPr>
            <w:r>
              <w:rPr>
                <w:rFonts w:ascii="Arial" w:cs="Arial" w:eastAsia="Arial" w:hAnsi="Arial"/>
                <w:sz w:val="18"/>
                <w:szCs w:val="18"/>
                <w:b w:val="1"/>
                <w:bCs w:val="1"/>
                <w:color w:val="auto"/>
              </w:rPr>
              <w:t>EXECUTIVE CHANGE IN CONTROL PLAN</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898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2"/>
              </w:rPr>
              <w:t>(Originally Adopted Effective March 10, 2020; Amended Effective March 14, 2022)</w:t>
            </w:r>
          </w:p>
        </w:tc>
        <w:tc>
          <w:tcPr>
            <w:tcW w:w="0" w:type="dxa"/>
            <w:vAlign w:val="bottom"/>
          </w:tcPr>
          <w:p>
            <w:pPr>
              <w:spacing w:after="0"/>
              <w:rPr>
                <w:sz w:val="1"/>
                <w:szCs w:val="1"/>
                <w:color w:val="auto"/>
              </w:rPr>
            </w:pPr>
          </w:p>
        </w:tc>
      </w:tr>
      <w:tr>
        <w:trPr>
          <w:trHeight w:val="439"/>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Executive Group</w:t>
            </w:r>
          </w:p>
        </w:tc>
        <w:tc>
          <w:tcPr>
            <w:tcW w:w="240" w:type="dxa"/>
            <w:vAlign w:val="bottom"/>
          </w:tcPr>
          <w:p>
            <w:pPr>
              <w:spacing w:after="0"/>
              <w:rPr>
                <w:sz w:val="24"/>
                <w:szCs w:val="24"/>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Executive CIC Benefits in connection with a Change in Control</w:t>
            </w:r>
          </w:p>
        </w:tc>
        <w:tc>
          <w:tcPr>
            <w:tcW w:w="0" w:type="dxa"/>
            <w:vAlign w:val="bottom"/>
          </w:tcPr>
          <w:p>
            <w:pPr>
              <w:spacing w:after="0"/>
              <w:rPr>
                <w:sz w:val="1"/>
                <w:szCs w:val="1"/>
                <w:color w:val="auto"/>
              </w:rPr>
            </w:pPr>
          </w:p>
        </w:tc>
      </w:tr>
      <w:tr>
        <w:trPr>
          <w:trHeight w:val="283"/>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   12 months base salary</w:t>
            </w:r>
          </w:p>
        </w:tc>
        <w:tc>
          <w:tcPr>
            <w:tcW w:w="0" w:type="dxa"/>
            <w:vAlign w:val="bottom"/>
          </w:tcPr>
          <w:p>
            <w:pPr>
              <w:spacing w:after="0"/>
              <w:rPr>
                <w:sz w:val="1"/>
                <w:szCs w:val="1"/>
                <w:color w:val="auto"/>
              </w:rPr>
            </w:pPr>
          </w:p>
        </w:tc>
      </w:tr>
      <w:tr>
        <w:trPr>
          <w:trHeight w:val="432"/>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President and CEO, CFO</w:t>
            </w:r>
          </w:p>
        </w:tc>
        <w:tc>
          <w:tcPr>
            <w:tcW w:w="240" w:type="dxa"/>
            <w:vAlign w:val="bottom"/>
          </w:tcPr>
          <w:p>
            <w:pPr>
              <w:spacing w:after="0"/>
              <w:rPr>
                <w:sz w:val="24"/>
                <w:szCs w:val="24"/>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   Full performance-based bonus at target</w:t>
            </w:r>
          </w:p>
        </w:tc>
        <w:tc>
          <w:tcPr>
            <w:tcW w:w="0" w:type="dxa"/>
            <w:vAlign w:val="bottom"/>
          </w:tcPr>
          <w:p>
            <w:pPr>
              <w:spacing w:after="0"/>
              <w:rPr>
                <w:sz w:val="1"/>
                <w:szCs w:val="1"/>
                <w:color w:val="auto"/>
              </w:rPr>
            </w:pPr>
          </w:p>
        </w:tc>
      </w:tr>
      <w:tr>
        <w:trPr>
          <w:trHeight w:val="90"/>
        </w:trPr>
        <w:tc>
          <w:tcPr>
            <w:tcW w:w="2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660"/>
              <w:spacing w:after="0"/>
              <w:rPr>
                <w:sz w:val="20"/>
                <w:szCs w:val="20"/>
                <w:color w:val="auto"/>
              </w:rPr>
            </w:pPr>
            <w:r>
              <w:rPr>
                <w:rFonts w:ascii="Arial" w:cs="Arial" w:eastAsia="Arial" w:hAnsi="Arial"/>
                <w:sz w:val="18"/>
                <w:szCs w:val="18"/>
                <w:b w:val="1"/>
                <w:bCs w:val="1"/>
                <w:color w:val="auto"/>
              </w:rPr>
              <w:t>and CTO</w:t>
            </w:r>
          </w:p>
        </w:tc>
        <w:tc>
          <w:tcPr>
            <w:tcW w:w="240" w:type="dxa"/>
            <w:vAlign w:val="bottom"/>
          </w:tcPr>
          <w:p>
            <w:pPr>
              <w:spacing w:after="0"/>
              <w:rPr>
                <w:sz w:val="20"/>
                <w:szCs w:val="20"/>
                <w:color w:val="auto"/>
              </w:rPr>
            </w:pPr>
          </w:p>
        </w:tc>
        <w:tc>
          <w:tcPr>
            <w:tcW w:w="8740" w:type="dxa"/>
            <w:vAlign w:val="bottom"/>
            <w:vMerge w:val="restart"/>
          </w:tcPr>
          <w:p>
            <w:pPr>
              <w:ind w:left="320"/>
              <w:spacing w:after="0"/>
              <w:rPr>
                <w:sz w:val="20"/>
                <w:szCs w:val="20"/>
                <w:color w:val="auto"/>
              </w:rPr>
            </w:pPr>
            <w:r>
              <w:rPr>
                <w:rFonts w:ascii="Arial" w:cs="Arial" w:eastAsia="Arial" w:hAnsi="Arial"/>
                <w:sz w:val="18"/>
                <w:szCs w:val="18"/>
                <w:color w:val="auto"/>
              </w:rPr>
              <w:t>●   12 months COBRA benefits continuation</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12 months of Vesting Acceleration</w:t>
            </w: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2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shall mean the board of 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shall mean your termination for any one or more of the following reasons:</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indictment or conviction of any felony or any crime involving dishonesty or moral turpitude under the laws of the United States or any state thereof;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refusal to abide by or comply with any reasonable, lawful directives of the CEO or the Board;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willful dishonesty, fraud, or material misconduct with respect to the business or affairs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your intentional, material, violation of any contract or agreement with the Company or of any statutory duty owed to the Company;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by which you demonstrate gross unfitness to serve.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“Change in Control” </w:t>
      </w:r>
      <w:r>
        <w:rPr>
          <w:rFonts w:ascii="Arial" w:cs="Arial" w:eastAsia="Arial" w:hAnsi="Arial"/>
          <w:sz w:val="17"/>
          <w:szCs w:val="17"/>
          <w:color w:val="auto"/>
        </w:rPr>
        <w:t>shall mean (a) any Exchange Act Person becomes the Owner of securities of the company representing more than 50%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voting power of the then outstanding securities other than by virtue of a merger, consolidation or similar transaction, (b) a consolidation or merger of the Company with or into any other corporation or other entity or person, or any corporate reorganization in which the stockholders of the Company immediately prior to such consolidation, merger or reorganization, own less than 50% of the voting power of the surviving entity immediately after such consolidation, merger or reorganization, provided, however, that the outstanding voting securities representing more than 50% of the combined voting power of the surviving Entity or its parent are not owned by the IPO entities, (c) a sale or other disposition of all or substantially all of the assets of the Company, or (d) a complete dissolution or liquidation of the Company, except for a liquidation into a parent corporation. A Change in Control shall not include a sale of assets, merger or other transaction effected exclusively for the purpose of changing the domicile of the Company and the definition of Change in Control in an individual written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shall mean Everspin Technologies, Inc., or any acquirer or successor in interest thereof.</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“Double Trigger” </w:t>
      </w:r>
      <w:r>
        <w:rPr>
          <w:rFonts w:ascii="Arial" w:cs="Arial" w:eastAsia="Arial" w:hAnsi="Arial"/>
          <w:sz w:val="16"/>
          <w:szCs w:val="16"/>
          <w:color w:val="auto"/>
        </w:rPr>
        <w:t>shall be achieved if your employment is terminated by the Company without Cause or by you for Good Reason at any time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commencing three months prior to a Change in Control and ending 12 months—or in the case of the President and CEO, 18 months—following the Change in Control. For clarity, no payments or benefits will be provided under this Plan until this Double Trigger requirement has been satisfied.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shall mean any equity awards, including but not limited to options, restricted stock and restricted stock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“Vesting Acceleration” </w:t>
      </w:r>
      <w:r>
        <w:rPr>
          <w:rFonts w:ascii="Arial" w:cs="Arial" w:eastAsia="Arial" w:hAnsi="Arial"/>
          <w:sz w:val="18"/>
          <w:szCs w:val="18"/>
          <w:color w:val="auto"/>
        </w:rPr>
        <w:t>shall mean the vesting of the Shares subject to any Equity Awards held by you on the date of your termination shall be accelerated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that the then unvested Equity Awards shall vest and become exercisable as to the number of shares subject to such equity award that would have vested if the Participant had completed an additional 12 months of employment following the termination date.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shall mean if one of the following events occurs without your written consent: (i) a material reduction in the amount of aggregate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compensation which you have the opportunity to earn, or failure by the company to pay such compensation; (ii) you are required by the Company to relocate your Primary Work Location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by more than 50 miles; (iii) a material adverse reduction in your duties, authority or responsibilities, but excluding any change to your reporting responsibilities or any change in title that does not represent a material adverse reduction in your duties, authority or responsibilities as existed immediately prior to such change in title and (iv) a material breach by the Company under this agreement or any written agreement between the executive and the company.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purposes of clause (iii) above, if the Company is operated as a separate subsidiary or business unit following a Change in Control, such officers will be deemed to have suffered a material reduction in duties, authority or responsibilities if such duties, authority or responsibilities—excluding reporting responsibilities—with respect to such subsidiary or separate business unit are materially changed following such Change in Control. For example, if you were the CFO of the Company, and then the CFO of a subsidiary after the Change in Control such that the only change to your responsibilities were that you no longer had reporting responsibilities, that would not fit within the definition of Good Reason.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effect a Resignation for Good Reason, you must notify the Board within 30 days after the first occurrence of the event described above, the Company must fail to cure such event within 30 days after receiving written notice, and your resignation date must be no later than 60 days after the expiration of the Company’s cure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each individual who is employed by the Company as its President and CEO, its CFO, or its CTO and has received and returned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“Separation from Service” </w:t>
      </w:r>
      <w:r>
        <w:rPr>
          <w:rFonts w:ascii="Arial" w:cs="Arial" w:eastAsia="Arial" w:hAnsi="Arial"/>
          <w:sz w:val="18"/>
          <w:szCs w:val="18"/>
          <w:color w:val="auto"/>
        </w:rPr>
        <w:t>shall mean any termination of employment is terminated by the Company without Cause or resignation for Good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or not a Change in Control has occurred, and such termination constitutes a “separation from service” (as defined under Treasury Regulation Section 1.409A-1(h)).</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“Severance Benefits” </w:t>
      </w:r>
      <w:r>
        <w:rPr>
          <w:rFonts w:ascii="Arial" w:cs="Arial" w:eastAsia="Arial" w:hAnsi="Arial"/>
          <w:sz w:val="16"/>
          <w:szCs w:val="16"/>
          <w:color w:val="auto"/>
        </w:rPr>
        <w:t>shall mean the Vesting Acceleration, continuation of benefits, bonus payments and base salary payments described above and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Amendment Limiting Eligibility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10, 2020, the Company established this Executive Change in Control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Effective March 14, 2022, the eligibility requirements of the Plan were amended by the Company’s Compensation Committee of the Board such that, after March 14, 2022, the only individuals eligible to receive benefits under this Plan are the following individuals:</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President and CEO so long as such individual has returned the 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CFO so long as such individual has returned the 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CTO so long as such individual has returned the 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Any Vice President of the Company who, </w:t>
      </w:r>
      <w:r>
        <w:rPr>
          <w:rFonts w:ascii="Arial" w:cs="Arial" w:eastAsia="Arial" w:hAnsi="Arial"/>
          <w:sz w:val="18"/>
          <w:szCs w:val="18"/>
          <w:b w:val="1"/>
          <w:bCs w:val="1"/>
          <w:i w:val="1"/>
          <w:iCs w:val="1"/>
          <w:color w:val="auto"/>
        </w:rPr>
        <w:t>prior to March 14, 2022</w:t>
      </w:r>
      <w:r>
        <w:rPr>
          <w:rFonts w:ascii="Arial" w:cs="Arial" w:eastAsia="Arial" w:hAnsi="Arial"/>
          <w:sz w:val="18"/>
          <w:szCs w:val="18"/>
          <w:color w:val="auto"/>
        </w:rPr>
        <w:t xml:space="preserve">, returned the 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For such Vice Presidents, their participation and the Severance Benefits to which they may be entitled to receive under the Plan is governed by the original Plan document dated March 10, 2020.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For the avoidance of doubt, no Vice President who is hired on or after March 14, 2022, and no Vice President who signs a Participation Notice on or after March 14, 2022 is eligible to participate in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a condition of your receipt of any Severance Benefits or Vesting Acceleration as set forth in this Agreement, you will be required to execute and allow to become effective a general release of claims in favor of the Company, with such changes as may be required due to intervening changes in applicable law (a </w:t>
      </w:r>
      <w:r>
        <w:rPr>
          <w:rFonts w:ascii="Arial" w:cs="Arial" w:eastAsia="Arial" w:hAnsi="Arial"/>
          <w:sz w:val="17"/>
          <w:szCs w:val="17"/>
          <w:b w:val="1"/>
          <w:bCs w:val="1"/>
          <w:i w:val="1"/>
          <w:iCs w:val="1"/>
          <w:color w:val="auto"/>
        </w:rPr>
        <w:t>“General Release”</w:t>
      </w:r>
      <w:r>
        <w:rPr>
          <w:rFonts w:ascii="Arial" w:cs="Arial" w:eastAsia="Arial" w:hAnsi="Arial"/>
          <w:sz w:val="17"/>
          <w:szCs w:val="17"/>
          <w:color w:val="auto"/>
        </w:rPr>
        <w:t xml:space="preserve">) within 45 days following your employment termination. Unless the Release is timely signed by you, is delivered to the Company, and becomes effective within the required period (the date on which the Release becomes effective, the </w:t>
      </w:r>
      <w:r>
        <w:rPr>
          <w:rFonts w:ascii="Arial" w:cs="Arial" w:eastAsia="Arial" w:hAnsi="Arial"/>
          <w:sz w:val="17"/>
          <w:szCs w:val="17"/>
          <w:b w:val="1"/>
          <w:bCs w:val="1"/>
          <w:i w:val="1"/>
          <w:iCs w:val="1"/>
          <w:color w:val="auto"/>
        </w:rPr>
        <w:t>“Release Date”</w:t>
      </w:r>
      <w:r>
        <w:rPr>
          <w:rFonts w:ascii="Arial" w:cs="Arial" w:eastAsia="Arial" w:hAnsi="Arial"/>
          <w:sz w:val="17"/>
          <w:szCs w:val="17"/>
          <w:color w:val="auto"/>
        </w:rPr>
        <w:t>), you will not be entitled to any Severance Benefits pursuant to this Agreement, and any Vesting Acceleration as provided in this Agreement shall not apply and each Equity Awards may be exercised following the date of your termination only to the extent provided under its original terms.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Salary Continuation will be paid in equal installments on the Company’s regular payroll schedule and will be subject to applicable tax withholdings over the 12-month period outlined above following the date of your Separation from Service; provided, however, that no payments will be made prior to the first payroll date following the effective date of the General Release (the </w:t>
      </w:r>
      <w:r>
        <w:rPr>
          <w:rFonts w:ascii="Arial" w:cs="Arial" w:eastAsia="Arial" w:hAnsi="Arial"/>
          <w:sz w:val="17"/>
          <w:szCs w:val="17"/>
          <w:b w:val="1"/>
          <w:bCs w:val="1"/>
          <w:i w:val="1"/>
          <w:iCs w:val="1"/>
          <w:color w:val="auto"/>
        </w:rPr>
        <w:t>“Initial Payment Date”</w:t>
      </w:r>
      <w:r>
        <w:rPr>
          <w:rFonts w:ascii="Arial" w:cs="Arial" w:eastAsia="Arial" w:hAnsi="Arial"/>
          <w:sz w:val="17"/>
          <w:szCs w:val="17"/>
          <w:color w:val="auto"/>
        </w:rPr>
        <w:t>). On the Initial Payment Date, the Company will pay you in a lump sum the Salary Continuation that you would have received on or prior to such date under the original schedule but for the delay while waiting for Initial Payment Date in compliance with Section 409A and the effectiveness of the General Release, with the balance of the Salary Continuation being paid as originally scheduled. Notwithstanding the foregoing, the Company may pay the Salary Continuation in the form of a lump sum, which amount will be paid on the Initial Payment Date, but such lump sum payment shall be made only if the Company, in consultation with its advisors, determines that such payment will not result in adverse taxation under Section 409A (as defined below). The Pro Rata Bonus will be paid to you in a lump sum on the date on which the Salary Continuation commences.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any provision to the contrary in this Agreement, if you are deemed by the Company at the time of your Separation from Service to be a “specified employee” for purposes of Section 409A of the Internal Revenue Code of 1986, as amended, and the regulations and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then to the extent delayed commencement of any portion of the severance benefits to which you are entitled under this Agreement is required in order to avoid adverse taxation under Section 409A, such portion of your benefits shall not be provided to you prior to the earlier of (i) the expiration of the six-month period measured from the date of your Separation from Service with the Company or (ii) the date of your death. Upon the first business day after such earlier date, all payments deferred pursuant to this paragraph shall be paid in a lump sum to you, and any remaining payments due under this Agreement shall be paid as otherwise provided herein. For purposes Section 409A (including, without limitation, for purposes of Treasury Regulation Section 1.409A-2(b)(2)(iii)), your right to receive installment payments under this Agreement shall be treated as a right to receive a series of separate payments and, accordingly, each installment payment hereunder shall at all times be considered a separate and distinct payment. Notwithstanding any other provision of this Agreement, with respect to payments to be made upon execution of an effective release, if the release revocation period spans two calendar years, payments will be made in the second of the two calendar years to the extent necessary to avoid adverse taxation under Section 409A.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Section 280G</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Notwithstanding anything in the foregoing to the contrary, if any of the payments to you (prior to any reduction described in this paragraph) provided for in this Agreement, together with any other payments which you have the right to receive from the Company, any acquiror, their affiliates or otherwise (the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would constitute a “parachute payment” (as defined in Section 280G(b)(2) of the Internal Revenue Code of 1986, as amended (the</w:t>
      </w:r>
      <w:r>
        <w:rPr>
          <w:rFonts w:ascii="Arial" w:cs="Arial" w:eastAsia="Arial" w:hAnsi="Arial"/>
          <w:sz w:val="16"/>
          <w:szCs w:val="16"/>
          <w:b w:val="1"/>
          <w:bCs w:val="1"/>
          <w:i w:val="1"/>
          <w:iCs w:val="1"/>
          <w:color w:val="auto"/>
        </w:rPr>
        <w:t xml:space="preserve"> “Code”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if the Safe Harbor Amount, as defined below, is greater than the Taxed Amount, as defined below, then the total amount of such Payments shall be reduced to the Safe Harbor Amount. The </w:t>
      </w:r>
      <w:r>
        <w:rPr>
          <w:rFonts w:ascii="Arial" w:cs="Arial" w:eastAsia="Arial" w:hAnsi="Arial"/>
          <w:sz w:val="16"/>
          <w:szCs w:val="16"/>
          <w:b w:val="1"/>
          <w:bCs w:val="1"/>
          <w:i w:val="1"/>
          <w:iCs w:val="1"/>
          <w:color w:val="auto"/>
        </w:rPr>
        <w:t>“Safe Harbor Amount”</w:t>
      </w:r>
      <w:r>
        <w:rPr>
          <w:rFonts w:ascii="Arial" w:cs="Arial" w:eastAsia="Arial" w:hAnsi="Arial"/>
          <w:sz w:val="16"/>
          <w:szCs w:val="16"/>
          <w:color w:val="auto"/>
        </w:rPr>
        <w:t xml:space="preserve"> is the largest portion of the Payments that would result in no portion of the Payments being subject to the excise tax set forth at Section 4999 of the Code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“Taxed Amount”</w:t>
      </w:r>
      <w:r>
        <w:rPr>
          <w:rFonts w:ascii="Arial" w:cs="Arial" w:eastAsia="Arial" w:hAnsi="Arial"/>
          <w:sz w:val="16"/>
          <w:szCs w:val="16"/>
          <w:color w:val="auto"/>
        </w:rPr>
        <w:t xml:space="preserve"> is the total amount of the Payments (prior to any reduction as described in this paragraph) notwithstanding that all or some portion of the Payments may be subject to the Excise Tax. Solely for the purpose of comparing which of the Safe Harbor Amount and the Taxed Amount is greater, the determination of each such amount, shall be made on an after-tax basis, taking into account all applicable federal, state and local employment taxes, income taxes, and the Excise Tax. If a reduction of the Payments to the Safe Harbor Amount is necessary, then the reduction shall occur in the following order: reduction of cash payments; cancellation of accelerated vesting of stock awards; and reduction of employee benefits. In the event that acceleration of vesting of a stock award is to be reduced, such acceleration of vesting shall be cancelled in the reverse order of the date of grant of your stock awards. In applying the foregoing principle with respect to reductions, the reduction shall be made in a manner consistent with the requirements of Section 409A of the Code and the regulations promulgated thereunder, and if more than one method of reduction will result in the same economic benefit, the items so reduced will be reduced pro rata. The accounting firm engaged by the Company for general audit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or the Company otherwise determines such accounting firm should not be engaged for purposes of making the determinations required hereunder, the Company may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you within 15 calendar days after the date on which your right to a Payment is triggered (if requested at that time by the Company or you) or such other time as requested by the Company or you upon written notice that a payment related to a Change in Control of the Company has been or is to be made.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in connection with a Change in Control, if there is a conflict in terms between this Executive Change in Control Plan and your existing employment agreement, then the terms of this Executive Change in Control Plan shall govern.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Everspin Technologies,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Darin Billerbeck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Interim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AND CHANGE IN CONTROL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Everspin Technologies,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has adopted the Everspin Technologies, Inc. Executive Severance and Change in Control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Company is providing you this Participation Notice to inform you that you have been designated as a Participant in the Plan, and you shall be entitled to the benefits set forth in the Plan in connection with your termination without Cause upon a Change in Control or your resignation with Good Reason upon a Change in Control. A copy of the Plan document is attached to this Participation Notice. The terms and conditions of your participation in the Plan are as set forth in the Plan and this Participation Notice, which together constitute the Summary Plan Description for the Plan.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accepting participation, you represent that you have either consulted your personal tax or financial planning advisor about the tax consequences of your participation in the Plan, or you have knowingly declined to do so.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return a signed copy of this Participation Notice to the Company’s [TITLE] and retain a copy of this Participation Notice, along with the Plan document, for your records.</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EVERSPIN TECHNOLOGIES, INC.:</w:t>
      </w:r>
    </w:p>
    <w:p>
      <w:pPr>
        <w:spacing w:after="0" w:line="200" w:lineRule="exact"/>
        <w:rPr>
          <w:sz w:val="20"/>
          <w:szCs w:val="20"/>
          <w:color w:val="auto"/>
        </w:rPr>
      </w:pPr>
    </w:p>
    <w:p>
      <w:pPr>
        <w:spacing w:after="0" w:line="259" w:lineRule="exact"/>
        <w:rPr>
          <w:sz w:val="20"/>
          <w:szCs w:val="20"/>
          <w:color w:val="auto"/>
        </w:rPr>
      </w:pPr>
    </w:p>
    <w:p>
      <w:pPr>
        <w:ind w:left="804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ind w:left="804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Primary Work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24771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Q4</w:t>
      </w:r>
      <w:r>
        <w:rPr>
          <w:rFonts w:ascii="Arial" w:cs="Arial" w:eastAsia="Arial" w:hAnsi="Arial"/>
          <w:sz w:val="18"/>
          <w:szCs w:val="18"/>
          <w:b w:val="1"/>
          <w:bCs w:val="1"/>
          <w:i w:val="1"/>
          <w:iCs w:val="1"/>
          <w:color w:val="auto"/>
        </w:rPr>
        <w:t>’2</w:t>
      </w:r>
      <w:r>
        <w:rPr>
          <w:rFonts w:ascii="Arial" w:cs="Arial" w:eastAsia="Arial" w:hAnsi="Arial"/>
          <w:sz w:val="18"/>
          <w:szCs w:val="18"/>
          <w:b w:val="1"/>
          <w:bCs w:val="1"/>
          <w:color w:val="auto"/>
        </w:rPr>
        <w:t>1 Earnings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Everspin Reports Unaudited Fourth Quarter and Full Year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Reports its Best Year in Company History – Profitable Year End Results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Chandler, AZ, March 2, 2022 </w:t>
      </w:r>
      <w:r>
        <w:rPr>
          <w:rFonts w:ascii="Arial" w:cs="Arial" w:eastAsia="Arial" w:hAnsi="Arial"/>
          <w:sz w:val="18"/>
          <w:szCs w:val="18"/>
          <w:color w:val="auto"/>
        </w:rPr>
        <w:t>— Everspin Technologies, Inc. (NASDAQ: MRAM), the market leader in MRAM, today announced preliminary unaudited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fourth quarter and full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2021 Highlights</w:t>
      </w:r>
    </w:p>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2021 full year revenue increased $13.1 million, or 31%, to $55.1 million from $42.0 million in the prior year.</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Q4’21 revenue increased $3.4 million, or 23%, to $18.2 million from $14.8 million in the prior quarter. This is an increase of $8.2 million, or 82%, compared to $10.0 million of revenue in Q4’20.</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reported record net income of $3.7 million for Q4’21, resulting in net income for 2021 of $4.3 million. This is compared to a net loss reported of $1.6 million for Q4’20, with a prior year net loss of $8.5 million.</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for 2021 improved to $9.6 million, compared to negative $1.6 million for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Basic EPS for 2021 was $0.22 compared to a net loss per share of $0.45 in 2020</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Ended Q4’21 with cash and equivalents of $21.4 million, which is an increase from $14.6 million reported for both the end of the prior quarter and the end of the prior year.</w:t>
      </w:r>
    </w:p>
    <w:p>
      <w:pPr>
        <w:ind w:left="34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generated cash flows from operating activities of $9.4 million for 2021 compared to cash flows used in operating activities of $2.9 million in 2020.</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“Q4’s record revenue and profitability was a result of our team’s relentless focus on monetizing our IP and growing our products. I am very proud of our team execution in tough market conditions through 2021,” stated Darin Billerbeck, Everspin’s Executive Chairman and 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Fourth Quarter 2021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fourth quarter of 2021 was $18.2 million, an increase of 23% from the $14.8 million reported in the third quarter of 2021. This is an increase of 82% compared to $10.0 million of revenue in the fourth quarter of 2020.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MRAM product sales in the fourth quarter of 2021, which includes both Toggle and STT-MRAM revenue, was $12.6 million compared to $12.0 million in the third quarter of 2021 and $9.7 million in the fourth quarter of 2020. In the third quarter of 2021, the company entered into an intellectual property (“IP”) monetization deal with a total contract value of $5.25 million. $3.95 million in revenue from this IP monetization deal was recognized in the fourth quarter of 2021 and $1.30 million in revenue was recognized in the third quarter of 2021. Licensing, Royalties, Patents and Other revenue in the fourth quarter of 2021 was $5.6 million compared to $2.8 million in the third quarter of 2021 and $0.3 million in the fourth quarter of 2020. The increase in total revenue is due to strong Toggle sales, revenue recognition from a U.S. Government RAD-Hard program entered into earlier this year and the IP monetization deal noted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the fourth quarter of 2021 was 62.8%, compared to 57.1% in the prior quarter and 52.3% in the fourth quarter of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operating expenses increased to $7.7 million in the fourth quarter of 2021, compared to $7.4 million in the third quarter of 2021 and $6.4 million in the fourth quarter of 2020. GAAP operating expenses in the fourth quarter of 2021 included $753k of stock-based compensation, compared to $1.03 million in the prior quarter and $1.3 million in the fourth quarter of 2020.</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GAAP net income for the fourth quarter of 2021 was $3.7 million, or $0.19 per share, based on 19.4 million weighted-average basic common shares outstanding. This compares to a net income of $880k, or $0.05 per basic share, in the third quarter of 2021 and a net loss of $1.6 million, or ($0.08) per basic share,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Cash and cash equivalents as of December 31, 2021 were $21.4 million, compared to $14.6 million as of the end of both the prior quarter and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first quarter 2022, Everspin expects total revenue in a range of $13.4 million to $14.2 million. Everspin expects industry supply constraints to limit supply and push some unfulfilled customer demand to Q2’22. Everspin expects GAAP net income (loss) per basic share to be between ($0.03) and breakeven, primarily driven by expenses related to next generation 28nm STT MRAM product development and price increases from our suppliers.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and the other risk factors described in Everspin's filings with the Securities and Exchange Commission (the "SEC"), including its Annual Report on Form 10-K for the fiscal year ended December 31, 2020, its Quarterly Reports on Form 10-Q filed with the SEC during 2021, as well as in its subsequent filings with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supplement the reporting of our financial information determined under generally accepted accounting principles in the United States of America (GAAP) with Adjusted EBITDA, which is a non-GAAP financial measure. We define Adjusted EBITDA as net income (loss) adjusted for interest expense, taxes, depreciation and amortization, stock- based compensation expense, and restructuring costs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Moreover, other companies may define non-GAAP measures differently, which limits the usefulness of these measures for comparisons with such other companies. We encourage investors to review our financial statements and publicly- filed reports in their entirety and not to rely on any single financial measure.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Everspin will host a conference call for analysts and investors on Wednesday, March 2 at 5:00 p.m. Eastern Time. Interested participants can access the call by dialing </w:t>
      </w:r>
      <w:r>
        <w:rPr>
          <w:rFonts w:ascii="Arial" w:cs="Arial" w:eastAsia="Arial" w:hAnsi="Arial"/>
          <w:sz w:val="16"/>
          <w:szCs w:val="16"/>
          <w:b w:val="1"/>
          <w:bCs w:val="1"/>
          <w:color w:val="auto"/>
        </w:rPr>
        <w:t>1-844-889-7788</w:t>
      </w:r>
      <w:r>
        <w:rPr>
          <w:rFonts w:ascii="Arial" w:cs="Arial" w:eastAsia="Arial" w:hAnsi="Arial"/>
          <w:sz w:val="16"/>
          <w:szCs w:val="16"/>
          <w:color w:val="auto"/>
        </w:rPr>
        <w:t xml:space="preserve"> and providing passcode 2075705. International callers may join the call by dialing </w:t>
      </w:r>
      <w:r>
        <w:rPr>
          <w:rFonts w:ascii="Arial" w:cs="Arial" w:eastAsia="Arial" w:hAnsi="Arial"/>
          <w:sz w:val="16"/>
          <w:szCs w:val="16"/>
          <w:b w:val="1"/>
          <w:bCs w:val="1"/>
          <w:color w:val="auto"/>
        </w:rPr>
        <w:t>+1-404-537-3406</w:t>
      </w:r>
      <w:r>
        <w:rPr>
          <w:rFonts w:ascii="Arial" w:cs="Arial" w:eastAsia="Arial" w:hAnsi="Arial"/>
          <w:sz w:val="16"/>
          <w:szCs w:val="16"/>
          <w:color w:val="auto"/>
        </w:rPr>
        <w:t xml:space="preserve">, using the same code. The call will also be available as a live and archived webcast in the Investor Relations section of the company’s website at </w:t>
      </w:r>
      <w:r>
        <w:rPr>
          <w:rFonts w:ascii="Arial" w:cs="Arial" w:eastAsia="Arial" w:hAnsi="Arial"/>
          <w:sz w:val="16"/>
          <w:szCs w:val="16"/>
          <w:u w:val="single" w:color="auto"/>
          <w:color w:val="auto"/>
        </w:rPr>
        <w:t>investor.everspin.com</w:t>
      </w:r>
      <w:r>
        <w:rPr>
          <w:rFonts w:ascii="Arial" w:cs="Arial" w:eastAsia="Arial" w:hAnsi="Arial"/>
          <w:sz w:val="16"/>
          <w:szCs w:val="16"/>
          <w:color w:val="auto"/>
        </w:rPr>
        <w:t>.</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telephone replay of the conference call will be available approximately two hours after the call through March 16, 2022. The replay can be accessed by dialing 1-855-859-2056 and using the passcode 2075705. International callers should dial +1-404-537-3406 and enter the same passcode at the prompt.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Everspin Technologies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 w:cs="Arial" w:eastAsia="Arial" w:hAnsi="Arial"/>
          <w:sz w:val="18"/>
          <w:szCs w:val="18"/>
          <w:u w:val="single" w:color="auto"/>
          <w:color w:val="auto"/>
        </w:rPr>
        <w:t>www.everspin.com</w:t>
      </w:r>
      <w:r>
        <w:rPr>
          <w:rFonts w:ascii="Arial" w:cs="Arial" w:eastAsia="Arial" w:hAnsi="Arial"/>
          <w:sz w:val="18"/>
          <w:szCs w:val="18"/>
          <w:color w:val="auto"/>
        </w:rPr>
        <w:t>. NASDAQ: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including the outlook and guidance for first quarter 2022 results; our expectations regarding supply constraints, expenses relating to 28nm STT MRAM product development and price increases from our supplies;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2020 filed with the SEC on March 4, 2021, its Quarterly Reports on Form 10-Q filed with the SEC during 2021,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Anuj Aggarwal,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480-347-1082</w:t>
      </w:r>
    </w:p>
    <w:p>
      <w:pPr>
        <w:spacing w:after="0" w:line="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anuj.aggarwal@everspin.com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14,599</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7,607</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r>
      <w:tr>
        <w:trPr>
          <w:trHeight w:val="230"/>
        </w:trPr>
        <w:tc>
          <w:tcPr>
            <w:tcW w:w="82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8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1,776</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9"/>
        </w:trPr>
        <w:tc>
          <w:tcPr>
            <w:tcW w:w="820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200" w:type="dxa"/>
            <w:vAlign w:val="bottom"/>
          </w:tcPr>
          <w:p>
            <w:pPr>
              <w:ind w:left="120"/>
              <w:spacing w:after="0" w:line="201" w:lineRule="exact"/>
              <w:rPr>
                <w:sz w:val="20"/>
                <w:szCs w:val="20"/>
                <w:color w:val="auto"/>
              </w:rPr>
            </w:pPr>
            <w:r>
              <w:rPr>
                <w:rFonts w:ascii="Arial" w:cs="Arial" w:eastAsia="Arial" w:hAnsi="Arial"/>
                <w:sz w:val="18"/>
                <w:szCs w:val="18"/>
                <w:color w:val="auto"/>
                <w:w w:val="89"/>
              </w:rPr>
              <w:t>Preferred stock, $0.0001 par value per share; 5,000,000 shares authorized; no shares issued and outstanding as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00" w:type="dxa"/>
            <w:vAlign w:val="bottom"/>
          </w:tcPr>
          <w:p>
            <w:pPr>
              <w:ind w:left="120"/>
              <w:spacing w:after="0"/>
              <w:rPr>
                <w:sz w:val="20"/>
                <w:szCs w:val="20"/>
                <w:color w:val="auto"/>
              </w:rPr>
            </w:pPr>
            <w:r>
              <w:rPr>
                <w:rFonts w:ascii="Arial" w:cs="Arial" w:eastAsia="Arial" w:hAnsi="Arial"/>
                <w:sz w:val="18"/>
                <w:szCs w:val="18"/>
                <w:color w:val="auto"/>
              </w:rPr>
              <w:t>of December 31, 2021 and 2020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Common stock, $0.0001 par value per share; 100,000,000 shares authorized; 19,858,199 and 19,031,556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as of December 31, 2021 and 2020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174,584</w:t>
            </w:r>
          </w:p>
        </w:tc>
      </w:tr>
      <w:tr>
        <w:trPr>
          <w:trHeight w:val="230"/>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(157,174)</w:t>
            </w:r>
          </w:p>
        </w:tc>
      </w:tr>
      <w:tr>
        <w:trPr>
          <w:trHeight w:val="210"/>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Borders>
              <w:bottom w:val="single" w:sz="8" w:color="CCEEFF"/>
            </w:tcBorders>
          </w:tcPr>
          <w:p>
            <w:pPr>
              <w:spacing w:after="0"/>
              <w:rPr>
                <w:sz w:val="18"/>
                <w:szCs w:val="18"/>
                <w:color w:val="auto"/>
              </w:rPr>
            </w:pPr>
          </w:p>
        </w:tc>
      </w:tr>
      <w:tr>
        <w:trPr>
          <w:trHeight w:val="223"/>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Licensing, royalty, patent, and other revenue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Cost of product sales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21,045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23,746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licensing, royalty, patent, and other revenue</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60" w:type="dxa"/>
            <w:vAlign w:val="bottom"/>
          </w:tcPr>
          <w:p>
            <w:pPr>
              <w:spacing w:after="0" w:line="25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16"/>
        </w:trPr>
        <w:tc>
          <w:tcPr>
            <w:tcW w:w="73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10,949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and comprehensive income (loss)</w:t>
            </w:r>
          </w:p>
        </w:tc>
        <w:tc>
          <w:tcPr>
            <w:tcW w:w="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common share:</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360" w:type="dxa"/>
            <w:vAlign w:val="bottom"/>
          </w:tcPr>
          <w:p>
            <w:pPr>
              <w:ind w:left="12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7"/>
        </w:trPr>
        <w:tc>
          <w:tcPr>
            <w:tcW w:w="7360" w:type="dxa"/>
            <w:vAlign w:val="bottom"/>
            <w:tcBorders>
              <w:top w:val="single" w:sz="8" w:color="CCEEFF"/>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to compute net income (loss) per common share:</w:t>
            </w: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19,400,124</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18,782,287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19,972,145</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18,782,287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60" w:type="dxa"/>
            <w:vAlign w:val="bottom"/>
          </w:tcPr>
          <w:p>
            <w:pPr>
              <w:spacing w:after="0" w:line="256"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Operating expenses include stock-based compensation as follows:</w:t>
            </w: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1,280</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73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4,343</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warrant revaluation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Payments of debt issuance costs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w w:val="98"/>
              </w:rPr>
              <w:t>Proceeds from exercise of stock options and purchase of shares in employee stock purchase plan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14,599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cash flows paid for operating leases</w:t>
            </w:r>
          </w:p>
        </w:tc>
        <w:tc>
          <w:tcPr>
            <w:tcW w:w="6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1,603</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Financing cash flows paid for finance leases</w:t>
            </w: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Increase of right-of-use asset and lease liability due to lease modification</w:t>
            </w:r>
          </w:p>
        </w:tc>
        <w:tc>
          <w:tcPr>
            <w:tcW w:w="9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6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Bonus settled in shares of common stock</w:t>
            </w: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Issuance of warrant with debt</w:t>
            </w:r>
          </w:p>
        </w:tc>
        <w:tc>
          <w:tcPr>
            <w:tcW w:w="6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reconciliation: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jc w:val="right"/>
        <w:ind w:right="2020"/>
        <w:spacing w:after="0"/>
        <w:rPr>
          <w:sz w:val="20"/>
          <w:szCs w:val="20"/>
          <w:color w:val="auto"/>
        </w:rPr>
      </w:pPr>
      <w:r>
        <w:rPr>
          <w:rFonts w:ascii="Arial" w:cs="Arial" w:eastAsia="Arial" w:hAnsi="Arial"/>
          <w:sz w:val="16"/>
          <w:szCs w:val="16"/>
          <w:color w:val="auto"/>
        </w:rPr>
        <w:t>Income tax expense</w:t>
      </w:r>
    </w:p>
    <w:p>
      <w:pPr>
        <w:spacing w:after="0" w:line="32"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Adjusted EBITDA Reconciliation</w:t>
      </w:r>
    </w:p>
    <w:p>
      <w:pPr>
        <w:spacing w:after="0" w:line="9"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1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4,343</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(8,512)</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3,968</w:t>
            </w:r>
          </w:p>
        </w:tc>
        <w:tc>
          <w:tcPr>
            <w:tcW w:w="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665</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260</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-1019810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-736600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-462280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-179070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428625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60" w:space="720"/>
            <w:col w:w="7020"/>
          </w:cols>
          <w:pgMar w:left="320" w:top="904"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Everspin Announces Appointment of New President and CEO</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Chandler, AZ, March 2, 2022 </w:t>
      </w:r>
      <w:r>
        <w:rPr>
          <w:rFonts w:ascii="Arial" w:cs="Arial" w:eastAsia="Arial" w:hAnsi="Arial"/>
          <w:sz w:val="18"/>
          <w:szCs w:val="18"/>
          <w:color w:val="auto"/>
        </w:rPr>
        <w:t>— Everspin Technologies, Inc. (NASDAQ: MRAM), the market leader in MRAM, today announced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Sanjeev Aggarwal as Everspin’s President and Chief Executive Officer (CEO), effective March 14, 2022. Effective on such date, Darin Billerbeck, Everspin’s Executive Chairman of the Board and Interim CEO will resign as Interim CEO and will continue to serve as Executive Chairman of the Board. Mr. Aggarwal is also being elected as a member of Everspin’s board of directors, effective March 14,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excited by the appointment of Sanjeev to continue to drive our strategy to expand our product footprint, grow our IP revenue, and generate positive cash from operations. Sanjeev has been with the company since 2008 and held various leadership positions, including most recently as our Chief Technology Officer (CTO). Sanjeev’s primary focus will be on the execution of the company’s annual operating plan, while we partner on longer term strategic initiatives,” stated Mr. Billerbeck.</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Aggarwal brings over 25 years of expertise in the non-volatile memory and semiconductor industry. He has contributed significantly in shaping Everspin since its inception in 2008 in various leadership positions. Mr. Aggarwal currently serves as Everspin’s CTO and Vice President, Operations &amp; Technology R&amp;D managing manufacturing operations and supply chain, driving technology development and business agreements with partners, vendors and suppliers. Prior to that, he was Everspin’s Vice President, Manufacturing and Process Development. Mr. Aggarwal has a Ph.D. in Materials Science and Engineering from Cornell University and has authored over 100 issued patents and over 100 peer reviewed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About Everspin Technologies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 w:cs="Arial" w:eastAsia="Arial" w:hAnsi="Arial"/>
          <w:sz w:val="18"/>
          <w:szCs w:val="18"/>
          <w:u w:val="single" w:color="auto"/>
          <w:color w:val="auto"/>
        </w:rPr>
        <w:t>www.everspin.com</w:t>
      </w:r>
      <w:r>
        <w:rPr>
          <w:rFonts w:ascii="Arial" w:cs="Arial" w:eastAsia="Arial" w:hAnsi="Arial"/>
          <w:sz w:val="18"/>
          <w:szCs w:val="18"/>
          <w:color w:val="auto"/>
        </w:rPr>
        <w:t>. NASDAQ: MRAM.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regarding future results that involve risks and uncertainties that could cause actual results or events to differ materially from the expectations expressed or implied in the forward-looking statements.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2020 filed with the U.S. Securities and Exchange Commission (SEC) on March 4, 2021, its Quarterly Reports on Form 10-Q filed with the SEC during 2021, as well as in its subsequent filings with the SEC. Any forward- 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Anuj Aggarwal,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480-347-1082</w:t>
      </w:r>
    </w:p>
    <w:p>
      <w:pPr>
        <w:spacing w:after="0" w:line="9"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anuj.aggarwal@everspin.com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4"/>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upperLetter"/>
      <w:start w:val="5"/>
    </w:lvl>
  </w:abstractNum>
  <w:abstractNum w:abstractNumId="16">
    <w:nsid w:val="25E45D32"/>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18" Type="http://schemas.openxmlformats.org/officeDocument/2006/relationships/hyperlink" Target="https://www.sec.gov/Archives/edgar/data/1438423/000110465921047003/tm2111306-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2022-03-02T15:59:47Z</dcterms:created>
  <dcterms:modified xsi:type="dcterms:W3CDTF">2022-03-02T15:59:47Z</dcterms:modified>
</cp:coreProperties>
</file>