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771525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797560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 w:lineRule="exact"/>
        <w:rPr>
          <w:sz w:val="24"/>
          <w:szCs w:val="24"/>
          <w:color w:val="auto"/>
        </w:rPr>
      </w:pPr>
    </w:p>
    <w:p>
      <w:pPr>
        <w:ind w:left="25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w:t>
      </w:r>
    </w:p>
    <w:p>
      <w:pPr>
        <w:spacing w:after="0" w:line="1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54" w:lineRule="exact"/>
        <w:rPr>
          <w:sz w:val="24"/>
          <w:szCs w:val="24"/>
          <w:color w:val="auto"/>
        </w:rPr>
      </w:pPr>
    </w:p>
    <w:p>
      <w:pPr>
        <w:ind w:left="25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w:t>
      </w: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43" w:lineRule="exact"/>
        <w:rPr>
          <w:sz w:val="24"/>
          <w:szCs w:val="24"/>
          <w:color w:val="auto"/>
        </w:rPr>
      </w:pPr>
    </w:p>
    <w:p>
      <w:pPr>
        <w:ind w:left="580" w:right="140" w:hanging="554"/>
        <w:spacing w:after="0" w:line="275" w:lineRule="auto"/>
        <w:tabs>
          <w:tab w:leader="none" w:pos="580" w:val="left"/>
        </w:tabs>
        <w:numPr>
          <w:ilvl w:val="0"/>
          <w:numId w:val="1"/>
        </w:numPr>
        <w:rPr>
          <w:rFonts w:ascii="Wingdings" w:cs="Wingdings" w:eastAsia="Wingdings" w:hAnsi="Wingdings"/>
          <w:sz w:val="22"/>
          <w:szCs w:val="22"/>
          <w:b w:val="1"/>
          <w:bCs w:val="1"/>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2026</w:t>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75" w:lineRule="exact"/>
        <w:rPr>
          <w:sz w:val="24"/>
          <w:szCs w:val="24"/>
          <w:color w:val="auto"/>
        </w:rPr>
      </w:pPr>
    </w:p>
    <w:p>
      <w:pPr>
        <w:ind w:left="580" w:right="140" w:hanging="554"/>
        <w:spacing w:after="0" w:line="275" w:lineRule="auto"/>
        <w:tabs>
          <w:tab w:leader="none" w:pos="580" w:val="left"/>
        </w:tabs>
        <w:numPr>
          <w:ilvl w:val="0"/>
          <w:numId w:val="2"/>
        </w:numPr>
        <w:rPr>
          <w:rFonts w:ascii="Wingdings" w:cs="Wingdings" w:eastAsia="Wingdings" w:hAnsi="Wingdings"/>
          <w:sz w:val="22"/>
          <w:szCs w:val="22"/>
          <w:b w:val="1"/>
          <w:bCs w:val="1"/>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transition period from to</w:t>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001-37900</w:t>
      </w:r>
    </w:p>
    <w:p>
      <w:pPr>
        <w:spacing w:after="0" w:line="31" w:lineRule="exact"/>
        <w:rPr>
          <w:sz w:val="24"/>
          <w:szCs w:val="24"/>
          <w:color w:val="auto"/>
        </w:rPr>
      </w:pPr>
    </w:p>
    <w:p>
      <w:pPr>
        <w:ind w:left="25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Everspin Technologies, Inc.</w:t>
      </w:r>
    </w:p>
    <w:p>
      <w:pPr>
        <w:spacing w:after="0" w:line="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25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w:t>
      </w:r>
    </w:p>
    <w:p>
      <w:pPr>
        <w:spacing w:after="0" w:line="24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60" w:type="dxa"/>
            <w:vAlign w:val="bottom"/>
          </w:tcPr>
          <w:p>
            <w:pPr>
              <w:spacing w:after="0"/>
              <w:rPr>
                <w:sz w:val="20"/>
                <w:szCs w:val="20"/>
                <w:color w:val="auto"/>
              </w:rPr>
            </w:pPr>
          </w:p>
        </w:tc>
        <w:tc>
          <w:tcPr>
            <w:tcW w:w="7440" w:type="dxa"/>
            <w:vAlign w:val="bottom"/>
            <w:gridSpan w:val="3"/>
          </w:tcPr>
          <w:p>
            <w:pPr>
              <w:jc w:val="center"/>
              <w:ind w:right="18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740" w:type="dxa"/>
            <w:vAlign w:val="bottom"/>
          </w:tcPr>
          <w:p>
            <w:pPr>
              <w:jc w:val="center"/>
              <w:ind w:right="1790"/>
              <w:spacing w:after="0"/>
              <w:rPr>
                <w:sz w:val="20"/>
                <w:szCs w:val="20"/>
                <w:color w:val="auto"/>
              </w:rPr>
            </w:pPr>
            <w:r>
              <w:rPr>
                <w:rFonts w:ascii="Times New Roman" w:cs="Times New Roman" w:eastAsia="Times New Roman" w:hAnsi="Times New Roman"/>
                <w:sz w:val="18"/>
                <w:szCs w:val="18"/>
                <w:b w:val="1"/>
                <w:bCs w:val="1"/>
                <w:color w:val="auto"/>
                <w:w w:val="98"/>
              </w:rPr>
              <w:t>26-2640654</w:t>
            </w:r>
          </w:p>
        </w:tc>
      </w:tr>
      <w:tr>
        <w:trPr>
          <w:trHeight w:val="248"/>
        </w:trPr>
        <w:tc>
          <w:tcPr>
            <w:tcW w:w="60" w:type="dxa"/>
            <w:vAlign w:val="bottom"/>
          </w:tcPr>
          <w:p>
            <w:pPr>
              <w:spacing w:after="0"/>
              <w:rPr>
                <w:sz w:val="21"/>
                <w:szCs w:val="21"/>
                <w:color w:val="auto"/>
              </w:rPr>
            </w:pPr>
          </w:p>
        </w:tc>
        <w:tc>
          <w:tcPr>
            <w:tcW w:w="7440" w:type="dxa"/>
            <w:vAlign w:val="bottom"/>
            <w:gridSpan w:val="3"/>
          </w:tcPr>
          <w:p>
            <w:pPr>
              <w:jc w:val="center"/>
              <w:ind w:right="185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3740" w:type="dxa"/>
            <w:vAlign w:val="bottom"/>
          </w:tcPr>
          <w:p>
            <w:pPr>
              <w:jc w:val="center"/>
              <w:ind w:right="179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60" w:type="dxa"/>
            <w:vAlign w:val="bottom"/>
          </w:tcPr>
          <w:p>
            <w:pPr>
              <w:spacing w:after="0"/>
              <w:rPr>
                <w:sz w:val="20"/>
                <w:szCs w:val="20"/>
                <w:color w:val="auto"/>
              </w:rPr>
            </w:pPr>
          </w:p>
        </w:tc>
        <w:tc>
          <w:tcPr>
            <w:tcW w:w="7440" w:type="dxa"/>
            <w:vAlign w:val="bottom"/>
            <w:gridSpan w:val="3"/>
          </w:tcPr>
          <w:p>
            <w:pPr>
              <w:jc w:val="center"/>
              <w:ind w:right="1850"/>
              <w:spacing w:after="0"/>
              <w:rPr>
                <w:sz w:val="20"/>
                <w:szCs w:val="20"/>
                <w:color w:val="auto"/>
              </w:rPr>
            </w:pPr>
            <w:r>
              <w:rPr>
                <w:rFonts w:ascii="Times New Roman" w:cs="Times New Roman" w:eastAsia="Times New Roman" w:hAnsi="Times New Roman"/>
                <w:sz w:val="18"/>
                <w:szCs w:val="18"/>
                <w:b w:val="1"/>
                <w:bCs w:val="1"/>
                <w:color w:val="auto"/>
                <w:w w:val="99"/>
              </w:rPr>
              <w:t>of incorporation or organization)</w:t>
            </w:r>
          </w:p>
        </w:tc>
        <w:tc>
          <w:tcPr>
            <w:tcW w:w="3740" w:type="dxa"/>
            <w:vAlign w:val="bottom"/>
          </w:tcPr>
          <w:p>
            <w:pPr>
              <w:jc w:val="center"/>
              <w:ind w:right="179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491"/>
        </w:trPr>
        <w:tc>
          <w:tcPr>
            <w:tcW w:w="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5670 W. Chandler Boulevard, Suite 130</w:t>
            </w:r>
          </w:p>
        </w:tc>
        <w:tc>
          <w:tcPr>
            <w:tcW w:w="3740" w:type="dxa"/>
            <w:vAlign w:val="bottom"/>
          </w:tcPr>
          <w:p>
            <w:pPr>
              <w:spacing w:after="0"/>
              <w:rPr>
                <w:sz w:val="24"/>
                <w:szCs w:val="24"/>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Chandler, Arizona 85226</w:t>
            </w:r>
          </w:p>
        </w:tc>
        <w:tc>
          <w:tcPr>
            <w:tcW w:w="3740" w:type="dxa"/>
            <w:vAlign w:val="bottom"/>
          </w:tcPr>
          <w:p>
            <w:pPr>
              <w:spacing w:after="0"/>
              <w:rPr>
                <w:sz w:val="18"/>
                <w:szCs w:val="18"/>
                <w:color w:val="auto"/>
              </w:rPr>
            </w:pPr>
          </w:p>
        </w:tc>
      </w:tr>
      <w:tr>
        <w:trPr>
          <w:trHeight w:val="238"/>
        </w:trPr>
        <w:tc>
          <w:tcPr>
            <w:tcW w:w="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8380" w:type="dxa"/>
            <w:vAlign w:val="bottom"/>
            <w:gridSpan w:val="3"/>
          </w:tcPr>
          <w:p>
            <w:pPr>
              <w:jc w:val="center"/>
              <w:ind w:right="277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including zip code)</w:t>
            </w:r>
          </w:p>
        </w:tc>
      </w:tr>
      <w:tr>
        <w:trPr>
          <w:trHeight w:val="306"/>
        </w:trPr>
        <w:tc>
          <w:tcPr>
            <w:tcW w:w="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8380" w:type="dxa"/>
            <w:vAlign w:val="bottom"/>
            <w:gridSpan w:val="3"/>
          </w:tcPr>
          <w:p>
            <w:pPr>
              <w:jc w:val="center"/>
              <w:ind w:right="2750"/>
              <w:spacing w:after="0"/>
              <w:rPr>
                <w:sz w:val="20"/>
                <w:szCs w:val="20"/>
                <w:color w:val="auto"/>
              </w:rPr>
            </w:pPr>
            <w:r>
              <w:rPr>
                <w:rFonts w:ascii="Times New Roman" w:cs="Times New Roman" w:eastAsia="Times New Roman" w:hAnsi="Times New Roman"/>
                <w:sz w:val="18"/>
                <w:szCs w:val="18"/>
                <w:b w:val="1"/>
                <w:bCs w:val="1"/>
                <w:color w:val="auto"/>
                <w:w w:val="98"/>
              </w:rPr>
              <w:t>Registrant’s telephone number, including area code: (480) 347-1111</w:t>
            </w:r>
          </w:p>
        </w:tc>
      </w:tr>
      <w:tr>
        <w:trPr>
          <w:trHeight w:val="234"/>
        </w:trPr>
        <w:tc>
          <w:tcPr>
            <w:tcW w:w="1124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auto"/>
                <w:w w:val="99"/>
              </w:rPr>
              <w:t>____________________________________________________________________</w:t>
            </w:r>
          </w:p>
        </w:tc>
      </w:tr>
      <w:tr>
        <w:trPr>
          <w:trHeight w:val="257"/>
        </w:trPr>
        <w:tc>
          <w:tcPr>
            <w:tcW w:w="7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3740" w:type="dxa"/>
            <w:vAlign w:val="bottom"/>
          </w:tcPr>
          <w:p>
            <w:pPr>
              <w:spacing w:after="0"/>
              <w:rPr>
                <w:sz w:val="22"/>
                <w:szCs w:val="22"/>
                <w:color w:val="auto"/>
              </w:rPr>
            </w:pPr>
          </w:p>
        </w:tc>
      </w:tr>
      <w:tr>
        <w:trPr>
          <w:trHeight w:val="27"/>
        </w:trPr>
        <w:tc>
          <w:tcPr>
            <w:tcW w:w="60" w:type="dxa"/>
            <w:vAlign w:val="bottom"/>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r>
      <w:tr>
        <w:trPr>
          <w:trHeight w:val="243"/>
        </w:trPr>
        <w:tc>
          <w:tcPr>
            <w:tcW w:w="60" w:type="dxa"/>
            <w:vAlign w:val="bottom"/>
            <w:tcBorders>
              <w:right w:val="single" w:sz="8" w:color="auto"/>
            </w:tcBorders>
          </w:tcPr>
          <w:p>
            <w:pPr>
              <w:spacing w:after="0"/>
              <w:rPr>
                <w:sz w:val="21"/>
                <w:szCs w:val="21"/>
                <w:color w:val="auto"/>
              </w:rPr>
            </w:pPr>
          </w:p>
        </w:tc>
        <w:tc>
          <w:tcPr>
            <w:tcW w:w="28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920" w:type="dxa"/>
            <w:vAlign w:val="bottom"/>
            <w:tcBorders>
              <w:bottom w:val="single" w:sz="8" w:color="auto"/>
              <w:right w:val="single" w:sz="8" w:color="auto"/>
            </w:tcBorders>
          </w:tcPr>
          <w:p>
            <w:pPr>
              <w:spacing w:after="0"/>
              <w:rPr>
                <w:sz w:val="21"/>
                <w:szCs w:val="21"/>
                <w:color w:val="auto"/>
              </w:rPr>
            </w:pPr>
          </w:p>
        </w:tc>
        <w:tc>
          <w:tcPr>
            <w:tcW w:w="37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Trading Symbol(s)</w:t>
            </w:r>
          </w:p>
        </w:tc>
        <w:tc>
          <w:tcPr>
            <w:tcW w:w="37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50"/>
        </w:trPr>
        <w:tc>
          <w:tcPr>
            <w:tcW w:w="60" w:type="dxa"/>
            <w:vAlign w:val="bottom"/>
            <w:tcBorders>
              <w:right w:val="single" w:sz="8" w:color="auto"/>
            </w:tcBorders>
          </w:tcPr>
          <w:p>
            <w:pPr>
              <w:spacing w:after="0"/>
              <w:rPr>
                <w:sz w:val="21"/>
                <w:szCs w:val="21"/>
                <w:color w:val="auto"/>
              </w:rPr>
            </w:pPr>
          </w:p>
        </w:tc>
        <w:tc>
          <w:tcPr>
            <w:tcW w:w="28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Common Stock, par value $0.0001</w:t>
            </w:r>
          </w:p>
        </w:tc>
        <w:tc>
          <w:tcPr>
            <w:tcW w:w="920" w:type="dxa"/>
            <w:vAlign w:val="bottom"/>
            <w:tcBorders>
              <w:bottom w:val="single" w:sz="8" w:color="auto"/>
              <w:right w:val="single" w:sz="8" w:color="auto"/>
            </w:tcBorders>
          </w:tcPr>
          <w:p>
            <w:pPr>
              <w:spacing w:after="0"/>
              <w:rPr>
                <w:sz w:val="21"/>
                <w:szCs w:val="21"/>
                <w:color w:val="auto"/>
              </w:rPr>
            </w:pPr>
          </w:p>
        </w:tc>
        <w:tc>
          <w:tcPr>
            <w:tcW w:w="37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MRAM</w:t>
            </w:r>
          </w:p>
        </w:tc>
        <w:tc>
          <w:tcPr>
            <w:tcW w:w="374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252" w:lineRule="exact"/>
        <w:rPr>
          <w:sz w:val="24"/>
          <w:szCs w:val="24"/>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76" w:lineRule="exact"/>
        <w:rPr>
          <w:sz w:val="24"/>
          <w:szCs w:val="24"/>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o</w:t>
      </w:r>
    </w:p>
    <w:p>
      <w:pPr>
        <w:spacing w:after="0" w:line="176" w:lineRule="exact"/>
        <w:rPr>
          <w:sz w:val="24"/>
          <w:szCs w:val="24"/>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 w:lineRule="exact"/>
        <w:rPr>
          <w:sz w:val="24"/>
          <w:szCs w:val="24"/>
          <w:color w:val="auto"/>
        </w:rPr>
      </w:pPr>
    </w:p>
    <w:tbl>
      <w:tblPr>
        <w:tblLayout w:type="fixed"/>
        <w:tblInd w:w="20" w:type="dxa"/>
        <w:tblCellMar>
          <w:top w:w="0" w:type="dxa"/>
          <w:left w:w="0" w:type="dxa"/>
          <w:bottom w:w="0" w:type="dxa"/>
          <w:right w:w="0" w:type="dxa"/>
        </w:tblCellMar>
      </w:tblPr>
      <w:tr>
        <w:trPr>
          <w:trHeight w:val="234"/>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700" w:type="dxa"/>
            <w:vAlign w:val="bottom"/>
          </w:tcPr>
          <w:p>
            <w:pPr>
              <w:ind w:left="660"/>
              <w:spacing w:after="0"/>
              <w:rPr>
                <w:sz w:val="20"/>
                <w:szCs w:val="20"/>
                <w:color w:val="auto"/>
              </w:rPr>
            </w:pPr>
            <w:r>
              <w:rPr>
                <w:rFonts w:ascii="Wingdings" w:cs="Wingdings" w:eastAsia="Wingdings" w:hAnsi="Wingdings"/>
                <w:sz w:val="18"/>
                <w:szCs w:val="18"/>
                <w:b w:val="1"/>
                <w:bCs w:val="1"/>
                <w:color w:val="auto"/>
              </w:rPr>
              <w:t>o</w:t>
            </w:r>
          </w:p>
        </w:tc>
        <w:tc>
          <w:tcPr>
            <w:tcW w:w="588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Accelerated filer</w:t>
            </w:r>
          </w:p>
        </w:tc>
        <w:tc>
          <w:tcPr>
            <w:tcW w:w="340" w:type="dxa"/>
            <w:vAlign w:val="bottom"/>
          </w:tcPr>
          <w:p>
            <w:pPr>
              <w:jc w:val="right"/>
              <w:spacing w:after="0"/>
              <w:rPr>
                <w:sz w:val="20"/>
                <w:szCs w:val="20"/>
                <w:color w:val="auto"/>
              </w:rPr>
            </w:pPr>
            <w:r>
              <w:rPr>
                <w:rFonts w:ascii="Wingdings" w:cs="Wingdings" w:eastAsia="Wingdings" w:hAnsi="Wingdings"/>
                <w:sz w:val="18"/>
                <w:szCs w:val="18"/>
                <w:b w:val="1"/>
                <w:bCs w:val="1"/>
                <w:color w:val="auto"/>
              </w:rPr>
              <w:t>o</w:t>
            </w:r>
          </w:p>
        </w:tc>
      </w:tr>
      <w:tr>
        <w:trPr>
          <w:trHeight w:val="270"/>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700" w:type="dxa"/>
            <w:vAlign w:val="bottom"/>
          </w:tcPr>
          <w:p>
            <w:pPr>
              <w:ind w:left="660"/>
              <w:spacing w:after="0"/>
              <w:rPr>
                <w:sz w:val="20"/>
                <w:szCs w:val="20"/>
                <w:color w:val="auto"/>
              </w:rPr>
            </w:pPr>
            <w:r>
              <w:rPr>
                <w:rFonts w:ascii="Wingdings" w:cs="Wingdings" w:eastAsia="Wingdings" w:hAnsi="Wingdings"/>
                <w:sz w:val="18"/>
                <w:szCs w:val="18"/>
                <w:b w:val="1"/>
                <w:bCs w:val="1"/>
                <w:color w:val="auto"/>
              </w:rPr>
              <w:t>x</w:t>
            </w:r>
          </w:p>
        </w:tc>
        <w:tc>
          <w:tcPr>
            <w:tcW w:w="588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40" w:type="dxa"/>
            <w:vAlign w:val="bottom"/>
          </w:tcPr>
          <w:p>
            <w:pPr>
              <w:jc w:val="right"/>
              <w:spacing w:after="0"/>
              <w:rPr>
                <w:sz w:val="20"/>
                <w:szCs w:val="20"/>
                <w:color w:val="auto"/>
              </w:rPr>
            </w:pPr>
            <w:r>
              <w:rPr>
                <w:rFonts w:ascii="Wingdings" w:cs="Wingdings" w:eastAsia="Wingdings" w:hAnsi="Wingdings"/>
                <w:sz w:val="18"/>
                <w:szCs w:val="18"/>
                <w:b w:val="1"/>
                <w:bCs w:val="1"/>
                <w:color w:val="auto"/>
              </w:rPr>
              <w:t>x</w:t>
            </w:r>
          </w:p>
        </w:tc>
      </w:tr>
      <w:tr>
        <w:trPr>
          <w:trHeight w:val="270"/>
        </w:trPr>
        <w:tc>
          <w:tcPr>
            <w:tcW w:w="2280" w:type="dxa"/>
            <w:vAlign w:val="bottom"/>
          </w:tcPr>
          <w:p>
            <w:pPr>
              <w:spacing w:after="0"/>
              <w:rPr>
                <w:sz w:val="23"/>
                <w:szCs w:val="23"/>
                <w:color w:val="auto"/>
              </w:rPr>
            </w:pPr>
          </w:p>
        </w:tc>
        <w:tc>
          <w:tcPr>
            <w:tcW w:w="2700" w:type="dxa"/>
            <w:vAlign w:val="bottom"/>
          </w:tcPr>
          <w:p>
            <w:pPr>
              <w:spacing w:after="0"/>
              <w:rPr>
                <w:sz w:val="23"/>
                <w:szCs w:val="23"/>
                <w:color w:val="auto"/>
              </w:rPr>
            </w:pPr>
          </w:p>
        </w:tc>
        <w:tc>
          <w:tcPr>
            <w:tcW w:w="5880" w:type="dxa"/>
            <w:vAlign w:val="bottom"/>
          </w:tcPr>
          <w:p>
            <w:pPr>
              <w:ind w:left="1840"/>
              <w:spacing w:after="0"/>
              <w:rPr>
                <w:sz w:val="20"/>
                <w:szCs w:val="20"/>
                <w:color w:val="auto"/>
              </w:rPr>
            </w:pPr>
            <w:r>
              <w:rPr>
                <w:rFonts w:ascii="Times New Roman" w:cs="Times New Roman" w:eastAsia="Times New Roman" w:hAnsi="Times New Roman"/>
                <w:sz w:val="18"/>
                <w:szCs w:val="18"/>
                <w:color w:val="auto"/>
              </w:rPr>
              <w:t>Emerging growth company</w:t>
            </w:r>
          </w:p>
        </w:tc>
        <w:tc>
          <w:tcPr>
            <w:tcW w:w="340" w:type="dxa"/>
            <w:vAlign w:val="bottom"/>
          </w:tcPr>
          <w:p>
            <w:pPr>
              <w:jc w:val="right"/>
              <w:spacing w:after="0"/>
              <w:rPr>
                <w:sz w:val="20"/>
                <w:szCs w:val="20"/>
                <w:color w:val="auto"/>
              </w:rPr>
            </w:pPr>
            <w:r>
              <w:rPr>
                <w:rFonts w:ascii="Wingdings" w:cs="Wingdings" w:eastAsia="Wingdings" w:hAnsi="Wingdings"/>
                <w:sz w:val="18"/>
                <w:szCs w:val="18"/>
                <w:b w:val="1"/>
                <w:bCs w:val="1"/>
                <w:color w:val="auto"/>
              </w:rPr>
              <w:t>o</w:t>
            </w:r>
          </w:p>
        </w:tc>
      </w:tr>
      <w:tr>
        <w:trPr>
          <w:trHeight w:val="481"/>
        </w:trPr>
        <w:tc>
          <w:tcPr>
            <w:tcW w:w="10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w:t>
            </w:r>
          </w:p>
        </w:tc>
        <w:tc>
          <w:tcPr>
            <w:tcW w:w="340" w:type="dxa"/>
            <w:vAlign w:val="bottom"/>
          </w:tcPr>
          <w:p>
            <w:pPr>
              <w:jc w:val="right"/>
              <w:spacing w:after="0"/>
              <w:rPr>
                <w:sz w:val="20"/>
                <w:szCs w:val="20"/>
                <w:color w:val="auto"/>
              </w:rPr>
            </w:pPr>
            <w:r>
              <w:rPr>
                <w:rFonts w:ascii="Wingdings" w:cs="Wingdings" w:eastAsia="Wingdings" w:hAnsi="Wingdings"/>
                <w:sz w:val="18"/>
                <w:szCs w:val="18"/>
                <w:b w:val="1"/>
                <w:bCs w:val="1"/>
                <w:color w:val="auto"/>
              </w:rPr>
              <w:t>o</w:t>
            </w:r>
          </w:p>
        </w:tc>
      </w:tr>
      <w:tr>
        <w:trPr>
          <w:trHeight w:val="234"/>
        </w:trPr>
        <w:tc>
          <w:tcPr>
            <w:tcW w:w="10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new or revised financial accounting standards provided pursuant to Section 13(a) of the Exchange Act.</w:t>
            </w:r>
          </w:p>
        </w:tc>
        <w:tc>
          <w:tcPr>
            <w:tcW w:w="340" w:type="dxa"/>
            <w:vAlign w:val="bottom"/>
          </w:tcPr>
          <w:p>
            <w:pPr>
              <w:spacing w:after="0"/>
              <w:rPr>
                <w:sz w:val="20"/>
                <w:szCs w:val="20"/>
                <w:color w:val="auto"/>
              </w:rPr>
            </w:pPr>
          </w:p>
        </w:tc>
      </w:tr>
    </w:tbl>
    <w:p>
      <w:pPr>
        <w:spacing w:after="0" w:line="211" w:lineRule="exact"/>
        <w:rPr>
          <w:sz w:val="24"/>
          <w:szCs w:val="24"/>
          <w:color w:val="auto"/>
        </w:rPr>
      </w:pPr>
    </w:p>
    <w:p>
      <w:pPr>
        <w:ind w:right="1960"/>
        <w:spacing w:after="0" w:line="407"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The number of shares of the Registrant’s Common Stock outstanding as of April 23, 2026, was 23,447,577.</w:t>
      </w:r>
    </w:p>
    <w:p>
      <w:pPr>
        <w:sectPr>
          <w:pgSz w:w="11900" w:h="16846" w:orient="portrait"/>
          <w:cols w:equalWidth="0" w:num="1">
            <w:col w:w="11220"/>
          </w:cols>
          <w:pgMar w:left="320" w:top="229" w:right="359" w:bottom="0" w:gutter="0" w:footer="0" w:header="0"/>
        </w:sectPr>
      </w:pPr>
    </w:p>
    <w:bookmarkStart w:id="1" w:name="page2"/>
    <w:bookmarkEnd w:id="1"/>
    <w:p>
      <w:pPr>
        <w:spacing w:after="0" w:line="407"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1045210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269240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77"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37"/>
        </w:trPr>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3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5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16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0000FF"/>
                <w:w w:val="99"/>
              </w:rPr>
              <w:t>PART I—FINANCIAL INFORMATION</w:t>
            </w:r>
          </w:p>
        </w:tc>
        <w:tc>
          <w:tcPr>
            <w:tcW w:w="2880" w:type="dxa"/>
            <w:vAlign w:val="bottom"/>
            <w:gridSpan w:val="6"/>
            <w:vMerge w:val="restart"/>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160" w:type="dxa"/>
            <w:vAlign w:val="bottom"/>
            <w:tcBorders>
              <w:bottom w:val="single" w:sz="8" w:color="0000FF"/>
            </w:tcBorders>
            <w:gridSpan w:val="5"/>
            <w:vMerge w:val="continue"/>
          </w:tcPr>
          <w:p>
            <w:pPr>
              <w:spacing w:after="0"/>
              <w:rPr>
                <w:sz w:val="15"/>
                <w:szCs w:val="15"/>
                <w:color w:val="auto"/>
              </w:rPr>
            </w:pPr>
          </w:p>
        </w:tc>
        <w:tc>
          <w:tcPr>
            <w:tcW w:w="2880" w:type="dxa"/>
            <w:vAlign w:val="bottom"/>
            <w:gridSpan w:val="6"/>
            <w:vMerge w:val="continue"/>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880" w:type="dxa"/>
            <w:vAlign w:val="bottom"/>
            <w:gridSpan w:val="4"/>
          </w:tcPr>
          <w:p>
            <w:pPr>
              <w:spacing w:after="0"/>
              <w:rPr>
                <w:sz w:val="21"/>
                <w:szCs w:val="21"/>
                <w:color w:val="auto"/>
              </w:rPr>
            </w:pPr>
          </w:p>
        </w:tc>
        <w:tc>
          <w:tcPr>
            <w:tcW w:w="9000" w:type="dxa"/>
            <w:vAlign w:val="bottom"/>
            <w:gridSpan w:val="21"/>
          </w:tcPr>
          <w:p>
            <w:pPr>
              <w:ind w:left="80"/>
              <w:spacing w:after="0"/>
              <w:rPr>
                <w:sz w:val="20"/>
                <w:szCs w:val="20"/>
                <w:color w:val="auto"/>
              </w:rPr>
            </w:pPr>
            <w:r>
              <w:rPr>
                <w:rFonts w:ascii="Times New Roman" w:cs="Times New Roman" w:eastAsia="Times New Roman" w:hAnsi="Times New Roman"/>
                <w:sz w:val="18"/>
                <w:szCs w:val="18"/>
                <w:color w:val="0000FF"/>
              </w:rPr>
              <w:t>Financial Statements</w:t>
            </w: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line="20" w:lineRule="exact"/>
              <w:rPr>
                <w:sz w:val="1"/>
                <w:szCs w:val="1"/>
                <w:color w:val="auto"/>
              </w:rPr>
            </w:pPr>
          </w:p>
        </w:tc>
      </w:tr>
      <w:tr>
        <w:trPr>
          <w:trHeight w:val="291"/>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160" w:type="dxa"/>
            <w:vAlign w:val="bottom"/>
            <w:gridSpan w:val="15"/>
            <w:vMerge w:val="restart"/>
          </w:tcPr>
          <w:p>
            <w:pPr>
              <w:spacing w:after="0"/>
              <w:rPr>
                <w:sz w:val="20"/>
                <w:szCs w:val="20"/>
                <w:color w:val="auto"/>
              </w:rPr>
            </w:pPr>
            <w:r>
              <w:rPr>
                <w:rFonts w:ascii="Times New Roman" w:cs="Times New Roman" w:eastAsia="Times New Roman" w:hAnsi="Times New Roman"/>
                <w:sz w:val="18"/>
                <w:szCs w:val="18"/>
                <w:color w:val="0000FF"/>
                <w:w w:val="99"/>
              </w:rPr>
              <w:t>Condensed Balance Sheets as of March 31, 2026 (unaudited) and December 31, 2025</w:t>
            </w:r>
          </w:p>
        </w:tc>
        <w:tc>
          <w:tcPr>
            <w:tcW w:w="2440" w:type="dxa"/>
            <w:vAlign w:val="bottom"/>
            <w:gridSpan w:val="4"/>
            <w:vMerge w:val="restart"/>
          </w:tcPr>
          <w:p>
            <w:pPr>
              <w:spacing w:after="0"/>
              <w:rPr>
                <w:sz w:val="24"/>
                <w:szCs w:val="24"/>
                <w:color w:val="auto"/>
              </w:rPr>
            </w:pPr>
          </w:p>
        </w:tc>
        <w:tc>
          <w:tcPr>
            <w:tcW w:w="8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160" w:type="dxa"/>
            <w:vAlign w:val="bottom"/>
            <w:tcBorders>
              <w:bottom w:val="single" w:sz="8" w:color="0000FF"/>
            </w:tcBorders>
            <w:gridSpan w:val="15"/>
            <w:vMerge w:val="continue"/>
          </w:tcPr>
          <w:p>
            <w:pPr>
              <w:spacing w:after="0"/>
              <w:rPr>
                <w:sz w:val="15"/>
                <w:szCs w:val="15"/>
                <w:color w:val="auto"/>
              </w:rPr>
            </w:pPr>
          </w:p>
        </w:tc>
        <w:tc>
          <w:tcPr>
            <w:tcW w:w="2440" w:type="dxa"/>
            <w:vAlign w:val="bottom"/>
            <w:gridSpan w:val="4"/>
            <w:vMerge w:val="continue"/>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60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Condensed Statements of Operations and Comprehensive Loss for the three months ended March 31, 2026 and 2025</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Borders>
              <w:top w:val="single" w:sz="8" w:color="0000FF"/>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8"/>
              </w:rPr>
              <w:t>(unaudited)</w:t>
            </w:r>
          </w:p>
        </w:tc>
        <w:tc>
          <w:tcPr>
            <w:tcW w:w="7560" w:type="dxa"/>
            <w:vAlign w:val="bottom"/>
            <w:tcBorders>
              <w:top w:val="single" w:sz="8" w:color="0000FF"/>
            </w:tcBorders>
            <w:gridSpan w:val="15"/>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0" w:type="dxa"/>
            <w:vAlign w:val="bottom"/>
            <w:gridSpan w:val="19"/>
            <w:vMerge w:val="restart"/>
          </w:tcPr>
          <w:p>
            <w:pPr>
              <w:spacing w:after="0"/>
              <w:rPr>
                <w:sz w:val="20"/>
                <w:szCs w:val="20"/>
                <w:color w:val="auto"/>
              </w:rPr>
            </w:pPr>
            <w:r>
              <w:rPr>
                <w:rFonts w:ascii="Times New Roman" w:cs="Times New Roman" w:eastAsia="Times New Roman" w:hAnsi="Times New Roman"/>
                <w:sz w:val="18"/>
                <w:szCs w:val="18"/>
                <w:color w:val="0000FF"/>
              </w:rPr>
              <w:t>Condensed Statements of Stockholders’ Equity for the three months ended March 31, 2026 and 2025 (unaudited)</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175"/>
        </w:trPr>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0" w:type="dxa"/>
            <w:vAlign w:val="bottom"/>
            <w:gridSpan w:val="19"/>
            <w:vMerge w:val="continue"/>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140" w:type="dxa"/>
            <w:vAlign w:val="bottom"/>
            <w:tcBorders>
              <w:top w:val="single" w:sz="8" w:color="0000FF"/>
            </w:tcBorders>
            <w:gridSpan w:val="17"/>
            <w:vMerge w:val="restart"/>
          </w:tcPr>
          <w:p>
            <w:pPr>
              <w:spacing w:after="0"/>
              <w:rPr>
                <w:sz w:val="20"/>
                <w:szCs w:val="20"/>
                <w:color w:val="auto"/>
              </w:rPr>
            </w:pPr>
            <w:r>
              <w:rPr>
                <w:rFonts w:ascii="Times New Roman" w:cs="Times New Roman" w:eastAsia="Times New Roman" w:hAnsi="Times New Roman"/>
                <w:sz w:val="18"/>
                <w:szCs w:val="18"/>
                <w:color w:val="0000FF"/>
              </w:rPr>
              <w:t>Condensed Statements of Cash Flows for the three months ended March 31, 2026 and 2025 (unaudited)</w:t>
            </w:r>
          </w:p>
        </w:tc>
        <w:tc>
          <w:tcPr>
            <w:tcW w:w="460" w:type="dxa"/>
            <w:vAlign w:val="bottom"/>
            <w:gridSpan w:val="2"/>
            <w:vMerge w:val="restart"/>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175"/>
        </w:trPr>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140" w:type="dxa"/>
            <w:vAlign w:val="bottom"/>
            <w:gridSpan w:val="17"/>
            <w:vMerge w:val="continue"/>
          </w:tcPr>
          <w:p>
            <w:pPr>
              <w:spacing w:after="0"/>
              <w:rPr>
                <w:sz w:val="15"/>
                <w:szCs w:val="15"/>
                <w:color w:val="auto"/>
              </w:rPr>
            </w:pPr>
          </w:p>
        </w:tc>
        <w:tc>
          <w:tcPr>
            <w:tcW w:w="460" w:type="dxa"/>
            <w:vAlign w:val="bottom"/>
            <w:gridSpan w:val="2"/>
            <w:vMerge w:val="continue"/>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80" w:type="dxa"/>
            <w:vAlign w:val="bottom"/>
            <w:tcBorders>
              <w:top w:val="single" w:sz="8" w:color="0000FF"/>
            </w:tcBorders>
            <w:gridSpan w:val="10"/>
            <w:vMerge w:val="restart"/>
          </w:tcPr>
          <w:p>
            <w:pPr>
              <w:spacing w:after="0"/>
              <w:rPr>
                <w:sz w:val="20"/>
                <w:szCs w:val="20"/>
                <w:color w:val="auto"/>
              </w:rPr>
            </w:pPr>
            <w:r>
              <w:rPr>
                <w:rFonts w:ascii="Times New Roman" w:cs="Times New Roman" w:eastAsia="Times New Roman" w:hAnsi="Times New Roman"/>
                <w:sz w:val="18"/>
                <w:szCs w:val="18"/>
                <w:color w:val="0000FF"/>
                <w:w w:val="99"/>
              </w:rPr>
              <w:t>Notes to Condensed Financial Statements (unaudited)</w:t>
            </w:r>
          </w:p>
        </w:tc>
        <w:tc>
          <w:tcPr>
            <w:tcW w:w="3580" w:type="dxa"/>
            <w:vAlign w:val="bottom"/>
            <w:tcBorders>
              <w:top w:val="single" w:sz="8" w:color="0000FF"/>
            </w:tcBorders>
            <w:gridSpan w:val="6"/>
            <w:vMerge w:val="restart"/>
          </w:tcPr>
          <w:p>
            <w:pPr>
              <w:spacing w:after="0"/>
              <w:rPr>
                <w:sz w:val="24"/>
                <w:szCs w:val="24"/>
                <w:color w:val="auto"/>
              </w:rPr>
            </w:pPr>
          </w:p>
        </w:tc>
        <w:tc>
          <w:tcPr>
            <w:tcW w:w="1140" w:type="dxa"/>
            <w:vAlign w:val="bottom"/>
            <w:gridSpan w:val="3"/>
            <w:vMerge w:val="restart"/>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7</w:t>
            </w:r>
          </w:p>
        </w:tc>
        <w:tc>
          <w:tcPr>
            <w:tcW w:w="0" w:type="dxa"/>
            <w:vAlign w:val="bottom"/>
          </w:tcPr>
          <w:p>
            <w:pPr>
              <w:spacing w:after="0"/>
              <w:rPr>
                <w:sz w:val="1"/>
                <w:szCs w:val="1"/>
                <w:color w:val="auto"/>
              </w:rPr>
            </w:pPr>
          </w:p>
        </w:tc>
      </w:tr>
      <w:tr>
        <w:trPr>
          <w:trHeight w:val="180"/>
        </w:trPr>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80" w:type="dxa"/>
            <w:vAlign w:val="bottom"/>
            <w:tcBorders>
              <w:bottom w:val="single" w:sz="8" w:color="0000FF"/>
            </w:tcBorders>
            <w:gridSpan w:val="10"/>
            <w:vMerge w:val="continue"/>
          </w:tcPr>
          <w:p>
            <w:pPr>
              <w:spacing w:after="0"/>
              <w:rPr>
                <w:sz w:val="15"/>
                <w:szCs w:val="15"/>
                <w:color w:val="auto"/>
              </w:rPr>
            </w:pPr>
          </w:p>
        </w:tc>
        <w:tc>
          <w:tcPr>
            <w:tcW w:w="3580" w:type="dxa"/>
            <w:vAlign w:val="bottom"/>
            <w:gridSpan w:val="6"/>
            <w:vMerge w:val="continue"/>
          </w:tcPr>
          <w:p>
            <w:pPr>
              <w:spacing w:after="0"/>
              <w:rPr>
                <w:sz w:val="15"/>
                <w:szCs w:val="15"/>
                <w:color w:val="auto"/>
              </w:rPr>
            </w:pPr>
          </w:p>
        </w:tc>
        <w:tc>
          <w:tcPr>
            <w:tcW w:w="1140" w:type="dxa"/>
            <w:vAlign w:val="bottom"/>
            <w:gridSpan w:val="3"/>
            <w:vMerge w:val="continue"/>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14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2.</w:t>
            </w:r>
          </w:p>
        </w:tc>
        <w:tc>
          <w:tcPr>
            <w:tcW w:w="9000" w:type="dxa"/>
            <w:vAlign w:val="bottom"/>
            <w:gridSpan w:val="21"/>
            <w:vMerge w:val="restart"/>
          </w:tcPr>
          <w:p>
            <w:pPr>
              <w:ind w:left="80"/>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17</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FF"/>
            </w:tcBorders>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0" w:type="dxa"/>
            <w:vAlign w:val="bottom"/>
            <w:gridSpan w:val="21"/>
            <w:vMerge w:val="continue"/>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0000FF"/>
              </w:rPr>
              <w:t>Item 3.</w:t>
            </w:r>
          </w:p>
        </w:tc>
        <w:tc>
          <w:tcPr>
            <w:tcW w:w="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5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rPr>
              <w:t>22</w:t>
            </w:r>
          </w:p>
        </w:tc>
        <w:tc>
          <w:tcPr>
            <w:tcW w:w="0" w:type="dxa"/>
            <w:vAlign w:val="bottom"/>
          </w:tcPr>
          <w:p>
            <w:pPr>
              <w:spacing w:after="0" w:line="20" w:lineRule="exact"/>
              <w:rPr>
                <w:sz w:val="1"/>
                <w:szCs w:val="1"/>
                <w:color w:val="auto"/>
              </w:rPr>
            </w:pPr>
          </w:p>
        </w:tc>
      </w:tr>
      <w:tr>
        <w:trPr>
          <w:trHeight w:val="250"/>
        </w:trPr>
        <w:tc>
          <w:tcPr>
            <w:tcW w:w="1400" w:type="dxa"/>
            <w:vAlign w:val="bottom"/>
            <w:gridSpan w:val="5"/>
            <w:vMerge w:val="continue"/>
          </w:tcPr>
          <w:p>
            <w:pPr>
              <w:spacing w:after="0"/>
              <w:rPr>
                <w:sz w:val="21"/>
                <w:szCs w:val="21"/>
                <w:color w:val="auto"/>
              </w:rPr>
            </w:pPr>
          </w:p>
        </w:tc>
        <w:tc>
          <w:tcPr>
            <w:tcW w:w="9000" w:type="dxa"/>
            <w:vAlign w:val="bottom"/>
            <w:gridSpan w:val="21"/>
            <w:vMerge w:val="restart"/>
          </w:tcPr>
          <w:p>
            <w:pPr>
              <w:ind w:left="80"/>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8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20" w:type="dxa"/>
            <w:vAlign w:val="bottom"/>
            <w:tcBorders>
              <w:top w:val="single" w:sz="8" w:color="0000FF"/>
            </w:tcBorders>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0" w:type="dxa"/>
            <w:vAlign w:val="bottom"/>
            <w:gridSpan w:val="21"/>
            <w:vMerge w:val="continue"/>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0000FF"/>
              </w:rPr>
              <w:t>Item 4.</w:t>
            </w:r>
          </w:p>
        </w:tc>
        <w:tc>
          <w:tcPr>
            <w:tcW w:w="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54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rPr>
              <w:t>22</w:t>
            </w:r>
          </w:p>
        </w:tc>
        <w:tc>
          <w:tcPr>
            <w:tcW w:w="0" w:type="dxa"/>
            <w:vAlign w:val="bottom"/>
          </w:tcPr>
          <w:p>
            <w:pPr>
              <w:spacing w:after="0" w:line="20" w:lineRule="exact"/>
              <w:rPr>
                <w:sz w:val="1"/>
                <w:szCs w:val="1"/>
                <w:color w:val="auto"/>
              </w:rPr>
            </w:pPr>
          </w:p>
        </w:tc>
      </w:tr>
      <w:tr>
        <w:trPr>
          <w:trHeight w:val="250"/>
        </w:trPr>
        <w:tc>
          <w:tcPr>
            <w:tcW w:w="1400" w:type="dxa"/>
            <w:vAlign w:val="bottom"/>
            <w:gridSpan w:val="5"/>
            <w:vMerge w:val="continue"/>
          </w:tcPr>
          <w:p>
            <w:pPr>
              <w:spacing w:after="0"/>
              <w:rPr>
                <w:sz w:val="21"/>
                <w:szCs w:val="21"/>
                <w:color w:val="auto"/>
              </w:rPr>
            </w:pPr>
          </w:p>
        </w:tc>
        <w:tc>
          <w:tcPr>
            <w:tcW w:w="9000" w:type="dxa"/>
            <w:vAlign w:val="bottom"/>
            <w:gridSpan w:val="21"/>
            <w:vMerge w:val="restart"/>
          </w:tcPr>
          <w:p>
            <w:pPr>
              <w:ind w:left="80"/>
              <w:spacing w:after="0"/>
              <w:rPr>
                <w:sz w:val="20"/>
                <w:szCs w:val="20"/>
                <w:color w:val="auto"/>
              </w:rPr>
            </w:pPr>
            <w:r>
              <w:rPr>
                <w:rFonts w:ascii="Times New Roman" w:cs="Times New Roman" w:eastAsia="Times New Roman" w:hAnsi="Times New Roman"/>
                <w:sz w:val="18"/>
                <w:szCs w:val="18"/>
                <w:color w:val="0000FF"/>
              </w:rPr>
              <w:t>Controls and Procedures</w:t>
            </w:r>
          </w:p>
        </w:tc>
        <w:tc>
          <w:tcPr>
            <w:tcW w:w="8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20" w:type="dxa"/>
            <w:vAlign w:val="bottom"/>
            <w:tcBorders>
              <w:top w:val="single" w:sz="8" w:color="0000FF"/>
            </w:tcBorders>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0" w:type="dxa"/>
            <w:vAlign w:val="bottom"/>
            <w:gridSpan w:val="21"/>
            <w:vMerge w:val="continue"/>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0"/>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900" w:type="dxa"/>
            <w:vAlign w:val="bottom"/>
            <w:gridSpan w:val="10"/>
          </w:tcPr>
          <w:p>
            <w:pPr>
              <w:jc w:val="center"/>
              <w:ind w:right="3040"/>
              <w:spacing w:after="0"/>
              <w:rPr>
                <w:sz w:val="20"/>
                <w:szCs w:val="20"/>
                <w:color w:val="auto"/>
              </w:rPr>
            </w:pPr>
            <w:r>
              <w:rPr>
                <w:rFonts w:ascii="Times New Roman" w:cs="Times New Roman" w:eastAsia="Times New Roman" w:hAnsi="Times New Roman"/>
                <w:sz w:val="18"/>
                <w:szCs w:val="18"/>
                <w:b w:val="1"/>
                <w:bCs w:val="1"/>
                <w:color w:val="0000FF"/>
                <w:w w:val="98"/>
              </w:rPr>
              <w:t>PART II—OTHER INFORMATION</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4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1.</w:t>
            </w:r>
          </w:p>
        </w:tc>
        <w:tc>
          <w:tcPr>
            <w:tcW w:w="3100" w:type="dxa"/>
            <w:vAlign w:val="bottom"/>
            <w:gridSpan w:val="11"/>
            <w:vMerge w:val="restart"/>
          </w:tcPr>
          <w:p>
            <w:pPr>
              <w:ind w:left="80"/>
              <w:spacing w:after="0"/>
              <w:rPr>
                <w:sz w:val="20"/>
                <w:szCs w:val="20"/>
                <w:color w:val="auto"/>
              </w:rPr>
            </w:pPr>
            <w:r>
              <w:rPr>
                <w:rFonts w:ascii="Times New Roman" w:cs="Times New Roman" w:eastAsia="Times New Roman" w:hAnsi="Times New Roman"/>
                <w:sz w:val="18"/>
                <w:szCs w:val="18"/>
                <w:color w:val="0000FF"/>
              </w:rPr>
              <w:t>Legal Proceedings</w:t>
            </w:r>
          </w:p>
        </w:tc>
        <w:tc>
          <w:tcPr>
            <w:tcW w:w="2860" w:type="dxa"/>
            <w:vAlign w:val="bottom"/>
            <w:tcBorders>
              <w:top w:val="single" w:sz="8" w:color="0000FF"/>
            </w:tcBorders>
            <w:gridSpan w:val="3"/>
            <w:vMerge w:val="restart"/>
          </w:tcPr>
          <w:p>
            <w:pPr>
              <w:spacing w:after="0"/>
              <w:rPr>
                <w:sz w:val="21"/>
                <w:szCs w:val="21"/>
                <w:color w:val="auto"/>
              </w:rPr>
            </w:pPr>
          </w:p>
        </w:tc>
        <w:tc>
          <w:tcPr>
            <w:tcW w:w="3040" w:type="dxa"/>
            <w:vAlign w:val="bottom"/>
            <w:gridSpan w:val="7"/>
            <w:vMerge w:val="restart"/>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23</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FF"/>
            </w:tcBorders>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00" w:type="dxa"/>
            <w:vAlign w:val="bottom"/>
            <w:gridSpan w:val="11"/>
            <w:vMerge w:val="continue"/>
          </w:tcPr>
          <w:p>
            <w:pPr>
              <w:spacing w:after="0"/>
              <w:rPr>
                <w:sz w:val="17"/>
                <w:szCs w:val="17"/>
                <w:color w:val="auto"/>
              </w:rPr>
            </w:pPr>
          </w:p>
        </w:tc>
        <w:tc>
          <w:tcPr>
            <w:tcW w:w="2860" w:type="dxa"/>
            <w:vAlign w:val="bottom"/>
            <w:tcBorders>
              <w:top w:val="single" w:sz="8" w:color="0000FF"/>
            </w:tcBorders>
            <w:gridSpan w:val="3"/>
            <w:vMerge w:val="continue"/>
          </w:tcPr>
          <w:p>
            <w:pPr>
              <w:spacing w:after="0"/>
              <w:rPr>
                <w:sz w:val="17"/>
                <w:szCs w:val="17"/>
                <w:color w:val="auto"/>
              </w:rPr>
            </w:pPr>
          </w:p>
        </w:tc>
        <w:tc>
          <w:tcPr>
            <w:tcW w:w="3040" w:type="dxa"/>
            <w:vAlign w:val="bottom"/>
            <w:gridSpan w:val="7"/>
            <w:vMerge w:val="continue"/>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0000FF"/>
              </w:rPr>
              <w:t>Item 1A.</w:t>
            </w:r>
          </w:p>
        </w:tc>
        <w:tc>
          <w:tcPr>
            <w:tcW w:w="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rPr>
              <w:t>23</w:t>
            </w:r>
          </w:p>
        </w:tc>
        <w:tc>
          <w:tcPr>
            <w:tcW w:w="0" w:type="dxa"/>
            <w:vAlign w:val="bottom"/>
          </w:tcPr>
          <w:p>
            <w:pPr>
              <w:spacing w:after="0" w:line="20" w:lineRule="exact"/>
              <w:rPr>
                <w:sz w:val="1"/>
                <w:szCs w:val="1"/>
                <w:color w:val="auto"/>
              </w:rPr>
            </w:pPr>
          </w:p>
        </w:tc>
      </w:tr>
      <w:tr>
        <w:trPr>
          <w:trHeight w:val="250"/>
        </w:trPr>
        <w:tc>
          <w:tcPr>
            <w:tcW w:w="1400" w:type="dxa"/>
            <w:vAlign w:val="bottom"/>
            <w:gridSpan w:val="5"/>
            <w:vMerge w:val="continue"/>
          </w:tcPr>
          <w:p>
            <w:pPr>
              <w:spacing w:after="0"/>
              <w:rPr>
                <w:sz w:val="21"/>
                <w:szCs w:val="21"/>
                <w:color w:val="auto"/>
              </w:rPr>
            </w:pPr>
          </w:p>
        </w:tc>
        <w:tc>
          <w:tcPr>
            <w:tcW w:w="9000" w:type="dxa"/>
            <w:vAlign w:val="bottom"/>
            <w:gridSpan w:val="21"/>
            <w:vMerge w:val="restart"/>
          </w:tcPr>
          <w:p>
            <w:pPr>
              <w:ind w:left="80"/>
              <w:spacing w:after="0"/>
              <w:rPr>
                <w:sz w:val="20"/>
                <w:szCs w:val="20"/>
                <w:color w:val="auto"/>
              </w:rPr>
            </w:pPr>
            <w:r>
              <w:rPr>
                <w:rFonts w:ascii="Times New Roman" w:cs="Times New Roman" w:eastAsia="Times New Roman" w:hAnsi="Times New Roman"/>
                <w:sz w:val="18"/>
                <w:szCs w:val="18"/>
                <w:color w:val="0000FF"/>
              </w:rPr>
              <w:t>Risk Factors</w:t>
            </w:r>
          </w:p>
        </w:tc>
        <w:tc>
          <w:tcPr>
            <w:tcW w:w="8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0" w:type="dxa"/>
            <w:vAlign w:val="bottom"/>
            <w:gridSpan w:val="21"/>
            <w:vMerge w:val="continue"/>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0000FF"/>
              </w:rPr>
              <w:t>Item 2.</w:t>
            </w:r>
          </w:p>
        </w:tc>
        <w:tc>
          <w:tcPr>
            <w:tcW w:w="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rPr>
              <w:t>23</w:t>
            </w:r>
          </w:p>
        </w:tc>
        <w:tc>
          <w:tcPr>
            <w:tcW w:w="0" w:type="dxa"/>
            <w:vAlign w:val="bottom"/>
          </w:tcPr>
          <w:p>
            <w:pPr>
              <w:spacing w:after="0" w:line="20" w:lineRule="exact"/>
              <w:rPr>
                <w:sz w:val="1"/>
                <w:szCs w:val="1"/>
                <w:color w:val="auto"/>
              </w:rPr>
            </w:pPr>
          </w:p>
        </w:tc>
      </w:tr>
      <w:tr>
        <w:trPr>
          <w:trHeight w:val="250"/>
        </w:trPr>
        <w:tc>
          <w:tcPr>
            <w:tcW w:w="1400" w:type="dxa"/>
            <w:vAlign w:val="bottom"/>
            <w:gridSpan w:val="5"/>
            <w:vMerge w:val="continue"/>
          </w:tcPr>
          <w:p>
            <w:pPr>
              <w:spacing w:after="0"/>
              <w:rPr>
                <w:sz w:val="21"/>
                <w:szCs w:val="21"/>
                <w:color w:val="auto"/>
              </w:rPr>
            </w:pPr>
          </w:p>
        </w:tc>
        <w:tc>
          <w:tcPr>
            <w:tcW w:w="9000" w:type="dxa"/>
            <w:vAlign w:val="bottom"/>
            <w:gridSpan w:val="21"/>
            <w:vMerge w:val="restart"/>
          </w:tcPr>
          <w:p>
            <w:pPr>
              <w:ind w:left="80"/>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8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20" w:type="dxa"/>
            <w:vAlign w:val="bottom"/>
            <w:tcBorders>
              <w:top w:val="single" w:sz="8" w:color="0000FF"/>
            </w:tcBorders>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0" w:type="dxa"/>
            <w:vAlign w:val="bottom"/>
            <w:gridSpan w:val="21"/>
            <w:vMerge w:val="continue"/>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0000FF"/>
              </w:rPr>
              <w:t>Item 3.</w:t>
            </w:r>
          </w:p>
        </w:tc>
        <w:tc>
          <w:tcPr>
            <w:tcW w:w="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rPr>
              <w:t>23</w:t>
            </w:r>
          </w:p>
        </w:tc>
        <w:tc>
          <w:tcPr>
            <w:tcW w:w="0" w:type="dxa"/>
            <w:vAlign w:val="bottom"/>
          </w:tcPr>
          <w:p>
            <w:pPr>
              <w:spacing w:after="0" w:line="20" w:lineRule="exact"/>
              <w:rPr>
                <w:sz w:val="1"/>
                <w:szCs w:val="1"/>
                <w:color w:val="auto"/>
              </w:rPr>
            </w:pPr>
          </w:p>
        </w:tc>
      </w:tr>
      <w:tr>
        <w:trPr>
          <w:trHeight w:val="250"/>
        </w:trPr>
        <w:tc>
          <w:tcPr>
            <w:tcW w:w="1400" w:type="dxa"/>
            <w:vAlign w:val="bottom"/>
            <w:gridSpan w:val="5"/>
            <w:vMerge w:val="continue"/>
          </w:tcPr>
          <w:p>
            <w:pPr>
              <w:spacing w:after="0"/>
              <w:rPr>
                <w:sz w:val="21"/>
                <w:szCs w:val="21"/>
                <w:color w:val="auto"/>
              </w:rPr>
            </w:pPr>
          </w:p>
        </w:tc>
        <w:tc>
          <w:tcPr>
            <w:tcW w:w="9000" w:type="dxa"/>
            <w:vAlign w:val="bottom"/>
            <w:gridSpan w:val="21"/>
            <w:vMerge w:val="restart"/>
          </w:tcPr>
          <w:p>
            <w:pPr>
              <w:ind w:left="80"/>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8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20" w:type="dxa"/>
            <w:vAlign w:val="bottom"/>
            <w:tcBorders>
              <w:top w:val="single" w:sz="8" w:color="0000FF"/>
            </w:tcBorders>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0" w:type="dxa"/>
            <w:vAlign w:val="bottom"/>
            <w:gridSpan w:val="21"/>
            <w:vMerge w:val="continue"/>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0000FF"/>
              </w:rPr>
              <w:t>Item 4.</w:t>
            </w:r>
          </w:p>
        </w:tc>
        <w:tc>
          <w:tcPr>
            <w:tcW w:w="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rPr>
              <w:t>23</w:t>
            </w:r>
          </w:p>
        </w:tc>
        <w:tc>
          <w:tcPr>
            <w:tcW w:w="0" w:type="dxa"/>
            <w:vAlign w:val="bottom"/>
          </w:tcPr>
          <w:p>
            <w:pPr>
              <w:spacing w:after="0" w:line="20" w:lineRule="exact"/>
              <w:rPr>
                <w:sz w:val="1"/>
                <w:szCs w:val="1"/>
                <w:color w:val="auto"/>
              </w:rPr>
            </w:pPr>
          </w:p>
        </w:tc>
      </w:tr>
      <w:tr>
        <w:trPr>
          <w:trHeight w:val="250"/>
        </w:trPr>
        <w:tc>
          <w:tcPr>
            <w:tcW w:w="1400" w:type="dxa"/>
            <w:vAlign w:val="bottom"/>
            <w:gridSpan w:val="5"/>
            <w:vMerge w:val="continue"/>
          </w:tcPr>
          <w:p>
            <w:pPr>
              <w:spacing w:after="0"/>
              <w:rPr>
                <w:sz w:val="21"/>
                <w:szCs w:val="21"/>
                <w:color w:val="auto"/>
              </w:rPr>
            </w:pPr>
          </w:p>
        </w:tc>
        <w:tc>
          <w:tcPr>
            <w:tcW w:w="9000" w:type="dxa"/>
            <w:vAlign w:val="bottom"/>
            <w:gridSpan w:val="21"/>
            <w:vMerge w:val="restart"/>
          </w:tcPr>
          <w:p>
            <w:pPr>
              <w:ind w:left="80"/>
              <w:spacing w:after="0"/>
              <w:rPr>
                <w:sz w:val="20"/>
                <w:szCs w:val="20"/>
                <w:color w:val="auto"/>
              </w:rPr>
            </w:pPr>
            <w:r>
              <w:rPr>
                <w:rFonts w:ascii="Times New Roman" w:cs="Times New Roman" w:eastAsia="Times New Roman" w:hAnsi="Times New Roman"/>
                <w:sz w:val="18"/>
                <w:szCs w:val="18"/>
                <w:color w:val="0000FF"/>
              </w:rPr>
              <w:t>Mine Safety Disclosures</w:t>
            </w:r>
          </w:p>
        </w:tc>
        <w:tc>
          <w:tcPr>
            <w:tcW w:w="8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20" w:type="dxa"/>
            <w:vAlign w:val="bottom"/>
            <w:tcBorders>
              <w:top w:val="single" w:sz="8" w:color="0000FF"/>
            </w:tcBorders>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0" w:type="dxa"/>
            <w:vAlign w:val="bottom"/>
            <w:gridSpan w:val="21"/>
            <w:vMerge w:val="continue"/>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0000FF"/>
              </w:rPr>
              <w:t>Item 5.</w:t>
            </w:r>
          </w:p>
        </w:tc>
        <w:tc>
          <w:tcPr>
            <w:tcW w:w="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rPr>
              <w:t>24</w:t>
            </w:r>
          </w:p>
        </w:tc>
        <w:tc>
          <w:tcPr>
            <w:tcW w:w="0" w:type="dxa"/>
            <w:vAlign w:val="bottom"/>
          </w:tcPr>
          <w:p>
            <w:pPr>
              <w:spacing w:after="0" w:line="20" w:lineRule="exact"/>
              <w:rPr>
                <w:sz w:val="1"/>
                <w:szCs w:val="1"/>
                <w:color w:val="auto"/>
              </w:rPr>
            </w:pPr>
          </w:p>
        </w:tc>
      </w:tr>
      <w:tr>
        <w:trPr>
          <w:trHeight w:val="250"/>
        </w:trPr>
        <w:tc>
          <w:tcPr>
            <w:tcW w:w="1400" w:type="dxa"/>
            <w:vAlign w:val="bottom"/>
            <w:gridSpan w:val="5"/>
            <w:vMerge w:val="continue"/>
          </w:tcPr>
          <w:p>
            <w:pPr>
              <w:spacing w:after="0"/>
              <w:rPr>
                <w:sz w:val="21"/>
                <w:szCs w:val="21"/>
                <w:color w:val="auto"/>
              </w:rPr>
            </w:pPr>
          </w:p>
        </w:tc>
        <w:tc>
          <w:tcPr>
            <w:tcW w:w="9000" w:type="dxa"/>
            <w:vAlign w:val="bottom"/>
            <w:gridSpan w:val="21"/>
            <w:vMerge w:val="restart"/>
          </w:tcPr>
          <w:p>
            <w:pPr>
              <w:ind w:left="80"/>
              <w:spacing w:after="0"/>
              <w:rPr>
                <w:sz w:val="20"/>
                <w:szCs w:val="20"/>
                <w:color w:val="auto"/>
              </w:rPr>
            </w:pPr>
            <w:r>
              <w:rPr>
                <w:rFonts w:ascii="Times New Roman" w:cs="Times New Roman" w:eastAsia="Times New Roman" w:hAnsi="Times New Roman"/>
                <w:sz w:val="18"/>
                <w:szCs w:val="18"/>
                <w:color w:val="0000FF"/>
              </w:rPr>
              <w:t>Other Information</w:t>
            </w:r>
          </w:p>
        </w:tc>
        <w:tc>
          <w:tcPr>
            <w:tcW w:w="8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20" w:type="dxa"/>
            <w:vAlign w:val="bottom"/>
            <w:tcBorders>
              <w:top w:val="single" w:sz="8" w:color="0000FF"/>
            </w:tcBorders>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0" w:type="dxa"/>
            <w:vAlign w:val="bottom"/>
            <w:gridSpan w:val="21"/>
            <w:vMerge w:val="continue"/>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0000FF"/>
              </w:rPr>
              <w:t>Item 6.</w:t>
            </w:r>
          </w:p>
        </w:tc>
        <w:tc>
          <w:tcPr>
            <w:tcW w:w="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rPr>
              <w:t>25</w:t>
            </w:r>
          </w:p>
        </w:tc>
        <w:tc>
          <w:tcPr>
            <w:tcW w:w="0" w:type="dxa"/>
            <w:vAlign w:val="bottom"/>
          </w:tcPr>
          <w:p>
            <w:pPr>
              <w:spacing w:after="0" w:line="20" w:lineRule="exact"/>
              <w:rPr>
                <w:sz w:val="1"/>
                <w:szCs w:val="1"/>
                <w:color w:val="auto"/>
              </w:rPr>
            </w:pPr>
          </w:p>
        </w:tc>
      </w:tr>
      <w:tr>
        <w:trPr>
          <w:trHeight w:val="250"/>
        </w:trPr>
        <w:tc>
          <w:tcPr>
            <w:tcW w:w="1400" w:type="dxa"/>
            <w:vAlign w:val="bottom"/>
            <w:gridSpan w:val="5"/>
            <w:vMerge w:val="continue"/>
          </w:tcPr>
          <w:p>
            <w:pPr>
              <w:spacing w:after="0"/>
              <w:rPr>
                <w:sz w:val="21"/>
                <w:szCs w:val="21"/>
                <w:color w:val="auto"/>
              </w:rPr>
            </w:pPr>
          </w:p>
        </w:tc>
        <w:tc>
          <w:tcPr>
            <w:tcW w:w="9000" w:type="dxa"/>
            <w:vAlign w:val="bottom"/>
            <w:gridSpan w:val="21"/>
            <w:vMerge w:val="restart"/>
          </w:tcPr>
          <w:p>
            <w:pPr>
              <w:ind w:left="80"/>
              <w:spacing w:after="0"/>
              <w:rPr>
                <w:sz w:val="20"/>
                <w:szCs w:val="20"/>
                <w:color w:val="auto"/>
              </w:rPr>
            </w:pPr>
            <w:r>
              <w:rPr>
                <w:rFonts w:ascii="Times New Roman" w:cs="Times New Roman" w:eastAsia="Times New Roman" w:hAnsi="Times New Roman"/>
                <w:sz w:val="18"/>
                <w:szCs w:val="18"/>
                <w:color w:val="0000FF"/>
              </w:rPr>
              <w:t>Exhibits</w:t>
            </w:r>
          </w:p>
        </w:tc>
        <w:tc>
          <w:tcPr>
            <w:tcW w:w="8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20" w:type="dxa"/>
            <w:vAlign w:val="bottom"/>
            <w:tcBorders>
              <w:top w:val="single" w:sz="8" w:color="0000FF"/>
            </w:tcBorders>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0" w:type="dxa"/>
            <w:vAlign w:val="bottom"/>
            <w:gridSpan w:val="21"/>
            <w:vMerge w:val="continue"/>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4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EXHIBIT INDEX</w:t>
            </w:r>
          </w:p>
        </w:tc>
        <w:tc>
          <w:tcPr>
            <w:tcW w:w="80" w:type="dxa"/>
            <w:vAlign w:val="bottom"/>
          </w:tcPr>
          <w:p>
            <w:pPr>
              <w:spacing w:after="0"/>
              <w:rPr>
                <w:sz w:val="21"/>
                <w:szCs w:val="21"/>
                <w:color w:val="auto"/>
              </w:rPr>
            </w:pPr>
          </w:p>
        </w:tc>
        <w:tc>
          <w:tcPr>
            <w:tcW w:w="320" w:type="dxa"/>
            <w:vAlign w:val="bottom"/>
            <w:tcBorders>
              <w:top w:val="single" w:sz="8" w:color="0000FF"/>
            </w:tcBorders>
          </w:tcPr>
          <w:p>
            <w:pPr>
              <w:spacing w:after="0"/>
              <w:rPr>
                <w:sz w:val="21"/>
                <w:szCs w:val="21"/>
                <w:color w:val="auto"/>
              </w:rPr>
            </w:pPr>
          </w:p>
        </w:tc>
        <w:tc>
          <w:tcPr>
            <w:tcW w:w="280" w:type="dxa"/>
            <w:vAlign w:val="bottom"/>
            <w:tcBorders>
              <w:top w:val="single" w:sz="8" w:color="0000FF"/>
            </w:tcBorders>
          </w:tcPr>
          <w:p>
            <w:pPr>
              <w:spacing w:after="0"/>
              <w:rPr>
                <w:sz w:val="21"/>
                <w:szCs w:val="21"/>
                <w:color w:val="auto"/>
              </w:rPr>
            </w:pPr>
          </w:p>
        </w:tc>
        <w:tc>
          <w:tcPr>
            <w:tcW w:w="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25</w:t>
            </w:r>
          </w:p>
        </w:tc>
        <w:tc>
          <w:tcPr>
            <w:tcW w:w="0" w:type="dxa"/>
            <w:vAlign w:val="bottom"/>
          </w:tcPr>
          <w:p>
            <w:pPr>
              <w:spacing w:after="0"/>
              <w:rPr>
                <w:sz w:val="1"/>
                <w:szCs w:val="1"/>
                <w:color w:val="auto"/>
              </w:rPr>
            </w:pPr>
          </w:p>
        </w:tc>
      </w:tr>
      <w:tr>
        <w:trPr>
          <w:trHeight w:val="466"/>
        </w:trPr>
        <w:tc>
          <w:tcPr>
            <w:tcW w:w="132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27</w:t>
            </w: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this Quarterly Report on Form 10-Q, “we,” “our,” “us,” “Everspin Technologies,” “Everspin,” and the “Company” refer to Everspin Technologies, Inc. The Everspin logo and other trade names, trademarks or service marks of Everspin Technologies are the property of Everspin Technologies, Inc. This report contains references to our trademarks and to trademarks belonging to other entities. Trade names, trademarks and service marks of other companies appearing in this report are the property of their respective holders. We do not intend our use or display of other companies’ trade names or trademarks to imply a relationship with, or endorsement or sponsorship of us by, any other companies.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EVERSPIN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Pr>
          <w:p>
            <w:pPr>
              <w:spacing w:after="0"/>
              <w:rPr>
                <w:sz w:val="15"/>
                <w:szCs w:val="15"/>
                <w:color w:val="auto"/>
              </w:rPr>
            </w:pPr>
          </w:p>
        </w:tc>
        <w:tc>
          <w:tcPr>
            <w:tcW w:w="1360" w:type="dxa"/>
            <w:vAlign w:val="bottom"/>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7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796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230"/>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7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40,494</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44,450</w:t>
            </w:r>
          </w:p>
        </w:tc>
      </w:tr>
      <w:tr>
        <w:trPr>
          <w:trHeight w:val="243"/>
        </w:trPr>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Accounts receivable, net</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10,164</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8,101</w:t>
            </w:r>
          </w:p>
        </w:tc>
      </w:tr>
      <w:tr>
        <w:trPr>
          <w:trHeight w:val="27"/>
        </w:trPr>
        <w:tc>
          <w:tcPr>
            <w:tcW w:w="7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Inventory</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11,255</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10,734</w:t>
            </w:r>
          </w:p>
        </w:tc>
      </w:tr>
      <w:tr>
        <w:trPr>
          <w:trHeight w:val="243"/>
        </w:trPr>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1,811</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1,877</w:t>
            </w:r>
          </w:p>
        </w:tc>
      </w:tr>
      <w:tr>
        <w:trPr>
          <w:trHeight w:val="27"/>
        </w:trPr>
        <w:tc>
          <w:tcPr>
            <w:tcW w:w="7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3"/>
        </w:trPr>
        <w:tc>
          <w:tcPr>
            <w:tcW w:w="7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63,724</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65,162</w:t>
            </w: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14,925</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14,140</w:t>
            </w:r>
          </w:p>
        </w:tc>
      </w:tr>
      <w:tr>
        <w:trPr>
          <w:trHeight w:val="27"/>
        </w:trPr>
        <w:tc>
          <w:tcPr>
            <w:tcW w:w="7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w:t>
            </w: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2,918</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3,251</w:t>
            </w:r>
          </w:p>
        </w:tc>
      </w:tr>
      <w:tr>
        <w:trPr>
          <w:trHeight w:val="27"/>
        </w:trPr>
        <w:tc>
          <w:tcPr>
            <w:tcW w:w="7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r>
      <w:tr>
        <w:trPr>
          <w:trHeight w:val="263"/>
        </w:trPr>
        <w:tc>
          <w:tcPr>
            <w:tcW w:w="7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83,191</w:t>
            </w:r>
          </w:p>
        </w:tc>
        <w:tc>
          <w:tcPr>
            <w:tcW w:w="8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84,609</w:t>
            </w:r>
          </w:p>
        </w:tc>
      </w:tr>
      <w:tr>
        <w:trPr>
          <w:trHeight w:val="20"/>
        </w:trPr>
        <w:tc>
          <w:tcPr>
            <w:tcW w:w="79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37"/>
        </w:trPr>
        <w:tc>
          <w:tcPr>
            <w:tcW w:w="79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7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3,510</w:t>
            </w:r>
          </w:p>
        </w:tc>
        <w:tc>
          <w:tcPr>
            <w:tcW w:w="8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5,180</w:t>
            </w:r>
          </w:p>
        </w:tc>
      </w:tr>
      <w:tr>
        <w:trPr>
          <w:trHeight w:val="27"/>
        </w:trPr>
        <w:tc>
          <w:tcPr>
            <w:tcW w:w="7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Accrued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4,531</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3,651</w:t>
            </w:r>
          </w:p>
        </w:tc>
      </w:tr>
      <w:tr>
        <w:trPr>
          <w:trHeight w:val="243"/>
        </w:trPr>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Lease liabilities, current portion</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w:t>
            </w:r>
          </w:p>
        </w:tc>
      </w:tr>
      <w:tr>
        <w:trPr>
          <w:trHeight w:val="27"/>
        </w:trPr>
        <w:tc>
          <w:tcPr>
            <w:tcW w:w="7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Contract obligations</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w:t>
            </w:r>
          </w:p>
        </w:tc>
      </w:tr>
      <w:tr>
        <w:trPr>
          <w:trHeight w:val="243"/>
        </w:trPr>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Software liabilities, current portion</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w:t>
            </w:r>
          </w:p>
        </w:tc>
      </w:tr>
      <w:tr>
        <w:trPr>
          <w:trHeight w:val="27"/>
        </w:trPr>
        <w:tc>
          <w:tcPr>
            <w:tcW w:w="7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3"/>
        </w:trPr>
        <w:tc>
          <w:tcPr>
            <w:tcW w:w="7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11,060</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13,453</w:t>
            </w: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 net of current portion</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1,599</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1,956</w:t>
            </w:r>
          </w:p>
        </w:tc>
      </w:tr>
      <w:tr>
        <w:trPr>
          <w:trHeight w:val="27"/>
        </w:trPr>
        <w:tc>
          <w:tcPr>
            <w:tcW w:w="7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 liabilities, net of current portion</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4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income tax liability</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w:t>
            </w:r>
          </w:p>
        </w:tc>
      </w:tr>
      <w:tr>
        <w:trPr>
          <w:trHeight w:val="27"/>
        </w:trPr>
        <w:tc>
          <w:tcPr>
            <w:tcW w:w="7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3"/>
        </w:trPr>
        <w:tc>
          <w:tcPr>
            <w:tcW w:w="7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12,946</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15,692</w:t>
            </w:r>
          </w:p>
        </w:tc>
      </w:tr>
      <w:tr>
        <w:trPr>
          <w:trHeight w:val="223"/>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5)</w:t>
            </w:r>
          </w:p>
        </w:tc>
        <w:tc>
          <w:tcPr>
            <w:tcW w:w="3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r>
      <w:tr>
        <w:trPr>
          <w:trHeight w:val="27"/>
        </w:trPr>
        <w:tc>
          <w:tcPr>
            <w:tcW w:w="7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25"/>
        </w:trPr>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Preferred stock, $0.0001 par value per share; 5,000,000 shares authorized; no shares issued and outstanding</w:t>
            </w: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4"/>
        </w:trPr>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as of March 31, 2026 and December 31, 2025</w:t>
            </w:r>
          </w:p>
        </w:tc>
        <w:tc>
          <w:tcPr>
            <w:tcW w:w="30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25"/>
        </w:trPr>
        <w:tc>
          <w:tcPr>
            <w:tcW w:w="79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Common stock, $0.0001 par value per share; 100,000,000 shares authorized; 23,320,978 and 22,977,797</w:t>
            </w:r>
          </w:p>
        </w:tc>
        <w:tc>
          <w:tcPr>
            <w:tcW w:w="3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41"/>
        </w:trPr>
        <w:tc>
          <w:tcPr>
            <w:tcW w:w="79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shares issued and outstanding as of March 31, 2026 and December 31, 2025, respectively</w:t>
            </w:r>
          </w:p>
        </w:tc>
        <w:tc>
          <w:tcPr>
            <w:tcW w:w="3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43"/>
        </w:trPr>
        <w:tc>
          <w:tcPr>
            <w:tcW w:w="7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207,996</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206,370</w:t>
            </w:r>
          </w:p>
        </w:tc>
      </w:tr>
      <w:tr>
        <w:trPr>
          <w:trHeight w:val="27"/>
        </w:trPr>
        <w:tc>
          <w:tcPr>
            <w:tcW w:w="7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79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Accumulated deficit</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(137,753)</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(137,455)</w:t>
            </w:r>
          </w:p>
        </w:tc>
      </w:tr>
      <w:tr>
        <w:trPr>
          <w:trHeight w:val="236"/>
        </w:trPr>
        <w:tc>
          <w:tcPr>
            <w:tcW w:w="7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70,245</w:t>
            </w:r>
          </w:p>
        </w:tc>
        <w:tc>
          <w:tcPr>
            <w:tcW w:w="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68,917</w:t>
            </w:r>
          </w:p>
        </w:tc>
      </w:tr>
      <w:tr>
        <w:trPr>
          <w:trHeight w:val="27"/>
        </w:trPr>
        <w:tc>
          <w:tcPr>
            <w:tcW w:w="79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89"/>
        </w:trPr>
        <w:tc>
          <w:tcPr>
            <w:tcW w:w="7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83,191</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84,609</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EVERSPIN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80" w:type="dxa"/>
            <w:vAlign w:val="bottom"/>
            <w:gridSpan w:val="4"/>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37"/>
        </w:trPr>
        <w:tc>
          <w:tcPr>
            <w:tcW w:w="798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79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sales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11,026</w:t>
            </w: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Licensing, royalty, patent, engineering services and other revenue</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2,112</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9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revenue</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13,138</w:t>
            </w: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product sales</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6,029</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licensing, royalty, patent, engineering services and other revenue</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0" w:type="dxa"/>
            <w:vAlign w:val="bottom"/>
          </w:tcPr>
          <w:p>
            <w:pPr>
              <w:spacing w:after="0"/>
              <w:rPr>
                <w:sz w:val="1"/>
                <w:szCs w:val="1"/>
                <w:color w:val="auto"/>
              </w:rPr>
            </w:pPr>
          </w:p>
        </w:tc>
      </w:tr>
      <w:tr>
        <w:trPr>
          <w:trHeight w:val="237"/>
        </w:trPr>
        <w:tc>
          <w:tcPr>
            <w:tcW w:w="7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cost of sales</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6,385</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9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Gross profit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6,753</w:t>
            </w: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3,356</w:t>
            </w:r>
          </w:p>
        </w:tc>
        <w:tc>
          <w:tcPr>
            <w:tcW w:w="0" w:type="dxa"/>
            <w:vAlign w:val="bottom"/>
          </w:tcPr>
          <w:p>
            <w:pPr>
              <w:spacing w:after="0"/>
              <w:rPr>
                <w:sz w:val="1"/>
                <w:szCs w:val="1"/>
                <w:color w:val="auto"/>
              </w:rPr>
            </w:pPr>
          </w:p>
        </w:tc>
      </w:tr>
      <w:tr>
        <w:trPr>
          <w:trHeight w:val="243"/>
        </w:trPr>
        <w:tc>
          <w:tcPr>
            <w:tcW w:w="7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3,838</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Sales and marketing</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w:t>
            </w:r>
          </w:p>
        </w:tc>
        <w:tc>
          <w:tcPr>
            <w:tcW w:w="0" w:type="dxa"/>
            <w:vAlign w:val="bottom"/>
          </w:tcPr>
          <w:p>
            <w:pPr>
              <w:spacing w:after="0"/>
              <w:rPr>
                <w:sz w:val="1"/>
                <w:szCs w:val="1"/>
                <w:color w:val="auto"/>
              </w:rPr>
            </w:pPr>
          </w:p>
        </w:tc>
      </w:tr>
      <w:tr>
        <w:trPr>
          <w:trHeight w:val="237"/>
        </w:trPr>
        <w:tc>
          <w:tcPr>
            <w:tcW w:w="7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10,559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8,685</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(1,932)</w:t>
            </w: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0" w:type="dxa"/>
            <w:vAlign w:val="bottom"/>
          </w:tcPr>
          <w:p>
            <w:pPr>
              <w:spacing w:after="0"/>
              <w:rPr>
                <w:sz w:val="1"/>
                <w:szCs w:val="1"/>
                <w:color w:val="auto"/>
              </w:rPr>
            </w:pPr>
          </w:p>
        </w:tc>
      </w:tr>
      <w:tr>
        <w:trPr>
          <w:trHeight w:val="237"/>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before income taxes</w:t>
            </w: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6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0" w:type="dxa"/>
            <w:vAlign w:val="bottom"/>
          </w:tcPr>
          <w:p>
            <w:pPr>
              <w:spacing w:after="0"/>
              <w:rPr>
                <w:sz w:val="1"/>
                <w:szCs w:val="1"/>
                <w:color w:val="auto"/>
              </w:rPr>
            </w:pP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common share:</w:t>
            </w:r>
          </w:p>
        </w:tc>
        <w:tc>
          <w:tcPr>
            <w:tcW w:w="38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23"/>
                <w:szCs w:val="23"/>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79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 average shares of common stock outstanding:</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98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5"/>
        </w:trPr>
        <w:tc>
          <w:tcPr>
            <w:tcW w:w="79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38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23,137,815</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22,188,114</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7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38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23,137,815</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22,188,114</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EVERSPIN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560" w:type="dxa"/>
            <w:vAlign w:val="bottom"/>
            <w:gridSpan w:val="9"/>
          </w:tcPr>
          <w:p>
            <w:pPr>
              <w:ind w:left="540"/>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000" w:type="dxa"/>
            <w:vAlign w:val="bottom"/>
          </w:tcPr>
          <w:p>
            <w:pPr>
              <w:spacing w:after="0"/>
              <w:rPr>
                <w:sz w:val="3"/>
                <w:szCs w:val="3"/>
                <w:color w:val="auto"/>
              </w:rPr>
            </w:pPr>
          </w:p>
        </w:tc>
        <w:tc>
          <w:tcPr>
            <w:tcW w:w="4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5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40" w:type="dxa"/>
            <w:vAlign w:val="bottom"/>
            <w:gridSpan w:val="8"/>
            <w:vMerge w:val="restart"/>
          </w:tcPr>
          <w:p>
            <w:pPr>
              <w:ind w:left="7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4"/>
                <w:szCs w:val="14"/>
                <w:color w:val="auto"/>
              </w:rPr>
            </w:pPr>
          </w:p>
        </w:tc>
        <w:tc>
          <w:tcPr>
            <w:tcW w:w="11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4"/>
                <w:szCs w:val="14"/>
                <w:color w:val="auto"/>
              </w:rPr>
            </w:pPr>
          </w:p>
        </w:tc>
        <w:tc>
          <w:tcPr>
            <w:tcW w:w="108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96"/>
        </w:trPr>
        <w:tc>
          <w:tcPr>
            <w:tcW w:w="5000" w:type="dxa"/>
            <w:vAlign w:val="bottom"/>
          </w:tcPr>
          <w:p>
            <w:pPr>
              <w:spacing w:after="0"/>
              <w:rPr>
                <w:sz w:val="8"/>
                <w:szCs w:val="8"/>
                <w:color w:val="auto"/>
              </w:rPr>
            </w:pPr>
          </w:p>
        </w:tc>
        <w:tc>
          <w:tcPr>
            <w:tcW w:w="40" w:type="dxa"/>
            <w:vAlign w:val="bottom"/>
          </w:tcPr>
          <w:p>
            <w:pPr>
              <w:spacing w:after="0"/>
              <w:rPr>
                <w:sz w:val="8"/>
                <w:szCs w:val="8"/>
                <w:color w:val="auto"/>
              </w:rPr>
            </w:pPr>
          </w:p>
        </w:tc>
        <w:tc>
          <w:tcPr>
            <w:tcW w:w="2440" w:type="dxa"/>
            <w:vAlign w:val="bottom"/>
            <w:gridSpan w:val="8"/>
            <w:vMerge w:val="continue"/>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gridSpan w:val="2"/>
            <w:vMerge w:val="restart"/>
          </w:tcPr>
          <w:p>
            <w:pPr>
              <w:jc w:val="center"/>
              <w:ind w:right="260"/>
              <w:spacing w:after="0" w:line="127"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vMerge w:val="restart"/>
          </w:tcPr>
          <w:p>
            <w:pPr>
              <w:jc w:val="center"/>
              <w:ind w:right="68"/>
              <w:spacing w:after="0" w:line="127"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37"/>
        </w:trPr>
        <w:tc>
          <w:tcPr>
            <w:tcW w:w="5000" w:type="dxa"/>
            <w:vAlign w:val="bottom"/>
          </w:tcPr>
          <w:p>
            <w:pPr>
              <w:spacing w:after="0"/>
              <w:rPr>
                <w:sz w:val="3"/>
                <w:szCs w:val="3"/>
                <w:color w:val="auto"/>
              </w:rPr>
            </w:pPr>
          </w:p>
        </w:tc>
        <w:tc>
          <w:tcPr>
            <w:tcW w:w="4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5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8"/>
                <w:szCs w:val="18"/>
                <w:color w:val="auto"/>
              </w:rPr>
            </w:pPr>
          </w:p>
        </w:tc>
        <w:tc>
          <w:tcPr>
            <w:tcW w:w="108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3"/>
        </w:trPr>
        <w:tc>
          <w:tcPr>
            <w:tcW w:w="50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2025</w:t>
            </w:r>
          </w:p>
        </w:tc>
        <w:tc>
          <w:tcPr>
            <w:tcW w:w="1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22,977,797</w:t>
            </w:r>
          </w:p>
        </w:tc>
        <w:tc>
          <w:tcPr>
            <w:tcW w:w="280" w:type="dxa"/>
            <w:vAlign w:val="bottom"/>
            <w:tcBorders>
              <w:bottom w:val="single" w:sz="8" w:color="CCEEFF"/>
            </w:tcBorders>
            <w:gridSpan w:val="3"/>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206,370</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(137,455)</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68,917</w:t>
            </w:r>
          </w:p>
        </w:tc>
        <w:tc>
          <w:tcPr>
            <w:tcW w:w="0" w:type="dxa"/>
            <w:vAlign w:val="bottom"/>
          </w:tcPr>
          <w:p>
            <w:pPr>
              <w:spacing w:after="0"/>
              <w:rPr>
                <w:sz w:val="1"/>
                <w:szCs w:val="1"/>
                <w:color w:val="auto"/>
              </w:rPr>
            </w:pPr>
          </w:p>
        </w:tc>
      </w:tr>
      <w:tr>
        <w:trPr>
          <w:trHeight w:val="193"/>
        </w:trPr>
        <w:tc>
          <w:tcPr>
            <w:tcW w:w="50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57,027</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0" w:type="dxa"/>
            <w:vAlign w:val="bottom"/>
          </w:tcPr>
          <w:p>
            <w:pPr>
              <w:spacing w:after="0"/>
              <w:rPr>
                <w:sz w:val="1"/>
                <w:szCs w:val="1"/>
                <w:color w:val="auto"/>
              </w:rPr>
            </w:pPr>
          </w:p>
        </w:tc>
      </w:tr>
      <w:tr>
        <w:trPr>
          <w:trHeight w:val="37"/>
        </w:trPr>
        <w:tc>
          <w:tcPr>
            <w:tcW w:w="5000" w:type="dxa"/>
            <w:vAlign w:val="bottom"/>
          </w:tcPr>
          <w:p>
            <w:pPr>
              <w:spacing w:after="0"/>
              <w:rPr>
                <w:sz w:val="3"/>
                <w:szCs w:val="3"/>
                <w:color w:val="auto"/>
              </w:rPr>
            </w:pPr>
          </w:p>
        </w:tc>
        <w:tc>
          <w:tcPr>
            <w:tcW w:w="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50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Issuance of common stock under stock incentive plans</w:t>
            </w:r>
          </w:p>
        </w:tc>
        <w:tc>
          <w:tcPr>
            <w:tcW w:w="1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286,154</w:t>
            </w: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50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1,300</w:t>
            </w:r>
          </w:p>
        </w:tc>
        <w:tc>
          <w:tcPr>
            <w:tcW w:w="0" w:type="dxa"/>
            <w:vAlign w:val="bottom"/>
          </w:tcPr>
          <w:p>
            <w:pPr>
              <w:spacing w:after="0"/>
              <w:rPr>
                <w:sz w:val="1"/>
                <w:szCs w:val="1"/>
                <w:color w:val="auto"/>
              </w:rPr>
            </w:pPr>
          </w:p>
        </w:tc>
      </w:tr>
      <w:tr>
        <w:trPr>
          <w:trHeight w:val="37"/>
        </w:trPr>
        <w:tc>
          <w:tcPr>
            <w:tcW w:w="5000" w:type="dxa"/>
            <w:vAlign w:val="bottom"/>
          </w:tcPr>
          <w:p>
            <w:pPr>
              <w:spacing w:after="0"/>
              <w:rPr>
                <w:sz w:val="3"/>
                <w:szCs w:val="3"/>
                <w:color w:val="auto"/>
              </w:rPr>
            </w:pPr>
          </w:p>
        </w:tc>
        <w:tc>
          <w:tcPr>
            <w:tcW w:w="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50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1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93"/>
        </w:trPr>
        <w:tc>
          <w:tcPr>
            <w:tcW w:w="50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Net loss</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w:t>
            </w:r>
          </w:p>
        </w:tc>
        <w:tc>
          <w:tcPr>
            <w:tcW w:w="0" w:type="dxa"/>
            <w:vAlign w:val="bottom"/>
          </w:tcPr>
          <w:p>
            <w:pPr>
              <w:spacing w:after="0"/>
              <w:rPr>
                <w:sz w:val="1"/>
                <w:szCs w:val="1"/>
                <w:color w:val="auto"/>
              </w:rPr>
            </w:pPr>
          </w:p>
        </w:tc>
      </w:tr>
      <w:tr>
        <w:trPr>
          <w:trHeight w:val="37"/>
        </w:trPr>
        <w:tc>
          <w:tcPr>
            <w:tcW w:w="500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March 31, 2026</w:t>
            </w:r>
          </w:p>
        </w:tc>
        <w:tc>
          <w:tcPr>
            <w:tcW w:w="11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23,320,978</w:t>
            </w:r>
          </w:p>
        </w:tc>
        <w:tc>
          <w:tcPr>
            <w:tcW w:w="100" w:type="dxa"/>
            <w:vAlign w:val="bottom"/>
            <w:tcBorders>
              <w:bottom w:val="single" w:sz="8" w:color="CCEEFF"/>
            </w:tcBorders>
            <w:gridSpan w:val="2"/>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207,996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(137,753)</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70,245</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8"/>
        </w:trPr>
        <w:tc>
          <w:tcPr>
            <w:tcW w:w="5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560" w:type="dxa"/>
            <w:vAlign w:val="bottom"/>
            <w:gridSpan w:val="9"/>
          </w:tcPr>
          <w:p>
            <w:pPr>
              <w:ind w:left="520"/>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5000" w:type="dxa"/>
            <w:vAlign w:val="bottom"/>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5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40" w:type="dxa"/>
            <w:vAlign w:val="bottom"/>
            <w:gridSpan w:val="8"/>
            <w:vMerge w:val="restart"/>
          </w:tcPr>
          <w:p>
            <w:pPr>
              <w:ind w:left="6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4"/>
                <w:szCs w:val="14"/>
                <w:color w:val="auto"/>
              </w:rPr>
            </w:pPr>
          </w:p>
        </w:tc>
        <w:tc>
          <w:tcPr>
            <w:tcW w:w="11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4"/>
                <w:szCs w:val="14"/>
                <w:color w:val="auto"/>
              </w:rPr>
            </w:pPr>
          </w:p>
        </w:tc>
        <w:tc>
          <w:tcPr>
            <w:tcW w:w="108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09"/>
        </w:trPr>
        <w:tc>
          <w:tcPr>
            <w:tcW w:w="5000" w:type="dxa"/>
            <w:vAlign w:val="bottom"/>
          </w:tcPr>
          <w:p>
            <w:pPr>
              <w:spacing w:after="0"/>
              <w:rPr>
                <w:sz w:val="9"/>
                <w:szCs w:val="9"/>
                <w:color w:val="auto"/>
              </w:rPr>
            </w:pPr>
          </w:p>
        </w:tc>
        <w:tc>
          <w:tcPr>
            <w:tcW w:w="40" w:type="dxa"/>
            <w:vAlign w:val="bottom"/>
          </w:tcPr>
          <w:p>
            <w:pPr>
              <w:spacing w:after="0"/>
              <w:rPr>
                <w:sz w:val="9"/>
                <w:szCs w:val="9"/>
                <w:color w:val="auto"/>
              </w:rPr>
            </w:pPr>
          </w:p>
        </w:tc>
        <w:tc>
          <w:tcPr>
            <w:tcW w:w="2440" w:type="dxa"/>
            <w:vAlign w:val="bottom"/>
            <w:gridSpan w:val="8"/>
            <w:vMerge w:val="continue"/>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gridSpan w:val="2"/>
            <w:vMerge w:val="restart"/>
          </w:tcPr>
          <w:p>
            <w:pPr>
              <w:jc w:val="center"/>
              <w:ind w:right="260"/>
              <w:spacing w:after="0" w:line="127"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vMerge w:val="restart"/>
          </w:tcPr>
          <w:p>
            <w:pPr>
              <w:jc w:val="center"/>
              <w:ind w:right="68"/>
              <w:spacing w:after="0" w:line="127"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37"/>
        </w:trPr>
        <w:tc>
          <w:tcPr>
            <w:tcW w:w="5000" w:type="dxa"/>
            <w:vAlign w:val="bottom"/>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5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4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7"/>
                <w:szCs w:val="17"/>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7"/>
                <w:szCs w:val="17"/>
                <w:color w:val="auto"/>
              </w:rPr>
            </w:pPr>
          </w:p>
        </w:tc>
        <w:tc>
          <w:tcPr>
            <w:tcW w:w="108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3"/>
        </w:trPr>
        <w:tc>
          <w:tcPr>
            <w:tcW w:w="50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2024</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22,059,697</w:t>
            </w:r>
          </w:p>
        </w:tc>
        <w:tc>
          <w:tcPr>
            <w:tcW w:w="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gridSpan w:val="3"/>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CCEEFF"/>
            </w:tcBorders>
            <w:shd w:val="clear" w:color="auto" w:fill="CCEEFF"/>
          </w:tcPr>
          <w:p>
            <w:pPr>
              <w:jc w:val="center"/>
              <w:ind w:left="648"/>
              <w:spacing w:after="0"/>
              <w:rPr>
                <w:sz w:val="20"/>
                <w:szCs w:val="20"/>
                <w:color w:val="auto"/>
              </w:rPr>
            </w:pPr>
            <w:r>
              <w:rPr>
                <w:rFonts w:ascii="Times New Roman" w:cs="Times New Roman" w:eastAsia="Times New Roman" w:hAnsi="Times New Roman"/>
                <w:sz w:val="14"/>
                <w:szCs w:val="14"/>
                <w:color w:val="auto"/>
              </w:rPr>
              <w:t>2</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199,460</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(136,869)</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62,593</w:t>
            </w:r>
          </w:p>
        </w:tc>
        <w:tc>
          <w:tcPr>
            <w:tcW w:w="0" w:type="dxa"/>
            <w:vAlign w:val="bottom"/>
          </w:tcPr>
          <w:p>
            <w:pPr>
              <w:spacing w:after="0"/>
              <w:rPr>
                <w:sz w:val="1"/>
                <w:szCs w:val="1"/>
                <w:color w:val="auto"/>
              </w:rPr>
            </w:pPr>
          </w:p>
        </w:tc>
      </w:tr>
      <w:tr>
        <w:trPr>
          <w:trHeight w:val="193"/>
        </w:trPr>
        <w:tc>
          <w:tcPr>
            <w:tcW w:w="50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10,620</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3"/>
          </w:tcPr>
          <w:p>
            <w:pPr>
              <w:jc w:val="center"/>
              <w:ind w:left="568"/>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37"/>
        </w:trPr>
        <w:tc>
          <w:tcPr>
            <w:tcW w:w="5000" w:type="dxa"/>
            <w:vAlign w:val="bottom"/>
          </w:tcPr>
          <w:p>
            <w:pPr>
              <w:spacing w:after="0"/>
              <w:rPr>
                <w:sz w:val="3"/>
                <w:szCs w:val="3"/>
                <w:color w:val="auto"/>
              </w:rPr>
            </w:pPr>
          </w:p>
        </w:tc>
        <w:tc>
          <w:tcPr>
            <w:tcW w:w="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gridSpan w:val="2"/>
          </w:tcPr>
          <w:p>
            <w:pPr>
              <w:spacing w:after="0"/>
              <w:rPr>
                <w:sz w:val="3"/>
                <w:szCs w:val="3"/>
                <w:color w:val="auto"/>
              </w:rPr>
            </w:pPr>
          </w:p>
        </w:tc>
        <w:tc>
          <w:tcPr>
            <w:tcW w:w="140" w:type="dxa"/>
            <w:vAlign w:val="bottom"/>
          </w:tcPr>
          <w:p>
            <w:pPr>
              <w:spacing w:after="0"/>
              <w:rPr>
                <w:sz w:val="3"/>
                <w:szCs w:val="3"/>
                <w:color w:val="auto"/>
              </w:rPr>
            </w:pPr>
          </w:p>
        </w:tc>
        <w:tc>
          <w:tcPr>
            <w:tcW w:w="1160" w:type="dxa"/>
            <w:vAlign w:val="bottom"/>
            <w:gridSpan w:val="2"/>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50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Issuance of common stock under stock incentive plans</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281,828</w:t>
            </w: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3"/>
            <w:shd w:val="clear" w:color="auto" w:fill="CCEEFF"/>
          </w:tcPr>
          <w:p>
            <w:pPr>
              <w:jc w:val="center"/>
              <w:ind w:left="568"/>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504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3"/>
          </w:tcPr>
          <w:p>
            <w:pPr>
              <w:jc w:val="center"/>
              <w:ind w:left="568"/>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1,577</w:t>
            </w:r>
          </w:p>
        </w:tc>
        <w:tc>
          <w:tcPr>
            <w:tcW w:w="0" w:type="dxa"/>
            <w:vAlign w:val="bottom"/>
          </w:tcPr>
          <w:p>
            <w:pPr>
              <w:spacing w:after="0"/>
              <w:rPr>
                <w:sz w:val="1"/>
                <w:szCs w:val="1"/>
                <w:color w:val="auto"/>
              </w:rPr>
            </w:pPr>
          </w:p>
        </w:tc>
      </w:tr>
      <w:tr>
        <w:trPr>
          <w:trHeight w:val="37"/>
        </w:trPr>
        <w:tc>
          <w:tcPr>
            <w:tcW w:w="5000" w:type="dxa"/>
            <w:vAlign w:val="bottom"/>
          </w:tcPr>
          <w:p>
            <w:pPr>
              <w:spacing w:after="0"/>
              <w:rPr>
                <w:sz w:val="3"/>
                <w:szCs w:val="3"/>
                <w:color w:val="auto"/>
              </w:rPr>
            </w:pPr>
          </w:p>
        </w:tc>
        <w:tc>
          <w:tcPr>
            <w:tcW w:w="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gridSpan w:val="2"/>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50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loss</w:t>
            </w:r>
          </w:p>
        </w:tc>
        <w:tc>
          <w:tcPr>
            <w:tcW w:w="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3"/>
            <w:shd w:val="clear" w:color="auto" w:fill="CCEEFF"/>
          </w:tcPr>
          <w:p>
            <w:pPr>
              <w:jc w:val="center"/>
              <w:ind w:left="568"/>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(1,166)</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(1,166)</w:t>
            </w:r>
          </w:p>
        </w:tc>
        <w:tc>
          <w:tcPr>
            <w:tcW w:w="0" w:type="dxa"/>
            <w:vAlign w:val="bottom"/>
          </w:tcPr>
          <w:p>
            <w:pPr>
              <w:spacing w:after="0"/>
              <w:rPr>
                <w:sz w:val="1"/>
                <w:szCs w:val="1"/>
                <w:color w:val="auto"/>
              </w:rPr>
            </w:pPr>
          </w:p>
        </w:tc>
      </w:tr>
      <w:tr>
        <w:trPr>
          <w:trHeight w:val="218"/>
        </w:trPr>
        <w:tc>
          <w:tcPr>
            <w:tcW w:w="5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March 31, 2025</w:t>
            </w:r>
          </w:p>
        </w:tc>
        <w:tc>
          <w:tcPr>
            <w:tcW w:w="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22,352,145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bottom w:val="single" w:sz="8" w:color="auto"/>
            </w:tcBorders>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tcPr>
          <w:p>
            <w:pPr>
              <w:jc w:val="center"/>
              <w:ind w:left="648"/>
              <w:spacing w:after="0"/>
              <w:rPr>
                <w:sz w:val="20"/>
                <w:szCs w:val="20"/>
                <w:color w:val="auto"/>
              </w:rPr>
            </w:pPr>
            <w:r>
              <w:rPr>
                <w:rFonts w:ascii="Times New Roman" w:cs="Times New Roman" w:eastAsia="Times New Roman" w:hAnsi="Times New Roman"/>
                <w:sz w:val="14"/>
                <w:szCs w:val="14"/>
                <w:color w:val="auto"/>
              </w:rPr>
              <w:t>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201,066</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(138,035)</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63,033</w:t>
            </w:r>
          </w:p>
        </w:tc>
        <w:tc>
          <w:tcPr>
            <w:tcW w:w="0" w:type="dxa"/>
            <w:vAlign w:val="bottom"/>
          </w:tcPr>
          <w:p>
            <w:pPr>
              <w:spacing w:after="0"/>
              <w:rPr>
                <w:sz w:val="1"/>
                <w:szCs w:val="1"/>
                <w:color w:val="auto"/>
              </w:rPr>
            </w:pPr>
          </w:p>
        </w:tc>
      </w:tr>
      <w:tr>
        <w:trPr>
          <w:trHeight w:val="25"/>
        </w:trPr>
        <w:tc>
          <w:tcPr>
            <w:tcW w:w="50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EVERSPIN TECHNOLOGIES, INC.</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Statements of Cash Flows</w:t>
      </w:r>
    </w:p>
    <w:p>
      <w:pPr>
        <w:spacing w:after="0" w:line="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80" w:type="dxa"/>
            <w:vAlign w:val="bottom"/>
          </w:tcPr>
          <w:p>
            <w:pPr>
              <w:spacing w:after="0"/>
              <w:rPr>
                <w:sz w:val="16"/>
                <w:szCs w:val="16"/>
                <w:color w:val="auto"/>
              </w:rPr>
            </w:pPr>
          </w:p>
        </w:tc>
        <w:tc>
          <w:tcPr>
            <w:tcW w:w="2700" w:type="dxa"/>
            <w:vAlign w:val="bottom"/>
            <w:gridSpan w:val="4"/>
          </w:tcPr>
          <w:p>
            <w:pPr>
              <w:ind w:left="6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798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980" w:type="dxa"/>
            <w:vAlign w:val="bottom"/>
          </w:tcPr>
          <w:p>
            <w:pPr>
              <w:spacing w:after="0"/>
              <w:rPr>
                <w:sz w:val="16"/>
                <w:szCs w:val="16"/>
                <w:color w:val="auto"/>
              </w:rPr>
            </w:pPr>
          </w:p>
        </w:tc>
        <w:tc>
          <w:tcPr>
            <w:tcW w:w="1020" w:type="dxa"/>
            <w:vAlign w:val="bottom"/>
          </w:tcPr>
          <w:p>
            <w:pPr>
              <w:ind w:left="640"/>
              <w:spacing w:after="0"/>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798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from operating activities</w:t>
            </w:r>
          </w:p>
        </w:tc>
        <w:tc>
          <w:tcPr>
            <w:tcW w:w="10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79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loss</w:t>
            </w:r>
          </w:p>
        </w:tc>
        <w:tc>
          <w:tcPr>
            <w:tcW w:w="1020" w:type="dxa"/>
            <w:vAlign w:val="bottom"/>
          </w:tcPr>
          <w:p>
            <w:pPr>
              <w:jc w:val="right"/>
              <w:ind w:right="845"/>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(296)</w:t>
            </w:r>
          </w:p>
        </w:tc>
        <w:tc>
          <w:tcPr>
            <w:tcW w:w="80" w:type="dxa"/>
            <w:vAlign w:val="bottom"/>
          </w:tcPr>
          <w:p>
            <w:pPr>
              <w:spacing w:after="0"/>
              <w:rPr>
                <w:sz w:val="18"/>
                <w:szCs w:val="18"/>
                <w:color w:val="auto"/>
              </w:rPr>
            </w:pPr>
          </w:p>
        </w:tc>
        <w:tc>
          <w:tcPr>
            <w:tcW w:w="1040" w:type="dxa"/>
            <w:vAlign w:val="bottom"/>
          </w:tcPr>
          <w:p>
            <w:pPr>
              <w:jc w:val="right"/>
              <w:ind w:right="864"/>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(1,166)</w:t>
            </w:r>
          </w:p>
        </w:tc>
        <w:tc>
          <w:tcPr>
            <w:tcW w:w="0" w:type="dxa"/>
            <w:vAlign w:val="bottom"/>
          </w:tcPr>
          <w:p>
            <w:pPr>
              <w:spacing w:after="0"/>
              <w:rPr>
                <w:sz w:val="1"/>
                <w:szCs w:val="1"/>
                <w:color w:val="auto"/>
              </w:rPr>
            </w:pPr>
          </w:p>
        </w:tc>
      </w:tr>
      <w:tr>
        <w:trPr>
          <w:trHeight w:val="35"/>
        </w:trPr>
        <w:tc>
          <w:tcPr>
            <w:tcW w:w="79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Adjustments to reconcile net loss to net cash provided by operating activities:</w:t>
            </w:r>
          </w:p>
        </w:tc>
        <w:tc>
          <w:tcPr>
            <w:tcW w:w="10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79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1020" w:type="dxa"/>
            <w:vAlign w:val="bottom"/>
          </w:tcPr>
          <w:p>
            <w:pPr>
              <w:spacing w:after="0"/>
              <w:rPr>
                <w:sz w:val="18"/>
                <w:szCs w:val="18"/>
                <w:color w:val="auto"/>
              </w:rPr>
            </w:pPr>
          </w:p>
        </w:tc>
        <w:tc>
          <w:tcPr>
            <w:tcW w:w="5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699</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846</w:t>
            </w:r>
          </w:p>
        </w:tc>
        <w:tc>
          <w:tcPr>
            <w:tcW w:w="0" w:type="dxa"/>
            <w:vAlign w:val="bottom"/>
          </w:tcPr>
          <w:p>
            <w:pPr>
              <w:spacing w:after="0"/>
              <w:rPr>
                <w:sz w:val="1"/>
                <w:szCs w:val="1"/>
                <w:color w:val="auto"/>
              </w:rPr>
            </w:pPr>
          </w:p>
        </w:tc>
      </w:tr>
      <w:tr>
        <w:trPr>
          <w:trHeight w:val="35"/>
        </w:trPr>
        <w:tc>
          <w:tcPr>
            <w:tcW w:w="79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79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Stock-based compensation</w:t>
            </w:r>
          </w:p>
        </w:tc>
        <w:tc>
          <w:tcPr>
            <w:tcW w:w="10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1,300</w:t>
            </w:r>
          </w:p>
        </w:tc>
        <w:tc>
          <w:tcPr>
            <w:tcW w:w="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1,577</w:t>
            </w:r>
          </w:p>
        </w:tc>
        <w:tc>
          <w:tcPr>
            <w:tcW w:w="0" w:type="dxa"/>
            <w:vAlign w:val="bottom"/>
          </w:tcPr>
          <w:p>
            <w:pPr>
              <w:spacing w:after="0"/>
              <w:rPr>
                <w:sz w:val="1"/>
                <w:szCs w:val="1"/>
                <w:color w:val="auto"/>
              </w:rPr>
            </w:pPr>
          </w:p>
        </w:tc>
      </w:tr>
      <w:tr>
        <w:trPr>
          <w:trHeight w:val="208"/>
        </w:trPr>
        <w:tc>
          <w:tcPr>
            <w:tcW w:w="79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Changes in operating assets and liabilities:</w:t>
            </w: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
        </w:trPr>
        <w:tc>
          <w:tcPr>
            <w:tcW w:w="79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79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Accounts receivable</w:t>
            </w:r>
          </w:p>
        </w:tc>
        <w:tc>
          <w:tcPr>
            <w:tcW w:w="10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(2,063)</w:t>
            </w:r>
          </w:p>
        </w:tc>
        <w:tc>
          <w:tcPr>
            <w:tcW w:w="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(843)</w:t>
            </w:r>
          </w:p>
        </w:tc>
        <w:tc>
          <w:tcPr>
            <w:tcW w:w="0" w:type="dxa"/>
            <w:vAlign w:val="bottom"/>
          </w:tcPr>
          <w:p>
            <w:pPr>
              <w:spacing w:after="0"/>
              <w:rPr>
                <w:sz w:val="1"/>
                <w:szCs w:val="1"/>
                <w:color w:val="auto"/>
              </w:rPr>
            </w:pPr>
          </w:p>
        </w:tc>
      </w:tr>
      <w:tr>
        <w:trPr>
          <w:trHeight w:val="208"/>
        </w:trPr>
        <w:tc>
          <w:tcPr>
            <w:tcW w:w="79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Inventory</w:t>
            </w: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(521)</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(1,881)</w:t>
            </w:r>
          </w:p>
        </w:tc>
        <w:tc>
          <w:tcPr>
            <w:tcW w:w="0" w:type="dxa"/>
            <w:vAlign w:val="bottom"/>
          </w:tcPr>
          <w:p>
            <w:pPr>
              <w:spacing w:after="0"/>
              <w:rPr>
                <w:sz w:val="1"/>
                <w:szCs w:val="1"/>
                <w:color w:val="auto"/>
              </w:rPr>
            </w:pPr>
          </w:p>
        </w:tc>
      </w:tr>
      <w:tr>
        <w:trPr>
          <w:trHeight w:val="35"/>
        </w:trPr>
        <w:tc>
          <w:tcPr>
            <w:tcW w:w="79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79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Prepaid expenses and other current assets</w:t>
            </w:r>
          </w:p>
        </w:tc>
        <w:tc>
          <w:tcPr>
            <w:tcW w:w="10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66</w:t>
            </w:r>
          </w:p>
        </w:tc>
        <w:tc>
          <w:tcPr>
            <w:tcW w:w="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235</w:t>
            </w:r>
          </w:p>
        </w:tc>
        <w:tc>
          <w:tcPr>
            <w:tcW w:w="0" w:type="dxa"/>
            <w:vAlign w:val="bottom"/>
          </w:tcPr>
          <w:p>
            <w:pPr>
              <w:spacing w:after="0"/>
              <w:rPr>
                <w:sz w:val="1"/>
                <w:szCs w:val="1"/>
                <w:color w:val="auto"/>
              </w:rPr>
            </w:pPr>
          </w:p>
        </w:tc>
      </w:tr>
      <w:tr>
        <w:trPr>
          <w:trHeight w:val="208"/>
        </w:trPr>
        <w:tc>
          <w:tcPr>
            <w:tcW w:w="79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Other assets</w:t>
            </w:r>
          </w:p>
        </w:tc>
        <w:tc>
          <w:tcPr>
            <w:tcW w:w="1020" w:type="dxa"/>
            <w:vAlign w:val="bottom"/>
          </w:tcPr>
          <w:p>
            <w:pPr>
              <w:spacing w:after="0"/>
              <w:rPr>
                <w:sz w:val="18"/>
                <w:szCs w:val="18"/>
                <w:color w:val="auto"/>
              </w:rPr>
            </w:pPr>
          </w:p>
        </w:tc>
        <w:tc>
          <w:tcPr>
            <w:tcW w:w="5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30</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w:t>
            </w:r>
          </w:p>
        </w:tc>
        <w:tc>
          <w:tcPr>
            <w:tcW w:w="0" w:type="dxa"/>
            <w:vAlign w:val="bottom"/>
          </w:tcPr>
          <w:p>
            <w:pPr>
              <w:spacing w:after="0"/>
              <w:rPr>
                <w:sz w:val="1"/>
                <w:szCs w:val="1"/>
                <w:color w:val="auto"/>
              </w:rPr>
            </w:pPr>
          </w:p>
        </w:tc>
      </w:tr>
      <w:tr>
        <w:trPr>
          <w:trHeight w:val="35"/>
        </w:trPr>
        <w:tc>
          <w:tcPr>
            <w:tcW w:w="79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79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Accounts payable</w:t>
            </w:r>
          </w:p>
        </w:tc>
        <w:tc>
          <w:tcPr>
            <w:tcW w:w="10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1,575</w:t>
            </w:r>
          </w:p>
        </w:tc>
        <w:tc>
          <w:tcPr>
            <w:tcW w:w="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1,066</w:t>
            </w:r>
          </w:p>
        </w:tc>
        <w:tc>
          <w:tcPr>
            <w:tcW w:w="0" w:type="dxa"/>
            <w:vAlign w:val="bottom"/>
          </w:tcPr>
          <w:p>
            <w:pPr>
              <w:spacing w:after="0"/>
              <w:rPr>
                <w:sz w:val="1"/>
                <w:szCs w:val="1"/>
                <w:color w:val="auto"/>
              </w:rPr>
            </w:pPr>
          </w:p>
        </w:tc>
      </w:tr>
      <w:tr>
        <w:trPr>
          <w:trHeight w:val="208"/>
        </w:trPr>
        <w:tc>
          <w:tcPr>
            <w:tcW w:w="79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Accrued liabilities</w:t>
            </w:r>
          </w:p>
        </w:tc>
        <w:tc>
          <w:tcPr>
            <w:tcW w:w="1020" w:type="dxa"/>
            <w:vAlign w:val="bottom"/>
          </w:tcPr>
          <w:p>
            <w:pPr>
              <w:spacing w:after="0"/>
              <w:rPr>
                <w:sz w:val="18"/>
                <w:szCs w:val="18"/>
                <w:color w:val="auto"/>
              </w:rPr>
            </w:pPr>
          </w:p>
        </w:tc>
        <w:tc>
          <w:tcPr>
            <w:tcW w:w="5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948</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(103)</w:t>
            </w:r>
          </w:p>
        </w:tc>
        <w:tc>
          <w:tcPr>
            <w:tcW w:w="0" w:type="dxa"/>
            <w:vAlign w:val="bottom"/>
          </w:tcPr>
          <w:p>
            <w:pPr>
              <w:spacing w:after="0"/>
              <w:rPr>
                <w:sz w:val="1"/>
                <w:szCs w:val="1"/>
                <w:color w:val="auto"/>
              </w:rPr>
            </w:pPr>
          </w:p>
        </w:tc>
      </w:tr>
      <w:tr>
        <w:trPr>
          <w:trHeight w:val="35"/>
        </w:trPr>
        <w:tc>
          <w:tcPr>
            <w:tcW w:w="79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79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Deferred revenue</w:t>
            </w:r>
          </w:p>
        </w:tc>
        <w:tc>
          <w:tcPr>
            <w:tcW w:w="10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1,062</w:t>
            </w:r>
          </w:p>
        </w:tc>
        <w:tc>
          <w:tcPr>
            <w:tcW w:w="0" w:type="dxa"/>
            <w:vAlign w:val="bottom"/>
          </w:tcPr>
          <w:p>
            <w:pPr>
              <w:spacing w:after="0"/>
              <w:rPr>
                <w:sz w:val="1"/>
                <w:szCs w:val="1"/>
                <w:color w:val="auto"/>
              </w:rPr>
            </w:pPr>
          </w:p>
        </w:tc>
      </w:tr>
      <w:tr>
        <w:trPr>
          <w:trHeight w:val="208"/>
        </w:trPr>
        <w:tc>
          <w:tcPr>
            <w:tcW w:w="79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Contract obligations</w:t>
            </w: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(1,181)</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564</w:t>
            </w:r>
          </w:p>
        </w:tc>
        <w:tc>
          <w:tcPr>
            <w:tcW w:w="0" w:type="dxa"/>
            <w:vAlign w:val="bottom"/>
          </w:tcPr>
          <w:p>
            <w:pPr>
              <w:spacing w:after="0"/>
              <w:rPr>
                <w:sz w:val="1"/>
                <w:szCs w:val="1"/>
                <w:color w:val="auto"/>
              </w:rPr>
            </w:pPr>
          </w:p>
        </w:tc>
      </w:tr>
      <w:tr>
        <w:trPr>
          <w:trHeight w:val="35"/>
        </w:trPr>
        <w:tc>
          <w:tcPr>
            <w:tcW w:w="79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79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Lease liabilities, net</w:t>
            </w:r>
          </w:p>
        </w:tc>
        <w:tc>
          <w:tcPr>
            <w:tcW w:w="10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10</w:t>
            </w:r>
          </w:p>
        </w:tc>
        <w:tc>
          <w:tcPr>
            <w:tcW w:w="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w:t>
            </w:r>
          </w:p>
        </w:tc>
        <w:tc>
          <w:tcPr>
            <w:tcW w:w="0" w:type="dxa"/>
            <w:vAlign w:val="bottom"/>
          </w:tcPr>
          <w:p>
            <w:pPr>
              <w:spacing w:after="0"/>
              <w:rPr>
                <w:sz w:val="1"/>
                <w:szCs w:val="1"/>
                <w:color w:val="auto"/>
              </w:rPr>
            </w:pPr>
          </w:p>
        </w:tc>
      </w:tr>
      <w:tr>
        <w:trPr>
          <w:trHeight w:val="208"/>
        </w:trPr>
        <w:tc>
          <w:tcPr>
            <w:tcW w:w="7980" w:type="dxa"/>
            <w:vAlign w:val="bottom"/>
          </w:tcPr>
          <w:p>
            <w:pPr>
              <w:ind w:left="100"/>
              <w:spacing w:after="0"/>
              <w:rPr>
                <w:sz w:val="20"/>
                <w:szCs w:val="20"/>
                <w:color w:val="auto"/>
              </w:rPr>
            </w:pPr>
            <w:r>
              <w:rPr>
                <w:rFonts w:ascii="Times New Roman" w:cs="Times New Roman" w:eastAsia="Times New Roman" w:hAnsi="Times New Roman"/>
                <w:sz w:val="15"/>
                <w:szCs w:val="15"/>
                <w:color w:val="auto"/>
              </w:rPr>
              <w:t>Long-term income tax liability</w:t>
            </w:r>
          </w:p>
        </w:tc>
        <w:tc>
          <w:tcPr>
            <w:tcW w:w="1020" w:type="dxa"/>
            <w:vAlign w:val="bottom"/>
          </w:tcPr>
          <w:p>
            <w:pPr>
              <w:spacing w:after="0"/>
              <w:rPr>
                <w:sz w:val="18"/>
                <w:szCs w:val="18"/>
                <w:color w:val="auto"/>
              </w:rPr>
            </w:pPr>
          </w:p>
        </w:tc>
        <w:tc>
          <w:tcPr>
            <w:tcW w:w="5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124</w:t>
            </w:r>
          </w:p>
        </w:tc>
        <w:tc>
          <w:tcPr>
            <w:tcW w:w="0" w:type="dxa"/>
            <w:vAlign w:val="bottom"/>
          </w:tcPr>
          <w:p>
            <w:pPr>
              <w:spacing w:after="0"/>
              <w:rPr>
                <w:sz w:val="1"/>
                <w:szCs w:val="1"/>
                <w:color w:val="auto"/>
              </w:rPr>
            </w:pPr>
          </w:p>
        </w:tc>
      </w:tr>
      <w:tr>
        <w:trPr>
          <w:trHeight w:val="35"/>
        </w:trPr>
        <w:tc>
          <w:tcPr>
            <w:tcW w:w="798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79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Net cash provided by operating activities</w:t>
            </w:r>
          </w:p>
        </w:tc>
        <w:tc>
          <w:tcPr>
            <w:tcW w:w="10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570</w:t>
            </w:r>
          </w:p>
        </w:tc>
        <w:tc>
          <w:tcPr>
            <w:tcW w:w="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1,440</w:t>
            </w:r>
          </w:p>
        </w:tc>
        <w:tc>
          <w:tcPr>
            <w:tcW w:w="0" w:type="dxa"/>
            <w:vAlign w:val="bottom"/>
          </w:tcPr>
          <w:p>
            <w:pPr>
              <w:spacing w:after="0"/>
              <w:rPr>
                <w:sz w:val="1"/>
                <w:szCs w:val="1"/>
                <w:color w:val="auto"/>
              </w:rPr>
            </w:pPr>
          </w:p>
        </w:tc>
      </w:tr>
      <w:tr>
        <w:trPr>
          <w:trHeight w:val="188"/>
        </w:trPr>
        <w:tc>
          <w:tcPr>
            <w:tcW w:w="79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from investing activities</w:t>
            </w:r>
          </w:p>
        </w:tc>
        <w:tc>
          <w:tcPr>
            <w:tcW w:w="10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79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Purchases of property and equipment</w:t>
            </w:r>
          </w:p>
        </w:tc>
        <w:tc>
          <w:tcPr>
            <w:tcW w:w="10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(4,355)</w:t>
            </w:r>
          </w:p>
        </w:tc>
        <w:tc>
          <w:tcPr>
            <w:tcW w:w="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(913)</w:t>
            </w:r>
          </w:p>
        </w:tc>
        <w:tc>
          <w:tcPr>
            <w:tcW w:w="0" w:type="dxa"/>
            <w:vAlign w:val="bottom"/>
          </w:tcPr>
          <w:p>
            <w:pPr>
              <w:spacing w:after="0"/>
              <w:rPr>
                <w:sz w:val="1"/>
                <w:szCs w:val="1"/>
                <w:color w:val="auto"/>
              </w:rPr>
            </w:pPr>
          </w:p>
        </w:tc>
      </w:tr>
      <w:tr>
        <w:trPr>
          <w:trHeight w:val="208"/>
        </w:trPr>
        <w:tc>
          <w:tcPr>
            <w:tcW w:w="79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Purchases of intangible assets</w:t>
            </w:r>
          </w:p>
        </w:tc>
        <w:tc>
          <w:tcPr>
            <w:tcW w:w="10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(479)</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(478)</w:t>
            </w:r>
          </w:p>
        </w:tc>
        <w:tc>
          <w:tcPr>
            <w:tcW w:w="0" w:type="dxa"/>
            <w:vAlign w:val="bottom"/>
          </w:tcPr>
          <w:p>
            <w:pPr>
              <w:spacing w:after="0"/>
              <w:rPr>
                <w:sz w:val="1"/>
                <w:szCs w:val="1"/>
                <w:color w:val="auto"/>
              </w:rPr>
            </w:pPr>
          </w:p>
        </w:tc>
      </w:tr>
      <w:tr>
        <w:trPr>
          <w:trHeight w:val="35"/>
        </w:trPr>
        <w:tc>
          <w:tcPr>
            <w:tcW w:w="798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79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Net cash used in investing activities</w:t>
            </w:r>
          </w:p>
        </w:tc>
        <w:tc>
          <w:tcPr>
            <w:tcW w:w="10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(4,834)</w:t>
            </w:r>
          </w:p>
        </w:tc>
        <w:tc>
          <w:tcPr>
            <w:tcW w:w="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(1,391)</w:t>
            </w:r>
          </w:p>
        </w:tc>
        <w:tc>
          <w:tcPr>
            <w:tcW w:w="0" w:type="dxa"/>
            <w:vAlign w:val="bottom"/>
          </w:tcPr>
          <w:p>
            <w:pPr>
              <w:spacing w:after="0"/>
              <w:rPr>
                <w:sz w:val="1"/>
                <w:szCs w:val="1"/>
                <w:color w:val="auto"/>
              </w:rPr>
            </w:pPr>
          </w:p>
        </w:tc>
      </w:tr>
      <w:tr>
        <w:trPr>
          <w:trHeight w:val="188"/>
        </w:trPr>
        <w:tc>
          <w:tcPr>
            <w:tcW w:w="798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Cash flows from financing activities</w:t>
            </w:r>
          </w:p>
        </w:tc>
        <w:tc>
          <w:tcPr>
            <w:tcW w:w="10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79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Payments on finance leases</w:t>
            </w:r>
          </w:p>
        </w:tc>
        <w:tc>
          <w:tcPr>
            <w:tcW w:w="10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w:t>
            </w:r>
          </w:p>
        </w:tc>
        <w:tc>
          <w:tcPr>
            <w:tcW w:w="0" w:type="dxa"/>
            <w:vAlign w:val="bottom"/>
          </w:tcPr>
          <w:p>
            <w:pPr>
              <w:spacing w:after="0"/>
              <w:rPr>
                <w:sz w:val="1"/>
                <w:szCs w:val="1"/>
                <w:color w:val="auto"/>
              </w:rPr>
            </w:pPr>
          </w:p>
        </w:tc>
      </w:tr>
      <w:tr>
        <w:trPr>
          <w:trHeight w:val="208"/>
        </w:trPr>
        <w:tc>
          <w:tcPr>
            <w:tcW w:w="79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Proceeds from exercise of stock options and purchase of shares in employee stock purchase plan</w:t>
            </w:r>
          </w:p>
        </w:tc>
        <w:tc>
          <w:tcPr>
            <w:tcW w:w="1020" w:type="dxa"/>
            <w:vAlign w:val="bottom"/>
          </w:tcPr>
          <w:p>
            <w:pPr>
              <w:spacing w:after="0"/>
              <w:rPr>
                <w:sz w:val="18"/>
                <w:szCs w:val="18"/>
                <w:color w:val="auto"/>
              </w:rPr>
            </w:pPr>
          </w:p>
        </w:tc>
        <w:tc>
          <w:tcPr>
            <w:tcW w:w="5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324</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w:t>
            </w:r>
          </w:p>
        </w:tc>
        <w:tc>
          <w:tcPr>
            <w:tcW w:w="0" w:type="dxa"/>
            <w:vAlign w:val="bottom"/>
          </w:tcPr>
          <w:p>
            <w:pPr>
              <w:spacing w:after="0"/>
              <w:rPr>
                <w:sz w:val="1"/>
                <w:szCs w:val="1"/>
                <w:color w:val="auto"/>
              </w:rPr>
            </w:pPr>
          </w:p>
        </w:tc>
      </w:tr>
      <w:tr>
        <w:trPr>
          <w:trHeight w:val="35"/>
        </w:trPr>
        <w:tc>
          <w:tcPr>
            <w:tcW w:w="798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79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Net cash provided by financing activities</w:t>
            </w:r>
          </w:p>
        </w:tc>
        <w:tc>
          <w:tcPr>
            <w:tcW w:w="10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308</w:t>
            </w:r>
          </w:p>
        </w:tc>
        <w:tc>
          <w:tcPr>
            <w:tcW w:w="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0" w:type="dxa"/>
            <w:vAlign w:val="bottom"/>
          </w:tcPr>
          <w:p>
            <w:pPr>
              <w:spacing w:after="0"/>
              <w:rPr>
                <w:sz w:val="1"/>
                <w:szCs w:val="1"/>
                <w:color w:val="auto"/>
              </w:rPr>
            </w:pPr>
          </w:p>
        </w:tc>
      </w:tr>
      <w:tr>
        <w:trPr>
          <w:trHeight w:val="201"/>
        </w:trPr>
        <w:tc>
          <w:tcPr>
            <w:tcW w:w="79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(decrease) increase in cash and cash equivalents</w:t>
            </w:r>
          </w:p>
        </w:tc>
        <w:tc>
          <w:tcPr>
            <w:tcW w:w="10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(3,956)</w:t>
            </w:r>
          </w:p>
        </w:tc>
        <w:tc>
          <w:tcPr>
            <w:tcW w:w="8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61</w:t>
            </w:r>
          </w:p>
        </w:tc>
        <w:tc>
          <w:tcPr>
            <w:tcW w:w="0" w:type="dxa"/>
            <w:vAlign w:val="bottom"/>
          </w:tcPr>
          <w:p>
            <w:pPr>
              <w:spacing w:after="0"/>
              <w:rPr>
                <w:sz w:val="1"/>
                <w:szCs w:val="1"/>
                <w:color w:val="auto"/>
              </w:rPr>
            </w:pPr>
          </w:p>
        </w:tc>
      </w:tr>
      <w:tr>
        <w:trPr>
          <w:trHeight w:val="35"/>
        </w:trPr>
        <w:tc>
          <w:tcPr>
            <w:tcW w:w="79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and cash equivalents at beginning of period</w:t>
            </w:r>
          </w:p>
        </w:tc>
        <w:tc>
          <w:tcPr>
            <w:tcW w:w="10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44,450</w:t>
            </w: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42,097</w:t>
            </w:r>
          </w:p>
        </w:tc>
        <w:tc>
          <w:tcPr>
            <w:tcW w:w="0" w:type="dxa"/>
            <w:vAlign w:val="bottom"/>
          </w:tcPr>
          <w:p>
            <w:pPr>
              <w:spacing w:after="0"/>
              <w:rPr>
                <w:sz w:val="1"/>
                <w:szCs w:val="1"/>
                <w:color w:val="auto"/>
              </w:rPr>
            </w:pPr>
          </w:p>
        </w:tc>
      </w:tr>
      <w:tr>
        <w:trPr>
          <w:trHeight w:val="232"/>
        </w:trPr>
        <w:tc>
          <w:tcPr>
            <w:tcW w:w="79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and cash equivalents at end of period</w:t>
            </w:r>
          </w:p>
        </w:tc>
        <w:tc>
          <w:tcPr>
            <w:tcW w:w="1020" w:type="dxa"/>
            <w:vAlign w:val="bottom"/>
            <w:tcBorders>
              <w:top w:val="single" w:sz="8" w:color="auto"/>
              <w:bottom w:val="single" w:sz="8" w:color="auto"/>
            </w:tcBorders>
          </w:tcPr>
          <w:p>
            <w:pPr>
              <w:jc w:val="right"/>
              <w:ind w:right="845"/>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40,494</w:t>
            </w:r>
          </w:p>
        </w:tc>
        <w:tc>
          <w:tcPr>
            <w:tcW w:w="80" w:type="dxa"/>
            <w:vAlign w:val="bottom"/>
          </w:tcPr>
          <w:p>
            <w:pPr>
              <w:spacing w:after="0"/>
              <w:rPr>
                <w:sz w:val="20"/>
                <w:szCs w:val="20"/>
                <w:color w:val="auto"/>
              </w:rPr>
            </w:pPr>
          </w:p>
        </w:tc>
        <w:tc>
          <w:tcPr>
            <w:tcW w:w="1040" w:type="dxa"/>
            <w:vAlign w:val="bottom"/>
            <w:tcBorders>
              <w:top w:val="single" w:sz="8" w:color="auto"/>
              <w:bottom w:val="single" w:sz="8" w:color="auto"/>
            </w:tcBorders>
          </w:tcPr>
          <w:p>
            <w:pPr>
              <w:jc w:val="right"/>
              <w:ind w:right="864"/>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42,158</w:t>
            </w:r>
          </w:p>
        </w:tc>
        <w:tc>
          <w:tcPr>
            <w:tcW w:w="0" w:type="dxa"/>
            <w:vAlign w:val="bottom"/>
          </w:tcPr>
          <w:p>
            <w:pPr>
              <w:spacing w:after="0"/>
              <w:rPr>
                <w:sz w:val="1"/>
                <w:szCs w:val="1"/>
                <w:color w:val="auto"/>
              </w:rPr>
            </w:pP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b w:val="1"/>
                <w:bCs w:val="1"/>
                <w:color w:val="auto"/>
              </w:rPr>
              <w:t>Supplementary cash flow information:</w:t>
            </w:r>
          </w:p>
        </w:tc>
        <w:tc>
          <w:tcPr>
            <w:tcW w:w="10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79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Operating cash flows paid for operating leases</w:t>
            </w:r>
          </w:p>
        </w:tc>
        <w:tc>
          <w:tcPr>
            <w:tcW w:w="1020" w:type="dxa"/>
            <w:vAlign w:val="bottom"/>
            <w:tcBorders>
              <w:bottom w:val="single" w:sz="8" w:color="auto"/>
            </w:tcBorders>
          </w:tcPr>
          <w:p>
            <w:pPr>
              <w:jc w:val="right"/>
              <w:ind w:right="845"/>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357</w:t>
            </w:r>
          </w:p>
        </w:tc>
        <w:tc>
          <w:tcPr>
            <w:tcW w:w="80" w:type="dxa"/>
            <w:vAlign w:val="bottom"/>
          </w:tcPr>
          <w:p>
            <w:pPr>
              <w:spacing w:after="0"/>
              <w:rPr>
                <w:sz w:val="20"/>
                <w:szCs w:val="20"/>
                <w:color w:val="auto"/>
              </w:rPr>
            </w:pPr>
          </w:p>
        </w:tc>
        <w:tc>
          <w:tcPr>
            <w:tcW w:w="1040" w:type="dxa"/>
            <w:vAlign w:val="bottom"/>
            <w:tcBorders>
              <w:bottom w:val="single" w:sz="8" w:color="auto"/>
            </w:tcBorders>
          </w:tcPr>
          <w:p>
            <w:pPr>
              <w:jc w:val="right"/>
              <w:ind w:right="864"/>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353</w:t>
            </w:r>
          </w:p>
        </w:tc>
        <w:tc>
          <w:tcPr>
            <w:tcW w:w="0" w:type="dxa"/>
            <w:vAlign w:val="bottom"/>
          </w:tcPr>
          <w:p>
            <w:pPr>
              <w:spacing w:after="0"/>
              <w:rPr>
                <w:sz w:val="1"/>
                <w:szCs w:val="1"/>
                <w:color w:val="auto"/>
              </w:rPr>
            </w:pP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Financing cash flows paid for finance leases</w:t>
            </w:r>
          </w:p>
        </w:tc>
        <w:tc>
          <w:tcPr>
            <w:tcW w:w="1020" w:type="dxa"/>
            <w:vAlign w:val="bottom"/>
            <w:tcBorders>
              <w:bottom w:val="single" w:sz="8" w:color="auto"/>
            </w:tcBorders>
            <w:shd w:val="clear" w:color="auto" w:fill="CCEEFF"/>
          </w:tcPr>
          <w:p>
            <w:pPr>
              <w:jc w:val="right"/>
              <w:ind w:right="845"/>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16</w:t>
            </w: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864"/>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5"/>
                <w:szCs w:val="15"/>
                <w:b w:val="1"/>
                <w:bCs w:val="1"/>
                <w:color w:val="auto"/>
              </w:rPr>
              <w:t>Non-cash investing and financing activities:</w:t>
            </w: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7980" w:type="dxa"/>
            <w:vAlign w:val="bottom"/>
            <w:vMerge w:val="continue"/>
          </w:tcPr>
          <w:p>
            <w:pPr>
              <w:spacing w:after="0"/>
              <w:rPr>
                <w:sz w:val="13"/>
                <w:szCs w:val="13"/>
                <w:color w:val="auto"/>
              </w:rPr>
            </w:pPr>
          </w:p>
        </w:tc>
        <w:tc>
          <w:tcPr>
            <w:tcW w:w="10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
        </w:trPr>
        <w:tc>
          <w:tcPr>
            <w:tcW w:w="79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4"/>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Purchases of property and equipment in accounts payable and accrued liabilities</w:t>
            </w:r>
          </w:p>
        </w:tc>
        <w:tc>
          <w:tcPr>
            <w:tcW w:w="1020" w:type="dxa"/>
            <w:vAlign w:val="bottom"/>
            <w:tcBorders>
              <w:bottom w:val="single" w:sz="8" w:color="auto"/>
            </w:tcBorders>
            <w:shd w:val="clear" w:color="auto" w:fill="CCEEFF"/>
          </w:tcPr>
          <w:p>
            <w:pPr>
              <w:jc w:val="right"/>
              <w:ind w:right="845"/>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485</w:t>
            </w:r>
          </w:p>
        </w:tc>
        <w:tc>
          <w:tcPr>
            <w:tcW w:w="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864"/>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230</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EVERSPIN TECHNOLOGIES,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Nature of Business</w:t>
      </w:r>
    </w:p>
    <w:p>
      <w:pPr>
        <w:spacing w:after="0" w:line="22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Everspin Technologies, Inc. (“we”, “our”, “us”, “Everspin Technologies”, “Everspin”, or the “Company”) was incorporated in Delaware on May 16, 2008. The Company’s magnetoresistive random access memory (MRAM) solutions offer the persistence of non-volatile memory with the speed and endurance of random access memory and enable the protection of mission critical data particularly in the event of power interruption or failure. The Company’s MRAM solutions allow its customers in key markets, such as industrial, medical, automotive/transportation, aerospace, and data center, to design high performance, power-efficient and reliable systems without the need for bulky batteries or capacitors.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financial statements have been prepared in accordance with generally accepted accounting principles in the United States of America (GAAP) and applicable rules and regulations of the Securities and Exchange Commission (SEC) regarding interim financial reporting. As permitted under those rules, certain footnotes or other financial information that are normally required by GAAP have been condensed or omitted, and accordingly the balance sheet as of December 31, 2025, has been derived from the audited financial statements at that date but does not include all of the information required by GAAP for complete financial statements. These unaudited interim condensed financial statements have been prepared on the same basis as the Company’s annual financial statements and, in the opinion of management, reflect all adjustments (consisting only of normal recurring adjustments) that are necessary for a fair statement of the Company’s financial information. The results of operations for the three months ended March 31, 2026, are not necessarily indicative of the results to be expected for the year ending December 31, 2026 or for any other interim period or for any other future year.</w:t>
      </w:r>
    </w:p>
    <w:p>
      <w:pPr>
        <w:spacing w:after="0" w:line="18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accompanying condensed financial statements and related financial information should be read in conjunction with the audited financial statements and the related notes thereto for the year ended December 31, 2025, included in the Company’s Annual Report on Form 10-K filed with the SEC.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The preparation of the condensed financial statements in conformity with GAAP requires management to make estimates and assumptions that affect the reported amounts of assets and liabilities and disclosure of contingent assets and liabilities as of the date of the condensed financial statements and the reported amounts of revenues and expenses during the reporting period. On an ongoing basis, management evaluates its estimates, including those related to revenue recognition, fair value of assets and liabilities, inventory net realizable value, deferred tax assets and related valuation allowances, and stock-based compensation. The Company believes its estimates and assumptions are reasonable; however, actual results may differ from the Company’s estimates.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229"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The Company’s MRAM technology solutions are sold as products and services through MRAM-based products, licenses and royalties of MRAM and magnetic sensor technology and backend foundry and design services. The Company identifies and manages the business activities in one reportable segment. The Company’s Chief Executive Officer is the Chief Operating Decision Maker (CODM). The CODM utilizes the Company’s long-range plan, which includes product development roadmaps and long-range financial models, as a key input to resource allocation. The CODM makes decisions on resource allocation, assesses performance of the business, and monitors budget versus actual results using net income.</w:t>
      </w:r>
    </w:p>
    <w:p>
      <w:pPr>
        <w:spacing w:after="0" w:line="183"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Significant segment expenses within net income are those separately presented on the Company’s statements of operations and comprehensive loss, which include cost of sales, research and development, general and administrative, and sales and marketing expenses.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Company considers all highly liquid, short-term investments with maturity dates of 90 days or less at the date of purchase to be cash equivalents. The Company’s cash equivalents consist solely of money market funds.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establishes an allowance for product returns. The Company analyzes historical returns, current economic trends and changes in customer demand and acceptance of products when evaluating the adequacy of sales returns. Returns are processed as credits on future purchases and, as a result, the allowance is recorded against the balance of trade accounts receivable. In addition, the Company from time to time may establish an allowance for estimated price adjustments related to its distributor agreements. The Company estimates credits to distributors based on the historical rate of credits provided to distributors relative to sales and evaluation of current market conditions.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 net consisted of the following (in thousands):</w:t>
      </w:r>
    </w:p>
    <w:p>
      <w:pPr>
        <w:spacing w:after="0" w:line="273" w:lineRule="exact"/>
        <w:rPr>
          <w:sz w:val="20"/>
          <w:szCs w:val="20"/>
          <w:color w:val="auto"/>
        </w:rPr>
      </w:pPr>
    </w:p>
    <w:tbl>
      <w:tblPr>
        <w:tblLayout w:type="fixed"/>
        <w:tblInd w:w="1280" w:type="dxa"/>
        <w:tblCellMar>
          <w:top w:w="0" w:type="dxa"/>
          <w:left w:w="0" w:type="dxa"/>
          <w:bottom w:w="0" w:type="dxa"/>
          <w:right w:w="0" w:type="dxa"/>
        </w:tblCellMar>
      </w:tblPr>
      <w:tr>
        <w:trPr>
          <w:trHeight w:val="175"/>
        </w:trPr>
        <w:tc>
          <w:tcPr>
            <w:tcW w:w="5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5"/>
                <w:szCs w:val="15"/>
                <w:color w:val="auto"/>
              </w:rPr>
            </w:pPr>
          </w:p>
        </w:tc>
        <w:tc>
          <w:tcPr>
            <w:tcW w:w="130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5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55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244"/>
        </w:trPr>
        <w:tc>
          <w:tcPr>
            <w:tcW w:w="5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accounts receivable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8,231</w:t>
            </w:r>
          </w:p>
        </w:tc>
      </w:tr>
      <w:tr>
        <w:trPr>
          <w:trHeight w:val="243"/>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Unbilled accounts receivable</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27"/>
        </w:trPr>
        <w:tc>
          <w:tcPr>
            <w:tcW w:w="5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5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product returns and price adjustments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r>
      <w:tr>
        <w:trPr>
          <w:trHeight w:val="263"/>
        </w:trPr>
        <w:tc>
          <w:tcPr>
            <w:tcW w:w="5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receivable, net</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10,164</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8,101</w:t>
            </w:r>
          </w:p>
        </w:tc>
      </w:tr>
      <w:tr>
        <w:trPr>
          <w:trHeight w:val="20"/>
        </w:trPr>
        <w:tc>
          <w:tcPr>
            <w:tcW w:w="5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expose the Company to a concentration of credit risk consist principally of cash and cash equivalents that are held by a financial institution in the United States and accounts receivable. Amounts on deposit with a financial institution may at times exceed federally insured limits.</w:t>
      </w:r>
    </w:p>
    <w:p>
      <w:pPr>
        <w:spacing w:after="0" w:line="176" w:lineRule="exact"/>
        <w:rPr>
          <w:sz w:val="20"/>
          <w:szCs w:val="20"/>
          <w:color w:val="auto"/>
        </w:rPr>
      </w:pPr>
    </w:p>
    <w:p>
      <w:pPr>
        <w:ind w:right="280"/>
        <w:spacing w:after="0" w:line="281" w:lineRule="auto"/>
        <w:rPr>
          <w:sz w:val="20"/>
          <w:szCs w:val="20"/>
          <w:color w:val="auto"/>
        </w:rPr>
      </w:pPr>
      <w:r>
        <w:rPr>
          <w:rFonts w:ascii="Times New Roman" w:cs="Times New Roman" w:eastAsia="Times New Roman" w:hAnsi="Times New Roman"/>
          <w:sz w:val="17"/>
          <w:szCs w:val="17"/>
          <w:color w:val="auto"/>
        </w:rPr>
        <w:t>Significant customers are those which represent more than 10% of the Company’s total revenue or net accounts receivable balance at each respective balance sheet date. For the purposes of this disclosure, the Company defines “customer” as the entity that is purchasing the products or licenses directly from the Company, which includes the distributors of the Company’s products in addition to end customers that the Company sells to directly. For each significant customer, revenue as a percentage of total revenue and accounts receivable as a percentage of total accounts receivable, net are as follows:</w:t>
      </w:r>
    </w:p>
    <w:p>
      <w:pPr>
        <w:spacing w:after="0" w:line="212" w:lineRule="exact"/>
        <w:rPr>
          <w:sz w:val="20"/>
          <w:szCs w:val="20"/>
          <w:color w:val="auto"/>
        </w:rPr>
      </w:pPr>
    </w:p>
    <w:tbl>
      <w:tblPr>
        <w:tblLayout w:type="fixed"/>
        <w:tblInd w:w="840" w:type="dxa"/>
        <w:tblCellMar>
          <w:top w:w="0" w:type="dxa"/>
          <w:left w:w="0" w:type="dxa"/>
          <w:bottom w:w="0" w:type="dxa"/>
          <w:right w:w="0" w:type="dxa"/>
        </w:tblCellMar>
      </w:tblPr>
      <w:tr>
        <w:trPr>
          <w:trHeight w:val="190"/>
        </w:trPr>
        <w:tc>
          <w:tcPr>
            <w:tcW w:w="3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80" w:type="dxa"/>
            <w:vAlign w:val="bottom"/>
            <w:gridSpan w:val="3"/>
          </w:tcPr>
          <w:p>
            <w:pPr>
              <w:ind w:left="126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40" w:type="dxa"/>
            <w:vAlign w:val="bottom"/>
            <w:gridSpan w:val="3"/>
          </w:tcPr>
          <w:p>
            <w:pPr>
              <w:jc w:val="right"/>
              <w:ind w:right="794"/>
              <w:spacing w:after="0"/>
              <w:rPr>
                <w:sz w:val="20"/>
                <w:szCs w:val="20"/>
                <w:color w:val="auto"/>
              </w:rPr>
            </w:pPr>
            <w:r>
              <w:rPr>
                <w:rFonts w:ascii="Times New Roman" w:cs="Times New Roman" w:eastAsia="Times New Roman" w:hAnsi="Times New Roman"/>
                <w:sz w:val="14"/>
                <w:szCs w:val="14"/>
                <w:b w:val="1"/>
                <w:bCs w:val="1"/>
                <w:color w:val="auto"/>
              </w:rPr>
              <w:t>Accounts Receivable</w:t>
            </w:r>
          </w:p>
        </w:tc>
        <w:tc>
          <w:tcPr>
            <w:tcW w:w="0" w:type="dxa"/>
            <w:vAlign w:val="bottom"/>
          </w:tcPr>
          <w:p>
            <w:pPr>
              <w:spacing w:after="0"/>
              <w:rPr>
                <w:sz w:val="1"/>
                <w:szCs w:val="1"/>
                <w:color w:val="auto"/>
              </w:rPr>
            </w:pPr>
          </w:p>
        </w:tc>
      </w:tr>
      <w:tr>
        <w:trPr>
          <w:trHeight w:val="37"/>
        </w:trPr>
        <w:tc>
          <w:tcPr>
            <w:tcW w:w="3320" w:type="dxa"/>
            <w:vAlign w:val="bottom"/>
          </w:tcPr>
          <w:p>
            <w:pPr>
              <w:spacing w:after="0"/>
              <w:rPr>
                <w:sz w:val="3"/>
                <w:szCs w:val="3"/>
                <w:color w:val="auto"/>
              </w:rPr>
            </w:pPr>
          </w:p>
        </w:tc>
        <w:tc>
          <w:tcPr>
            <w:tcW w:w="80" w:type="dxa"/>
            <w:vAlign w:val="bottom"/>
          </w:tcPr>
          <w:p>
            <w:pPr>
              <w:spacing w:after="0"/>
              <w:rPr>
                <w:sz w:val="3"/>
                <w:szCs w:val="3"/>
                <w:color w:val="auto"/>
              </w:rPr>
            </w:pPr>
          </w:p>
        </w:tc>
        <w:tc>
          <w:tcPr>
            <w:tcW w:w="3040" w:type="dxa"/>
            <w:vAlign w:val="bottom"/>
            <w:tcBorders>
              <w:bottom w:val="single" w:sz="8" w:color="auto"/>
            </w:tcBorders>
            <w:gridSpan w:val="4"/>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40" w:type="dxa"/>
            <w:vAlign w:val="bottom"/>
            <w:gridSpan w:val="4"/>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00" w:type="dxa"/>
            <w:vAlign w:val="bottom"/>
          </w:tcPr>
          <w:p>
            <w:pPr>
              <w:spacing w:after="0"/>
              <w:rPr>
                <w:sz w:val="16"/>
                <w:szCs w:val="16"/>
                <w:color w:val="auto"/>
              </w:rPr>
            </w:pPr>
          </w:p>
        </w:tc>
        <w:tc>
          <w:tcPr>
            <w:tcW w:w="156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560" w:type="dxa"/>
            <w:vAlign w:val="bottom"/>
            <w:gridSpan w:val="2"/>
            <w:vMerge w:val="continue"/>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400" w:type="dxa"/>
            <w:vAlign w:val="bottom"/>
            <w:gridSpan w:val="2"/>
          </w:tcPr>
          <w:p>
            <w:pPr>
              <w:ind w:left="1320"/>
              <w:spacing w:after="0"/>
              <w:rPr>
                <w:sz w:val="20"/>
                <w:szCs w:val="20"/>
                <w:color w:val="auto"/>
              </w:rPr>
            </w:pPr>
            <w:r>
              <w:rPr>
                <w:rFonts w:ascii="Times New Roman" w:cs="Times New Roman" w:eastAsia="Times New Roman" w:hAnsi="Times New Roman"/>
                <w:sz w:val="14"/>
                <w:szCs w:val="14"/>
                <w:b w:val="1"/>
                <w:bCs w:val="1"/>
                <w:color w:val="auto"/>
              </w:rPr>
              <w:t>Customers</w:t>
            </w:r>
          </w:p>
        </w:tc>
        <w:tc>
          <w:tcPr>
            <w:tcW w:w="1480" w:type="dxa"/>
            <w:vAlign w:val="bottom"/>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580" w:type="dxa"/>
            <w:vAlign w:val="bottom"/>
            <w:gridSpan w:val="2"/>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148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37"/>
        </w:trPr>
        <w:tc>
          <w:tcPr>
            <w:tcW w:w="33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34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A</w:t>
            </w:r>
          </w:p>
        </w:tc>
        <w:tc>
          <w:tcPr>
            <w:tcW w:w="148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11%</w:t>
            </w:r>
          </w:p>
        </w:tc>
        <w:tc>
          <w:tcPr>
            <w:tcW w:w="1580" w:type="dxa"/>
            <w:vAlign w:val="bottom"/>
            <w:tcBorders>
              <w:bottom w:val="single" w:sz="8" w:color="CCEEFF"/>
            </w:tcBorders>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43"/>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B</w:t>
            </w:r>
          </w:p>
        </w:tc>
        <w:tc>
          <w:tcPr>
            <w:tcW w:w="1480" w:type="dxa"/>
            <w:vAlign w:val="bottom"/>
          </w:tcPr>
          <w:p>
            <w:pPr>
              <w:jc w:val="right"/>
              <w:ind w:right="9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11%</w:t>
            </w:r>
          </w:p>
        </w:tc>
        <w:tc>
          <w:tcPr>
            <w:tcW w:w="158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4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C</w:t>
            </w:r>
          </w:p>
        </w:tc>
        <w:tc>
          <w:tcPr>
            <w:tcW w:w="1480" w:type="dxa"/>
            <w:vAlign w:val="bottom"/>
            <w:tcBorders>
              <w:bottom w:val="single" w:sz="8" w:color="CCEEFF"/>
            </w:tcBorders>
            <w:shd w:val="clear" w:color="auto" w:fill="CCEEFF"/>
          </w:tcPr>
          <w:p>
            <w:pPr>
              <w:jc w:val="right"/>
              <w:ind w:right="98"/>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D</w:t>
            </w:r>
          </w:p>
        </w:tc>
        <w:tc>
          <w:tcPr>
            <w:tcW w:w="1480" w:type="dxa"/>
            <w:vAlign w:val="bottom"/>
          </w:tcPr>
          <w:p>
            <w:pPr>
              <w:jc w:val="right"/>
              <w:ind w:right="9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19%</w:t>
            </w:r>
          </w:p>
        </w:tc>
        <w:tc>
          <w:tcPr>
            <w:tcW w:w="158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4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21" w:lineRule="exact"/>
        <w:rPr>
          <w:sz w:val="20"/>
          <w:szCs w:val="20"/>
          <w:color w:val="auto"/>
        </w:rPr>
      </w:pPr>
    </w:p>
    <w:p>
      <w:pPr>
        <w:ind w:left="640" w:hanging="632"/>
        <w:spacing w:after="0"/>
        <w:tabs>
          <w:tab w:leader="none" w:pos="6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Less than 10%</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Fair value is defined as an exit price, representing the amount that would be received to sell an asset, or paid to transfer a liability, in an orderly transaction between market participants. The framework for measuring fair value provides a three-tier hierarchy prioritizing inputs to valuation techniques used in measuring fair value as follows: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Observable inputs such as quoted prices for identical assets or liabilities in active markets;</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224790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2— Inputs, other than quoted prices for identical assets or liabilities in active markets, which are observable either directly or indirectly; and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Unobservable inputs in which there is little or no market data requiring the reporting entity to develop its own assumptions.</w:t>
      </w:r>
    </w:p>
    <w:p>
      <w:pPr>
        <w:spacing w:after="0" w:line="22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carrying value of accounts receivable, accounts payable, and other accruals readily convertible into cash approximate fair value because of the short-term nature of the instruments. The Company’s financial instruments consist of Level 1 assets. Where quoted prices are available in an active market, securities are classified as Level 1. Level 1 assets consist of highly liquid money market funds that are included in cash equivalents.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27"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 xml:space="preserve">The Company adopted Accounting Standards Update (ASU) 2025-05, </w:t>
      </w:r>
      <w:r>
        <w:rPr>
          <w:rFonts w:ascii="Times New Roman" w:cs="Times New Roman" w:eastAsia="Times New Roman" w:hAnsi="Times New Roman"/>
          <w:sz w:val="18"/>
          <w:szCs w:val="18"/>
          <w:i w:val="1"/>
          <w:iCs w:val="1"/>
          <w:color w:val="auto"/>
        </w:rPr>
        <w:t>Financial Instruments – Credit Losses (Topic 326): Measurement of Credit Losses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 Accounts Receivable and Contract Assets</w:t>
      </w:r>
      <w:r>
        <w:rPr>
          <w:rFonts w:ascii="Times New Roman" w:cs="Times New Roman" w:eastAsia="Times New Roman" w:hAnsi="Times New Roman"/>
          <w:sz w:val="18"/>
          <w:szCs w:val="18"/>
          <w:color w:val="auto"/>
        </w:rPr>
        <w:t>, which provides a practical expedient that all entities can use when estimating expected credit losses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current accounts receivable and current contract assets arising from transactions accounted for under Accounting Standards Codification (ASC) Topic 606. Under this practical expedient, an entity is allowed to assume that the current conditions it has applied in determining credit loss allowances for current accounts receivable and current contract assets remain unchanged for the remaining life of those assets. The guidance is effective for fiscal years beginning after December 15, 2025, and interim reporting periods within fiscal years beginning after December 15, 2025.</w:t>
      </w:r>
    </w:p>
    <w:p>
      <w:pPr>
        <w:spacing w:after="0" w:line="18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Company adopted ASU 2025-05 effective January 1, 2026, on a prospective basis. The adoption of ASU 2025-05 did not have a significant impact on the financial statements and related disclosures.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Under Evaluation</w:t>
      </w:r>
    </w:p>
    <w:p>
      <w:pPr>
        <w:spacing w:after="0" w:line="2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 xml:space="preserve">In November 2024, the Financial Accounting Standards Board (FASB) issued ASU 2024-03, </w:t>
      </w:r>
      <w:r>
        <w:rPr>
          <w:rFonts w:ascii="Times New Roman" w:cs="Times New Roman" w:eastAsia="Times New Roman" w:hAnsi="Times New Roman"/>
          <w:sz w:val="18"/>
          <w:szCs w:val="18"/>
          <w:i w:val="1"/>
          <w:iCs w:val="1"/>
          <w:color w:val="auto"/>
        </w:rPr>
        <w:t>Income Statement – Reporting Comprehensive Income</w:t>
      </w:r>
    </w:p>
    <w:p>
      <w:pPr>
        <w:spacing w:after="0" w:line="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 Expense Disaggregation Disclosures (Topic 220): Disaggregation of Income Statement Expenses</w:t>
      </w:r>
      <w:r>
        <w:rPr>
          <w:rFonts w:ascii="Times New Roman" w:cs="Times New Roman" w:eastAsia="Times New Roman" w:hAnsi="Times New Roman"/>
          <w:sz w:val="18"/>
          <w:szCs w:val="18"/>
          <w:color w:val="auto"/>
        </w:rPr>
        <w:t>, which requires additional disclosure of certain amounts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included in the expense captions presented on the statement of operations, as well as disclosures about selling expenses. ASU 2024-03 is effective for the Company’s annual reporting periods beginning after December 15, 2026 and interim reporting periods beginning after December 15, 2027, on a prospective basis, with the option for retrospective application. Early adoption is permitted for annual financial statements that have not yet been issued. The Company is currently evaluating the impact that the standard will have on its financial statements and related disclosures.</w:t>
      </w:r>
    </w:p>
    <w:p>
      <w:pPr>
        <w:spacing w:after="0" w:line="18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 xml:space="preserve">In September 2025, the FASB issued ASU No. 2025-06, </w:t>
      </w:r>
      <w:r>
        <w:rPr>
          <w:rFonts w:ascii="Times New Roman" w:cs="Times New Roman" w:eastAsia="Times New Roman" w:hAnsi="Times New Roman"/>
          <w:sz w:val="18"/>
          <w:szCs w:val="18"/>
          <w:i w:val="1"/>
          <w:iCs w:val="1"/>
          <w:color w:val="auto"/>
        </w:rPr>
        <w:t>Intangibles – Goodwill and Other – Internal-Use Software (Topic 350): Targeted Improvements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Accounting for Internal-Use Software</w:t>
      </w:r>
      <w:r>
        <w:rPr>
          <w:rFonts w:ascii="Times New Roman" w:cs="Times New Roman" w:eastAsia="Times New Roman" w:hAnsi="Times New Roman"/>
          <w:sz w:val="18"/>
          <w:szCs w:val="18"/>
          <w:color w:val="auto"/>
        </w:rPr>
        <w:t>, which updates guidance for recognizing software development costs to better align the accounting with how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software is developed. The update removes references to development stages, introduces a probable completion threshold, and incorporates website development costs into the internal-use software framework under ASC Topic 350. ASU 2025-06 is effective for annual reporting periods beginning after December 15, 2027, and interim reporting periods within those fiscal years, on a prospective basis, with the option for retrospective application. Early adoption is permitted for annual financial statements that have not yet been issued. The Company is currently evaluating the impact that the standard will have on its financial statements and related disclosures.</w:t>
      </w:r>
    </w:p>
    <w:p>
      <w:pPr>
        <w:spacing w:after="0" w:line="183"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18"/>
          <w:szCs w:val="18"/>
          <w:color w:val="auto"/>
        </w:rPr>
        <w:t xml:space="preserve">In December 2025, the FASB issued ASU No.2025-11, </w:t>
      </w:r>
      <w:r>
        <w:rPr>
          <w:rFonts w:ascii="Times New Roman" w:cs="Times New Roman" w:eastAsia="Times New Roman" w:hAnsi="Times New Roman"/>
          <w:sz w:val="18"/>
          <w:szCs w:val="18"/>
          <w:i w:val="1"/>
          <w:iCs w:val="1"/>
          <w:color w:val="auto"/>
        </w:rPr>
        <w:t>Interim Reporting (Topic 270) Narrow-Scope Improvements</w:t>
      </w:r>
      <w:r>
        <w:rPr>
          <w:rFonts w:ascii="Times New Roman" w:cs="Times New Roman" w:eastAsia="Times New Roman" w:hAnsi="Times New Roman"/>
          <w:sz w:val="18"/>
          <w:szCs w:val="18"/>
          <w:color w:val="auto"/>
        </w:rPr>
        <w:t>, which clarifies interim disclosure requirements and the applicability of Topic 270. The objective of the update is to provide clarity about current interim requirements. The amendments in this update also include a disclosure principle that requires entities to disclose events since the end of the last annual reporting period that have a material impact on the entity. The amendments in ASU 2025-11 are effective for interim periods within annual reporting periods beginning after December 15, 2027. Early adoption is permitted for annual financial statements that have not yet been issued. The Company is currently evaluating the impact that the standard will have on its financial statements and related disclosures.</w:t>
      </w:r>
    </w:p>
    <w:p>
      <w:pPr>
        <w:spacing w:after="0" w:line="18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In December 2025, the FASB issued ASU No.2025-12, </w:t>
      </w:r>
      <w:r>
        <w:rPr>
          <w:rFonts w:ascii="Times New Roman" w:cs="Times New Roman" w:eastAsia="Times New Roman" w:hAnsi="Times New Roman"/>
          <w:sz w:val="18"/>
          <w:szCs w:val="18"/>
          <w:i w:val="1"/>
          <w:iCs w:val="1"/>
          <w:color w:val="auto"/>
        </w:rPr>
        <w:t>Codification Improvements</w:t>
      </w:r>
      <w:r>
        <w:rPr>
          <w:rFonts w:ascii="Times New Roman" w:cs="Times New Roman" w:eastAsia="Times New Roman" w:hAnsi="Times New Roman"/>
          <w:sz w:val="18"/>
          <w:szCs w:val="18"/>
          <w:color w:val="auto"/>
        </w:rPr>
        <w:t>, which addresses suggestions received from stakeholders regarding the Accounting Standards Codification and makes other incremental improvements to GAAP. The update represents changes to the Codification that clarify, correct errors in or make other improvements to a variety of topics that are intended to make it easier to understand and apply. ASU 2025-12 is effective for fiscal years beginning after December 15, 2026 and interim periods within those fiscal years. The amendments to ASC 260 must be</w:t>
      </w: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applied retrospectively, while all other amendments may be applied prospectively or retrospectively. Early adoption is permitted for annual financial statements that have not yet been issued. The Company is currently evaluating the impact that the standard will have on its financial statements and related disclosures.</w:t>
      </w:r>
    </w:p>
    <w:p>
      <w:pPr>
        <w:spacing w:after="0" w:line="17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Company reviewed all other recently issued accounting pronouncements and concluded that they were either not applicable or not expected to have a significant impact on the financial statements and related disclosures.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Statements of Operations and Comprehensive Loss Components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sells products to its distributors, original equipment manufacturers, original design manufacturers and contract manufacturers. The Company also recognizes revenue under licensing, patent, engineering services and royalty agreements with some customers.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Company’s revenues disaggregated by sales channel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80" w:type="dxa"/>
            <w:vAlign w:val="bottom"/>
          </w:tcPr>
          <w:p>
            <w:pPr>
              <w:spacing w:after="0"/>
              <w:rPr>
                <w:sz w:val="16"/>
                <w:szCs w:val="16"/>
                <w:color w:val="auto"/>
              </w:rPr>
            </w:pPr>
          </w:p>
        </w:tc>
        <w:tc>
          <w:tcPr>
            <w:tcW w:w="2660" w:type="dxa"/>
            <w:vAlign w:val="bottom"/>
            <w:gridSpan w:val="4"/>
          </w:tcPr>
          <w:p>
            <w:pPr>
              <w:ind w:left="6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798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980" w:type="dxa"/>
            <w:vAlign w:val="bottom"/>
          </w:tcPr>
          <w:p>
            <w:pPr>
              <w:spacing w:after="0"/>
              <w:rPr>
                <w:sz w:val="16"/>
                <w:szCs w:val="16"/>
                <w:color w:val="auto"/>
              </w:rPr>
            </w:pPr>
          </w:p>
        </w:tc>
        <w:tc>
          <w:tcPr>
            <w:tcW w:w="980" w:type="dxa"/>
            <w:vAlign w:val="bottom"/>
          </w:tcPr>
          <w:p>
            <w:pPr>
              <w:ind w:left="660"/>
              <w:spacing w:after="0"/>
              <w:rPr>
                <w:sz w:val="20"/>
                <w:szCs w:val="20"/>
                <w:color w:val="auto"/>
              </w:rPr>
            </w:pPr>
            <w:r>
              <w:rPr>
                <w:rFonts w:ascii="Times New Roman" w:cs="Times New Roman" w:eastAsia="Times New Roman" w:hAnsi="Times New Roman"/>
                <w:sz w:val="14"/>
                <w:szCs w:val="14"/>
                <w:b w:val="1"/>
                <w:bCs w:val="1"/>
                <w:color w:val="auto"/>
              </w:rPr>
              <w:t>2026</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798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Distributor</w:t>
            </w:r>
          </w:p>
        </w:tc>
        <w:tc>
          <w:tcPr>
            <w:tcW w:w="980" w:type="dxa"/>
            <w:vAlign w:val="bottom"/>
            <w:tcBorders>
              <w:bottom w:val="single" w:sz="8" w:color="CCEEFF"/>
            </w:tcBorders>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13,322</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7,918</w:t>
            </w: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Non-distributor</w:t>
            </w:r>
          </w:p>
        </w:tc>
        <w:tc>
          <w:tcPr>
            <w:tcW w:w="9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5,220</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9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revenue</w:t>
            </w:r>
          </w:p>
        </w:tc>
        <w:tc>
          <w:tcPr>
            <w:tcW w:w="980" w:type="dxa"/>
            <w:vAlign w:val="bottom"/>
            <w:tcBorders>
              <w:bottom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14,872</w:t>
            </w:r>
          </w:p>
        </w:tc>
        <w:tc>
          <w:tcPr>
            <w:tcW w:w="1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13,138</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The following table presents the Company’s revenues disaggregated by timing of recognition (in thousands):</w:t>
            </w: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6"/>
        </w:trPr>
        <w:tc>
          <w:tcPr>
            <w:tcW w:w="798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7980" w:type="dxa"/>
            <w:vAlign w:val="bottom"/>
          </w:tcPr>
          <w:p>
            <w:pPr>
              <w:spacing w:after="0"/>
              <w:rPr>
                <w:sz w:val="24"/>
                <w:szCs w:val="24"/>
                <w:color w:val="auto"/>
              </w:rPr>
            </w:pPr>
          </w:p>
        </w:tc>
        <w:tc>
          <w:tcPr>
            <w:tcW w:w="2660" w:type="dxa"/>
            <w:vAlign w:val="bottom"/>
            <w:gridSpan w:val="4"/>
          </w:tcPr>
          <w:p>
            <w:pPr>
              <w:ind w:left="6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798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980" w:type="dxa"/>
            <w:vAlign w:val="bottom"/>
          </w:tcPr>
          <w:p>
            <w:pPr>
              <w:spacing w:after="0"/>
              <w:rPr>
                <w:sz w:val="16"/>
                <w:szCs w:val="16"/>
                <w:color w:val="auto"/>
              </w:rPr>
            </w:pPr>
          </w:p>
        </w:tc>
        <w:tc>
          <w:tcPr>
            <w:tcW w:w="980" w:type="dxa"/>
            <w:vAlign w:val="bottom"/>
          </w:tcPr>
          <w:p>
            <w:pPr>
              <w:ind w:left="660"/>
              <w:spacing w:after="0"/>
              <w:rPr>
                <w:sz w:val="20"/>
                <w:szCs w:val="20"/>
                <w:color w:val="auto"/>
              </w:rPr>
            </w:pPr>
            <w:r>
              <w:rPr>
                <w:rFonts w:ascii="Times New Roman" w:cs="Times New Roman" w:eastAsia="Times New Roman" w:hAnsi="Times New Roman"/>
                <w:sz w:val="14"/>
                <w:szCs w:val="14"/>
                <w:b w:val="1"/>
                <w:bCs w:val="1"/>
                <w:color w:val="auto"/>
              </w:rPr>
              <w:t>2026</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798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Point in time</w:t>
            </w:r>
          </w:p>
        </w:tc>
        <w:tc>
          <w:tcPr>
            <w:tcW w:w="980" w:type="dxa"/>
            <w:vAlign w:val="bottom"/>
            <w:tcBorders>
              <w:bottom w:val="single" w:sz="8" w:color="CCEEFF"/>
            </w:tcBorders>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14,241</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11,158</w:t>
            </w: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Over time</w:t>
            </w:r>
          </w:p>
        </w:tc>
        <w:tc>
          <w:tcPr>
            <w:tcW w:w="9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79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revenue</w:t>
            </w:r>
          </w:p>
        </w:tc>
        <w:tc>
          <w:tcPr>
            <w:tcW w:w="980" w:type="dxa"/>
            <w:vAlign w:val="bottom"/>
            <w:tcBorders>
              <w:bottom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14,872</w:t>
            </w:r>
          </w:p>
        </w:tc>
        <w:tc>
          <w:tcPr>
            <w:tcW w:w="1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13,138</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The following table presents the Company’s revenues disaggregated by type (in thousands):</w:t>
            </w: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798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7980" w:type="dxa"/>
            <w:vAlign w:val="bottom"/>
          </w:tcPr>
          <w:p>
            <w:pPr>
              <w:spacing w:after="0"/>
              <w:rPr>
                <w:sz w:val="24"/>
                <w:szCs w:val="24"/>
                <w:color w:val="auto"/>
              </w:rPr>
            </w:pPr>
          </w:p>
        </w:tc>
        <w:tc>
          <w:tcPr>
            <w:tcW w:w="2660" w:type="dxa"/>
            <w:vAlign w:val="bottom"/>
            <w:gridSpan w:val="4"/>
          </w:tcPr>
          <w:p>
            <w:pPr>
              <w:ind w:left="6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798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980" w:type="dxa"/>
            <w:vAlign w:val="bottom"/>
          </w:tcPr>
          <w:p>
            <w:pPr>
              <w:spacing w:after="0"/>
              <w:rPr>
                <w:sz w:val="16"/>
                <w:szCs w:val="16"/>
                <w:color w:val="auto"/>
              </w:rPr>
            </w:pPr>
          </w:p>
        </w:tc>
        <w:tc>
          <w:tcPr>
            <w:tcW w:w="980" w:type="dxa"/>
            <w:vAlign w:val="bottom"/>
          </w:tcPr>
          <w:p>
            <w:pPr>
              <w:ind w:left="660"/>
              <w:spacing w:after="0"/>
              <w:rPr>
                <w:sz w:val="20"/>
                <w:szCs w:val="20"/>
                <w:color w:val="auto"/>
              </w:rPr>
            </w:pPr>
            <w:r>
              <w:rPr>
                <w:rFonts w:ascii="Times New Roman" w:cs="Times New Roman" w:eastAsia="Times New Roman" w:hAnsi="Times New Roman"/>
                <w:sz w:val="14"/>
                <w:szCs w:val="14"/>
                <w:b w:val="1"/>
                <w:bCs w:val="1"/>
                <w:color w:val="auto"/>
              </w:rPr>
              <w:t>2026</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798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sales</w:t>
            </w:r>
          </w:p>
        </w:tc>
        <w:tc>
          <w:tcPr>
            <w:tcW w:w="980" w:type="dxa"/>
            <w:vAlign w:val="bottom"/>
            <w:tcBorders>
              <w:bottom w:val="single" w:sz="8" w:color="CCEEFF"/>
            </w:tcBorders>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14,100</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11,026</w:t>
            </w: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Licensing</w:t>
            </w:r>
          </w:p>
        </w:tc>
        <w:tc>
          <w:tcPr>
            <w:tcW w:w="980" w:type="dxa"/>
            <w:vAlign w:val="bottom"/>
          </w:tcPr>
          <w:p>
            <w:pPr>
              <w:spacing w:after="0"/>
              <w:rPr>
                <w:sz w:val="21"/>
                <w:szCs w:val="21"/>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0" w:type="dxa"/>
            <w:vAlign w:val="bottom"/>
          </w:tcPr>
          <w:p>
            <w:pPr>
              <w:spacing w:after="0"/>
              <w:rPr>
                <w:sz w:val="1"/>
                <w:szCs w:val="1"/>
                <w:color w:val="auto"/>
              </w:rPr>
            </w:pPr>
          </w:p>
        </w:tc>
      </w:tr>
      <w:tr>
        <w:trPr>
          <w:trHeight w:val="27"/>
        </w:trPr>
        <w:tc>
          <w:tcPr>
            <w:tcW w:w="7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Royalties</w:t>
            </w:r>
          </w:p>
        </w:tc>
        <w:tc>
          <w:tcPr>
            <w:tcW w:w="9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Engineering services and other revenue</w:t>
            </w:r>
          </w:p>
        </w:tc>
        <w:tc>
          <w:tcPr>
            <w:tcW w:w="9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1,469</w:t>
            </w:r>
          </w:p>
        </w:tc>
        <w:tc>
          <w:tcPr>
            <w:tcW w:w="0" w:type="dxa"/>
            <w:vAlign w:val="bottom"/>
          </w:tcPr>
          <w:p>
            <w:pPr>
              <w:spacing w:after="0"/>
              <w:rPr>
                <w:sz w:val="1"/>
                <w:szCs w:val="1"/>
                <w:color w:val="auto"/>
              </w:rPr>
            </w:pPr>
          </w:p>
        </w:tc>
      </w:tr>
      <w:tr>
        <w:trPr>
          <w:trHeight w:val="27"/>
        </w:trPr>
        <w:tc>
          <w:tcPr>
            <w:tcW w:w="79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9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revenue</w:t>
            </w:r>
          </w:p>
        </w:tc>
        <w:tc>
          <w:tcPr>
            <w:tcW w:w="980" w:type="dxa"/>
            <w:vAlign w:val="bottom"/>
            <w:tcBorders>
              <w:bottom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14,872</w:t>
            </w:r>
          </w:p>
        </w:tc>
        <w:tc>
          <w:tcPr>
            <w:tcW w:w="1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13,138</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Company licenses its intellectual property and is entitled to consideration based on the customer’s sales. The Company makes estimates in instances when the customer reports sales on a lagged basis and actual information is not available timely. The estimates are based on historical trends in the customer’s activity and current market conditions. The amounts are reported in licensing, royalty, patent, engineering services and other revenue in the statements of operations and comprehensive loss.</w:t>
      </w:r>
    </w:p>
    <w:p>
      <w:pPr>
        <w:spacing w:after="0" w:line="180"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Company recognizes revenue in three primary geographic regions: Asia-Pacific (APAC); North America; and Europe, Middle East and Africa (EMEA). The Company recognizes revenue by geography based on the region in which its products are sold, and not to where the end products in which they are assembled are shipped. Revenue by region for the periods indicated was as follows (in thousands):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80" w:type="dxa"/>
            <w:vAlign w:val="bottom"/>
          </w:tcPr>
          <w:p>
            <w:pPr>
              <w:spacing w:after="0"/>
              <w:rPr>
                <w:sz w:val="16"/>
                <w:szCs w:val="16"/>
                <w:color w:val="auto"/>
              </w:rPr>
            </w:pPr>
          </w:p>
        </w:tc>
        <w:tc>
          <w:tcPr>
            <w:tcW w:w="26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00" w:type="dxa"/>
            <w:vAlign w:val="bottom"/>
          </w:tcPr>
          <w:p>
            <w:pPr>
              <w:spacing w:after="0"/>
              <w:rPr>
                <w:sz w:val="16"/>
                <w:szCs w:val="16"/>
                <w:color w:val="auto"/>
              </w:rPr>
            </w:pPr>
          </w:p>
        </w:tc>
      </w:tr>
      <w:tr>
        <w:trPr>
          <w:trHeight w:val="37"/>
        </w:trPr>
        <w:tc>
          <w:tcPr>
            <w:tcW w:w="798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r>
      <w:tr>
        <w:trPr>
          <w:trHeight w:val="186"/>
        </w:trPr>
        <w:tc>
          <w:tcPr>
            <w:tcW w:w="79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Pr>
          <w:p>
            <w:pPr>
              <w:spacing w:after="0"/>
              <w:rPr>
                <w:sz w:val="16"/>
                <w:szCs w:val="16"/>
                <w:color w:val="auto"/>
              </w:rPr>
            </w:pPr>
          </w:p>
        </w:tc>
      </w:tr>
      <w:tr>
        <w:trPr>
          <w:trHeight w:val="37"/>
        </w:trPr>
        <w:tc>
          <w:tcPr>
            <w:tcW w:w="798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r>
      <w:tr>
        <w:trPr>
          <w:trHeight w:val="243"/>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APAC</w:t>
            </w:r>
          </w:p>
        </w:tc>
        <w:tc>
          <w:tcPr>
            <w:tcW w:w="980" w:type="dxa"/>
            <w:vAlign w:val="bottom"/>
            <w:tcBorders>
              <w:bottom w:val="single" w:sz="8" w:color="CCEEFF"/>
            </w:tcBorders>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9,194</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7,259</w:t>
            </w: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9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2,848</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2,483</w:t>
            </w:r>
          </w:p>
        </w:tc>
      </w:tr>
      <w:tr>
        <w:trPr>
          <w:trHeight w:val="27"/>
        </w:trPr>
        <w:tc>
          <w:tcPr>
            <w:tcW w:w="7980" w:type="dxa"/>
            <w:vAlign w:val="bottom"/>
          </w:tcPr>
          <w:p>
            <w:pPr>
              <w:spacing w:after="0"/>
              <w:rPr>
                <w:sz w:val="2"/>
                <w:szCs w:val="2"/>
                <w:color w:val="auto"/>
              </w:rPr>
            </w:pPr>
          </w:p>
        </w:tc>
        <w:tc>
          <w:tcPr>
            <w:tcW w:w="9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EMEA</w:t>
            </w:r>
          </w:p>
        </w:tc>
        <w:tc>
          <w:tcPr>
            <w:tcW w:w="9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2,830</w:t>
            </w: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3,396</w:t>
            </w:r>
          </w:p>
        </w:tc>
      </w:tr>
      <w:tr>
        <w:trPr>
          <w:trHeight w:val="263"/>
        </w:trPr>
        <w:tc>
          <w:tcPr>
            <w:tcW w:w="79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revenue</w:t>
            </w:r>
          </w:p>
        </w:tc>
        <w:tc>
          <w:tcPr>
            <w:tcW w:w="980" w:type="dxa"/>
            <w:vAlign w:val="bottom"/>
            <w:tcBorders>
              <w:top w:val="single" w:sz="8" w:color="auto"/>
              <w:bottom w:val="single" w:sz="8" w:color="auto"/>
            </w:tcBorders>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14,872</w:t>
            </w:r>
          </w:p>
        </w:tc>
        <w:tc>
          <w:tcPr>
            <w:tcW w:w="100" w:type="dxa"/>
            <w:vAlign w:val="bottom"/>
          </w:tcPr>
          <w:p>
            <w:pPr>
              <w:spacing w:after="0"/>
              <w:rPr>
                <w:sz w:val="22"/>
                <w:szCs w:val="22"/>
                <w:color w:val="auto"/>
              </w:rPr>
            </w:pPr>
          </w:p>
        </w:tc>
        <w:tc>
          <w:tcPr>
            <w:tcW w:w="960" w:type="dxa"/>
            <w:vAlign w:val="bottom"/>
            <w:tcBorders>
              <w:top w:val="single" w:sz="8" w:color="auto"/>
              <w:bottom w:val="single" w:sz="8" w:color="auto"/>
            </w:tcBorders>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13,138</w:t>
            </w:r>
          </w:p>
        </w:tc>
      </w:tr>
      <w:tr>
        <w:trPr>
          <w:trHeight w:val="21"/>
        </w:trPr>
        <w:tc>
          <w:tcPr>
            <w:tcW w:w="79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29"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On August 14, 2024, the Company received a strategic award to develop a long-term plan to provide manufacturing services for aerospace and defense segments (the Award). Under the Award, the Company will provide a plan to mitigate risks to its MRAM manufacturing supply chain. Pursuant to the Award, the Company may receive cash payments upon the achievement of certain technical tasks and deliverables. The Award allows for milestones totaling up to approximately $14.6 million for the Company over a span of 2.5 years.</w:t>
      </w:r>
    </w:p>
    <w:p>
      <w:pPr>
        <w:spacing w:after="0" w:line="180"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Award is not in the ordinary course of the Company’s business and hence not a contract with a customer. The Company has applied the revenue recognition principles under Accounting Standards Codification 606 by analogy.</w:t>
      </w:r>
    </w:p>
    <w:p>
      <w:pPr>
        <w:spacing w:after="0" w:line="16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2026, the Company recognized $2.2 million of other income related to the Award, based on progress toward completion. Revenue recognition is based on an input method that measures costs incurred to date relative to total estimated costs over the term of the Award. During the three months ended March 31, 2026, the Company billed $1.0 million relating to the Award. As of March 31, 2026, $0.3 million of the billed amount for the Award is recorded as contract obligations liability on the condensed balance sheets. This amount represents the Company’s obligation to perform future services for which the Company has received or is entitled to receive payment but which are not yet fulfilled.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Balance Sheet Components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Inventory consisted of the following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46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5"/>
                <w:szCs w:val="15"/>
                <w:color w:val="auto"/>
              </w:rPr>
            </w:pPr>
          </w:p>
        </w:tc>
        <w:tc>
          <w:tcPr>
            <w:tcW w:w="1340" w:type="dxa"/>
            <w:vAlign w:val="bottom"/>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346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3460" w:type="dxa"/>
            <w:vAlign w:val="bottom"/>
            <w:tcBorders>
              <w:bottom w:val="single" w:sz="8" w:color="CCEEFF"/>
            </w:tcBorders>
          </w:tcPr>
          <w:p>
            <w:pPr>
              <w:spacing w:after="0"/>
              <w:rPr>
                <w:sz w:val="3"/>
                <w:szCs w:val="3"/>
                <w:color w:val="auto"/>
              </w:rPr>
            </w:pPr>
          </w:p>
        </w:tc>
        <w:tc>
          <w:tcPr>
            <w:tcW w:w="45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3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482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0" w:type="dxa"/>
            <w:vAlign w:val="bottom"/>
          </w:tcPr>
          <w:p>
            <w:pPr>
              <w:spacing w:after="0"/>
              <w:rPr>
                <w:sz w:val="1"/>
                <w:szCs w:val="1"/>
                <w:color w:val="auto"/>
              </w:rPr>
            </w:pPr>
          </w:p>
        </w:tc>
      </w:tr>
      <w:tr>
        <w:trPr>
          <w:trHeight w:val="243"/>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45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9,269</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4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45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0" w:type="dxa"/>
            <w:vAlign w:val="bottom"/>
          </w:tcPr>
          <w:p>
            <w:pPr>
              <w:spacing w:after="0"/>
              <w:rPr>
                <w:sz w:val="1"/>
                <w:szCs w:val="1"/>
                <w:color w:val="auto"/>
              </w:rPr>
            </w:pPr>
          </w:p>
        </w:tc>
      </w:tr>
      <w:tr>
        <w:trPr>
          <w:trHeight w:val="264"/>
        </w:trPr>
        <w:tc>
          <w:tcPr>
            <w:tcW w:w="3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inventory</w:t>
            </w:r>
          </w:p>
        </w:tc>
        <w:tc>
          <w:tcPr>
            <w:tcW w:w="45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11,255</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10,734</w:t>
            </w: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4520" w:type="dxa"/>
            <w:vAlign w:val="bottom"/>
            <w:vMerge w:val="restart"/>
          </w:tcPr>
          <w:p>
            <w:pPr>
              <w:jc w:val="right"/>
              <w:ind w:right="2170"/>
              <w:spacing w:after="0"/>
              <w:rPr>
                <w:sz w:val="20"/>
                <w:szCs w:val="20"/>
                <w:color w:val="auto"/>
              </w:rPr>
            </w:pPr>
            <w:r>
              <w:rPr>
                <w:rFonts w:ascii="Times New Roman" w:cs="Times New Roman" w:eastAsia="Times New Roman" w:hAnsi="Times New Roman"/>
                <w:sz w:val="18"/>
                <w:szCs w:val="18"/>
                <w:color w:val="auto"/>
              </w:rPr>
              <w:t>11</w:t>
            </w: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8"/>
        </w:trPr>
        <w:tc>
          <w:tcPr>
            <w:tcW w:w="3460" w:type="dxa"/>
            <w:vAlign w:val="bottom"/>
          </w:tcPr>
          <w:p>
            <w:pPr>
              <w:spacing w:after="0"/>
              <w:rPr>
                <w:sz w:val="24"/>
                <w:szCs w:val="24"/>
                <w:color w:val="auto"/>
              </w:rPr>
            </w:pPr>
          </w:p>
        </w:tc>
        <w:tc>
          <w:tcPr>
            <w:tcW w:w="45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3460" w:type="dxa"/>
            <w:vAlign w:val="bottom"/>
            <w:tcBorders>
              <w:bottom w:val="single" w:sz="8" w:color="9A9A9A"/>
            </w:tcBorders>
          </w:tcPr>
          <w:p>
            <w:pPr>
              <w:spacing w:after="0"/>
              <w:rPr>
                <w:sz w:val="24"/>
                <w:szCs w:val="24"/>
                <w:color w:val="auto"/>
              </w:rPr>
            </w:pPr>
          </w:p>
        </w:tc>
        <w:tc>
          <w:tcPr>
            <w:tcW w:w="45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5"/>
                <w:szCs w:val="15"/>
                <w:color w:val="auto"/>
              </w:rPr>
            </w:pPr>
          </w:p>
        </w:tc>
        <w:tc>
          <w:tcPr>
            <w:tcW w:w="134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7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79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r>
      <w:tr>
        <w:trPr>
          <w:trHeight w:val="244"/>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Manufacturing equipment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15,070</w:t>
            </w: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and network equipment</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w:t>
            </w:r>
          </w:p>
        </w:tc>
      </w:tr>
      <w:tr>
        <w:trPr>
          <w:trHeight w:val="27"/>
        </w:trPr>
        <w:tc>
          <w:tcPr>
            <w:tcW w:w="7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43"/>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3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11,131</w:t>
            </w:r>
          </w:p>
        </w:tc>
      </w:tr>
      <w:tr>
        <w:trPr>
          <w:trHeight w:val="27"/>
        </w:trPr>
        <w:tc>
          <w:tcPr>
            <w:tcW w:w="7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w:t>
            </w:r>
          </w:p>
        </w:tc>
      </w:tr>
      <w:tr>
        <w:trPr>
          <w:trHeight w:val="237"/>
        </w:trPr>
        <w:tc>
          <w:tcPr>
            <w:tcW w:w="7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property and equipment, gross</w:t>
            </w:r>
          </w:p>
        </w:tc>
        <w:tc>
          <w:tcPr>
            <w:tcW w:w="3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29,526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28,521</w:t>
            </w:r>
          </w:p>
        </w:tc>
      </w:tr>
      <w:tr>
        <w:trPr>
          <w:trHeight w:val="27"/>
        </w:trPr>
        <w:tc>
          <w:tcPr>
            <w:tcW w:w="7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(14,381)</w:t>
            </w:r>
          </w:p>
        </w:tc>
      </w:tr>
      <w:tr>
        <w:trPr>
          <w:trHeight w:val="263"/>
        </w:trPr>
        <w:tc>
          <w:tcPr>
            <w:tcW w:w="7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14,925</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14,140</w:t>
            </w:r>
          </w:p>
        </w:tc>
      </w:tr>
      <w:tr>
        <w:trPr>
          <w:trHeight w:val="20"/>
        </w:trPr>
        <w:tc>
          <w:tcPr>
            <w:tcW w:w="7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Depreciation expense during the three months ended March 31, 2026 and 2025 was $0.3 million and $0.4 million,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gross carrying amounts and accumulated amortization of intangible assets are as follows at the dates indicated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96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040" w:type="dxa"/>
            <w:vAlign w:val="bottom"/>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5040" w:type="dxa"/>
            <w:vAlign w:val="bottom"/>
          </w:tcPr>
          <w:p>
            <w:pPr>
              <w:spacing w:after="0"/>
              <w:rPr>
                <w:sz w:val="14"/>
                <w:szCs w:val="14"/>
                <w:color w:val="auto"/>
              </w:rPr>
            </w:pPr>
          </w:p>
        </w:tc>
        <w:tc>
          <w:tcPr>
            <w:tcW w:w="1140" w:type="dxa"/>
            <w:vAlign w:val="bottom"/>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040" w:type="dxa"/>
            <w:vAlign w:val="bottom"/>
          </w:tcPr>
          <w:p>
            <w:pPr>
              <w:spacing w:after="0"/>
              <w:rPr>
                <w:sz w:val="15"/>
                <w:szCs w:val="15"/>
                <w:color w:val="auto"/>
              </w:rPr>
            </w:pPr>
          </w:p>
        </w:tc>
        <w:tc>
          <w:tcPr>
            <w:tcW w:w="1140" w:type="dxa"/>
            <w:vAlign w:val="bottom"/>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220" w:type="dxa"/>
            <w:vAlign w:val="bottom"/>
          </w:tcPr>
          <w:p>
            <w:pPr>
              <w:spacing w:after="0"/>
              <w:rPr>
                <w:sz w:val="15"/>
                <w:szCs w:val="15"/>
                <w:color w:val="auto"/>
              </w:rPr>
            </w:pPr>
          </w:p>
        </w:tc>
        <w:tc>
          <w:tcPr>
            <w:tcW w:w="13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80" w:type="dxa"/>
            <w:vAlign w:val="bottom"/>
          </w:tcPr>
          <w:p>
            <w:pPr>
              <w:spacing w:after="0"/>
              <w:rPr>
                <w:sz w:val="15"/>
                <w:szCs w:val="15"/>
                <w:color w:val="auto"/>
              </w:rPr>
            </w:pPr>
          </w:p>
        </w:tc>
        <w:tc>
          <w:tcPr>
            <w:tcW w:w="1200" w:type="dxa"/>
            <w:vAlign w:val="bottom"/>
          </w:tcPr>
          <w:p>
            <w:pPr>
              <w:jc w:val="center"/>
              <w:ind w:right="241"/>
              <w:spacing w:after="0"/>
              <w:rPr>
                <w:sz w:val="20"/>
                <w:szCs w:val="20"/>
                <w:color w:val="auto"/>
              </w:rPr>
            </w:pPr>
            <w:r>
              <w:rPr>
                <w:rFonts w:ascii="Times New Roman" w:cs="Times New Roman" w:eastAsia="Times New Roman" w:hAnsi="Times New Roman"/>
                <w:sz w:val="14"/>
                <w:szCs w:val="14"/>
                <w:b w:val="1"/>
                <w:bCs w:val="1"/>
                <w:color w:val="auto"/>
                <w:w w:val="95"/>
              </w:rPr>
              <w:t>Net</w:t>
            </w:r>
          </w:p>
        </w:tc>
        <w:tc>
          <w:tcPr>
            <w:tcW w:w="0" w:type="dxa"/>
            <w:vAlign w:val="bottom"/>
          </w:tcPr>
          <w:p>
            <w:pPr>
              <w:spacing w:after="0"/>
              <w:rPr>
                <w:sz w:val="1"/>
                <w:szCs w:val="1"/>
                <w:color w:val="auto"/>
              </w:rPr>
            </w:pPr>
          </w:p>
        </w:tc>
      </w:tr>
      <w:tr>
        <w:trPr>
          <w:trHeight w:val="162"/>
        </w:trPr>
        <w:tc>
          <w:tcPr>
            <w:tcW w:w="5040" w:type="dxa"/>
            <w:vAlign w:val="bottom"/>
          </w:tcPr>
          <w:p>
            <w:pPr>
              <w:spacing w:after="0"/>
              <w:rPr>
                <w:sz w:val="14"/>
                <w:szCs w:val="14"/>
                <w:color w:val="auto"/>
              </w:rPr>
            </w:pPr>
          </w:p>
        </w:tc>
        <w:tc>
          <w:tcPr>
            <w:tcW w:w="1140" w:type="dxa"/>
            <w:vAlign w:val="bottom"/>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jc w:val="center"/>
              <w:ind w:right="201"/>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204"/>
        </w:trPr>
        <w:tc>
          <w:tcPr>
            <w:tcW w:w="5040" w:type="dxa"/>
            <w:vAlign w:val="bottom"/>
          </w:tcPr>
          <w:p>
            <w:pPr>
              <w:spacing w:after="0"/>
              <w:rPr>
                <w:sz w:val="17"/>
                <w:szCs w:val="17"/>
                <w:color w:val="auto"/>
              </w:rPr>
            </w:pPr>
          </w:p>
        </w:tc>
        <w:tc>
          <w:tcPr>
            <w:tcW w:w="1140" w:type="dxa"/>
            <w:vAlign w:val="bottom"/>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7"/>
                <w:szCs w:val="17"/>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80" w:type="dxa"/>
            <w:vAlign w:val="bottom"/>
          </w:tcPr>
          <w:p>
            <w:pPr>
              <w:spacing w:after="0"/>
              <w:rPr>
                <w:sz w:val="17"/>
                <w:szCs w:val="17"/>
                <w:color w:val="auto"/>
              </w:rPr>
            </w:pPr>
          </w:p>
        </w:tc>
        <w:tc>
          <w:tcPr>
            <w:tcW w:w="1200" w:type="dxa"/>
            <w:vAlign w:val="bottom"/>
          </w:tcPr>
          <w:p>
            <w:pPr>
              <w:jc w:val="center"/>
              <w:ind w:right="22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3"/>
        </w:trPr>
        <w:tc>
          <w:tcPr>
            <w:tcW w:w="504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Internal-use software</w:t>
            </w:r>
          </w:p>
        </w:tc>
        <w:tc>
          <w:tcPr>
            <w:tcW w:w="11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4,456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1,272</w:t>
            </w:r>
          </w:p>
        </w:tc>
        <w:tc>
          <w:tcPr>
            <w:tcW w:w="0" w:type="dxa"/>
            <w:vAlign w:val="bottom"/>
          </w:tcPr>
          <w:p>
            <w:pPr>
              <w:spacing w:after="0"/>
              <w:rPr>
                <w:sz w:val="1"/>
                <w:szCs w:val="1"/>
                <w:color w:val="auto"/>
              </w:rPr>
            </w:pPr>
          </w:p>
        </w:tc>
      </w:tr>
      <w:tr>
        <w:trPr>
          <w:trHeight w:val="237"/>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4,456</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(3,184)</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1,272</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0"/>
        </w:trPr>
        <w:tc>
          <w:tcPr>
            <w:tcW w:w="5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6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5040" w:type="dxa"/>
            <w:vAlign w:val="bottom"/>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5040" w:type="dxa"/>
            <w:vAlign w:val="bottom"/>
          </w:tcPr>
          <w:p>
            <w:pPr>
              <w:spacing w:after="0"/>
              <w:rPr>
                <w:sz w:val="13"/>
                <w:szCs w:val="13"/>
                <w:color w:val="auto"/>
              </w:rPr>
            </w:pPr>
          </w:p>
        </w:tc>
        <w:tc>
          <w:tcPr>
            <w:tcW w:w="1140" w:type="dxa"/>
            <w:vAlign w:val="bottom"/>
          </w:tcPr>
          <w:p>
            <w:pPr>
              <w:jc w:val="center"/>
              <w:ind w:left="268"/>
              <w:spacing w:after="0" w:line="158"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5040" w:type="dxa"/>
            <w:vAlign w:val="bottom"/>
          </w:tcPr>
          <w:p>
            <w:pPr>
              <w:spacing w:after="0"/>
              <w:rPr>
                <w:sz w:val="15"/>
                <w:szCs w:val="15"/>
                <w:color w:val="auto"/>
              </w:rPr>
            </w:pPr>
          </w:p>
        </w:tc>
        <w:tc>
          <w:tcPr>
            <w:tcW w:w="1140" w:type="dxa"/>
            <w:vAlign w:val="bottom"/>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jc w:val="center"/>
              <w:ind w:right="241"/>
              <w:spacing w:after="0"/>
              <w:rPr>
                <w:sz w:val="20"/>
                <w:szCs w:val="20"/>
                <w:color w:val="auto"/>
              </w:rPr>
            </w:pPr>
            <w:r>
              <w:rPr>
                <w:rFonts w:ascii="Times New Roman" w:cs="Times New Roman" w:eastAsia="Times New Roman" w:hAnsi="Times New Roman"/>
                <w:sz w:val="14"/>
                <w:szCs w:val="14"/>
                <w:b w:val="1"/>
                <w:bCs w:val="1"/>
                <w:color w:val="auto"/>
                <w:w w:val="95"/>
              </w:rPr>
              <w:t>Net</w:t>
            </w:r>
          </w:p>
        </w:tc>
        <w:tc>
          <w:tcPr>
            <w:tcW w:w="0" w:type="dxa"/>
            <w:vAlign w:val="bottom"/>
          </w:tcPr>
          <w:p>
            <w:pPr>
              <w:spacing w:after="0"/>
              <w:rPr>
                <w:sz w:val="1"/>
                <w:szCs w:val="1"/>
                <w:color w:val="auto"/>
              </w:rPr>
            </w:pPr>
          </w:p>
        </w:tc>
      </w:tr>
      <w:tr>
        <w:trPr>
          <w:trHeight w:val="162"/>
        </w:trPr>
        <w:tc>
          <w:tcPr>
            <w:tcW w:w="5040" w:type="dxa"/>
            <w:vAlign w:val="bottom"/>
          </w:tcPr>
          <w:p>
            <w:pPr>
              <w:spacing w:after="0"/>
              <w:rPr>
                <w:sz w:val="14"/>
                <w:szCs w:val="14"/>
                <w:color w:val="auto"/>
              </w:rPr>
            </w:pPr>
          </w:p>
        </w:tc>
        <w:tc>
          <w:tcPr>
            <w:tcW w:w="1140" w:type="dxa"/>
            <w:vAlign w:val="bottom"/>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220" w:type="dxa"/>
            <w:vAlign w:val="bottom"/>
          </w:tcPr>
          <w:p>
            <w:pPr>
              <w:spacing w:after="0"/>
              <w:rPr>
                <w:sz w:val="14"/>
                <w:szCs w:val="14"/>
                <w:color w:val="auto"/>
              </w:rPr>
            </w:pP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80" w:type="dxa"/>
            <w:vAlign w:val="bottom"/>
          </w:tcPr>
          <w:p>
            <w:pPr>
              <w:spacing w:after="0"/>
              <w:rPr>
                <w:sz w:val="14"/>
                <w:szCs w:val="14"/>
                <w:color w:val="auto"/>
              </w:rPr>
            </w:pPr>
          </w:p>
        </w:tc>
        <w:tc>
          <w:tcPr>
            <w:tcW w:w="1200" w:type="dxa"/>
            <w:vAlign w:val="bottom"/>
          </w:tcPr>
          <w:p>
            <w:pPr>
              <w:jc w:val="center"/>
              <w:ind w:right="201"/>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0" w:type="dxa"/>
            <w:vAlign w:val="bottom"/>
          </w:tcPr>
          <w:p>
            <w:pPr>
              <w:spacing w:after="0"/>
              <w:rPr>
                <w:sz w:val="1"/>
                <w:szCs w:val="1"/>
                <w:color w:val="auto"/>
              </w:rPr>
            </w:pPr>
          </w:p>
        </w:tc>
      </w:tr>
      <w:tr>
        <w:trPr>
          <w:trHeight w:val="204"/>
        </w:trPr>
        <w:tc>
          <w:tcPr>
            <w:tcW w:w="5040" w:type="dxa"/>
            <w:vAlign w:val="bottom"/>
          </w:tcPr>
          <w:p>
            <w:pPr>
              <w:spacing w:after="0"/>
              <w:rPr>
                <w:sz w:val="17"/>
                <w:szCs w:val="17"/>
                <w:color w:val="auto"/>
              </w:rPr>
            </w:pPr>
          </w:p>
        </w:tc>
        <w:tc>
          <w:tcPr>
            <w:tcW w:w="1140" w:type="dxa"/>
            <w:vAlign w:val="bottom"/>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7"/>
                <w:szCs w:val="17"/>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80" w:type="dxa"/>
            <w:vAlign w:val="bottom"/>
          </w:tcPr>
          <w:p>
            <w:pPr>
              <w:spacing w:after="0"/>
              <w:rPr>
                <w:sz w:val="17"/>
                <w:szCs w:val="17"/>
                <w:color w:val="auto"/>
              </w:rPr>
            </w:pPr>
          </w:p>
        </w:tc>
        <w:tc>
          <w:tcPr>
            <w:tcW w:w="1200" w:type="dxa"/>
            <w:vAlign w:val="bottom"/>
          </w:tcPr>
          <w:p>
            <w:pPr>
              <w:jc w:val="center"/>
              <w:ind w:right="22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37"/>
        </w:trPr>
        <w:tc>
          <w:tcPr>
            <w:tcW w:w="6180" w:type="dxa"/>
            <w:vAlign w:val="bottom"/>
            <w:gridSpan w:val="2"/>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Internal-use software</w:t>
            </w:r>
          </w:p>
        </w:tc>
        <w:tc>
          <w:tcPr>
            <w:tcW w:w="1140" w:type="dxa"/>
            <w:vAlign w:val="bottom"/>
            <w:tcBorders>
              <w:top w:val="single" w:sz="8" w:color="auto"/>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4,456</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1,714</w:t>
            </w:r>
          </w:p>
        </w:tc>
        <w:tc>
          <w:tcPr>
            <w:tcW w:w="0" w:type="dxa"/>
            <w:vAlign w:val="bottom"/>
          </w:tcPr>
          <w:p>
            <w:pPr>
              <w:spacing w:after="0"/>
              <w:rPr>
                <w:sz w:val="1"/>
                <w:szCs w:val="1"/>
                <w:color w:val="auto"/>
              </w:rPr>
            </w:pPr>
          </w:p>
        </w:tc>
      </w:tr>
      <w:tr>
        <w:trPr>
          <w:trHeight w:val="237"/>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4,456</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(2,742)</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1,714</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50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for the intangible assets was $0.4 million and $0.4 million for the three months ended March 31, 2026 and 2025,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liabilities consisted of the following (in thousands):</w:t>
      </w:r>
    </w:p>
    <w:p>
      <w:pPr>
        <w:spacing w:after="0" w:line="273" w:lineRule="exact"/>
        <w:rPr>
          <w:sz w:val="20"/>
          <w:szCs w:val="20"/>
          <w:color w:val="auto"/>
        </w:rPr>
      </w:pPr>
    </w:p>
    <w:tbl>
      <w:tblPr>
        <w:tblLayout w:type="fixed"/>
        <w:tblInd w:w="940" w:type="dxa"/>
        <w:tblCellMar>
          <w:top w:w="0" w:type="dxa"/>
          <w:left w:w="0" w:type="dxa"/>
          <w:bottom w:w="0" w:type="dxa"/>
          <w:right w:w="0" w:type="dxa"/>
        </w:tblCellMar>
      </w:tblPr>
      <w:tr>
        <w:trPr>
          <w:trHeight w:val="162"/>
        </w:trPr>
        <w:tc>
          <w:tcPr>
            <w:tcW w:w="6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Pr>
          <w:p>
            <w:pPr>
              <w:spacing w:after="0"/>
              <w:rPr>
                <w:sz w:val="14"/>
                <w:szCs w:val="14"/>
                <w:color w:val="auto"/>
              </w:rPr>
            </w:pPr>
          </w:p>
        </w:tc>
        <w:tc>
          <w:tcPr>
            <w:tcW w:w="126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6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51"/>
        </w:trPr>
        <w:tc>
          <w:tcPr>
            <w:tcW w:w="628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r>
      <w:tr>
        <w:trPr>
          <w:trHeight w:val="243"/>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Payroll-related expenses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2,481</w:t>
            </w: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Inventory</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r>
      <w:tr>
        <w:trPr>
          <w:trHeight w:val="27"/>
        </w:trPr>
        <w:tc>
          <w:tcPr>
            <w:tcW w:w="6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2,295</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w:t>
            </w:r>
          </w:p>
        </w:tc>
      </w:tr>
      <w:tr>
        <w:trPr>
          <w:trHeight w:val="264"/>
        </w:trPr>
        <w:tc>
          <w:tcPr>
            <w:tcW w:w="62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4,531</w:t>
            </w:r>
          </w:p>
        </w:tc>
        <w:tc>
          <w:tcPr>
            <w:tcW w:w="8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3,651</w:t>
            </w:r>
          </w:p>
        </w:tc>
      </w:tr>
      <w:tr>
        <w:trPr>
          <w:trHeight w:val="20"/>
        </w:trPr>
        <w:tc>
          <w:tcPr>
            <w:tcW w:w="6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Operating leases consist of fabrication, lab, and office space expiring at various dates through 2029. Finance leases relate to a server lease expiring in February 2029. The Company’s lease agreements do not contain any material residual value guarantees or material restrictive covenants.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undiscounted future non-cancellable lease payments under the Company’s operating and finance leases were as follows (in thousands):</w:t>
      </w:r>
    </w:p>
    <w:p>
      <w:pPr>
        <w:sectPr>
          <w:pgSz w:w="11900" w:h="16838" w:orient="portrait"/>
          <w:cols w:equalWidth="0" w:num="1">
            <w:col w:w="11220"/>
          </w:cols>
          <w:pgMar w:left="320" w:top="121" w:right="359" w:bottom="1440" w:gutter="0" w:footer="0" w:header="0"/>
        </w:sectPr>
      </w:pPr>
    </w:p>
    <w:p>
      <w:pPr>
        <w:spacing w:after="0" w:line="27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As of March 31,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41910</wp:posOffset>
            </wp:positionV>
            <wp:extent cx="5692140" cy="1797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92140" cy="179705"/>
                    </a:xfrm>
                    <a:prstGeom prst="rect">
                      <a:avLst/>
                    </a:prstGeom>
                    <a:noFill/>
                  </pic:spPr>
                </pic:pic>
              </a:graphicData>
            </a:graphic>
          </wp:anchor>
        </w:drawing>
      </w:r>
    </w:p>
    <w:p>
      <w:pPr>
        <w:spacing w:after="0" w:line="6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Remainder of 2026</w:t>
      </w:r>
    </w:p>
    <w:p>
      <w:pPr>
        <w:spacing w:after="0" w:line="6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34290</wp:posOffset>
            </wp:positionV>
            <wp:extent cx="569214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92140" cy="171450"/>
                    </a:xfrm>
                    <a:prstGeom prst="rect">
                      <a:avLst/>
                    </a:prstGeom>
                    <a:noFill/>
                  </pic:spPr>
                </pic:pic>
              </a:graphicData>
            </a:graphic>
          </wp:anchor>
        </w:drawing>
      </w:r>
    </w:p>
    <w:p>
      <w:pPr>
        <w:spacing w:after="0" w:line="4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2028</w:t>
      </w:r>
    </w:p>
    <w:p>
      <w:pPr>
        <w:spacing w:after="0" w:line="6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34290</wp:posOffset>
            </wp:positionV>
            <wp:extent cx="5692140" cy="1797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92140" cy="179705"/>
                    </a:xfrm>
                    <a:prstGeom prst="rect">
                      <a:avLst/>
                    </a:prstGeom>
                    <a:noFill/>
                  </pic:spPr>
                </pic:pic>
              </a:graphicData>
            </a:graphic>
          </wp:anchor>
        </w:drawing>
      </w:r>
    </w:p>
    <w:p>
      <w:pPr>
        <w:spacing w:after="0" w:line="5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Total lease payments</w:t>
      </w:r>
    </w:p>
    <w:p>
      <w:pPr>
        <w:spacing w:after="0" w:line="6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Less: imputed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34290</wp:posOffset>
            </wp:positionV>
            <wp:extent cx="5692140" cy="1797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92140" cy="179705"/>
                    </a:xfrm>
                    <a:prstGeom prst="rect">
                      <a:avLst/>
                    </a:prstGeom>
                    <a:noFill/>
                  </pic:spPr>
                </pic:pic>
              </a:graphicData>
            </a:graphic>
          </wp:anchor>
        </w:drawing>
      </w:r>
    </w:p>
    <w:p>
      <w:pPr>
        <w:spacing w:after="0" w:line="57"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Total lease liabilities</w:t>
      </w:r>
    </w:p>
    <w:p>
      <w:pPr>
        <w:spacing w:after="0" w:line="63"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Less: current portion of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34290</wp:posOffset>
            </wp:positionV>
            <wp:extent cx="5692140" cy="1974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92140" cy="197485"/>
                    </a:xfrm>
                    <a:prstGeom prst="rect">
                      <a:avLst/>
                    </a:prstGeom>
                    <a:noFill/>
                  </pic:spPr>
                </pic:pic>
              </a:graphicData>
            </a:graphic>
          </wp:anchor>
        </w:drawing>
      </w:r>
    </w:p>
    <w:p>
      <w:pPr>
        <w:spacing w:after="0" w:line="8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18"/>
          <w:szCs w:val="18"/>
          <w:color w:val="auto"/>
        </w:rPr>
        <w:t>Total lease liabilities, net of current portion</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Other information related to the Company’s operating lease liabilities was as follows:</w:t>
      </w:r>
    </w:p>
    <w:p>
      <w:pPr>
        <w:spacing w:after="0" w:line="20" w:lineRule="exact"/>
        <w:rPr>
          <w:sz w:val="20"/>
          <w:szCs w:val="20"/>
          <w:color w:val="auto"/>
        </w:rPr>
      </w:pPr>
      <w:r>
        <w:rPr>
          <w:sz w:val="20"/>
          <w:szCs w:val="20"/>
          <w:color w:val="auto"/>
        </w:rPr>
        <w:br w:type="column"/>
      </w:r>
    </w:p>
    <w:p>
      <w:pPr>
        <w:spacing w:after="0" w:line="25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4"/>
          <w:szCs w:val="14"/>
          <w:b w:val="1"/>
          <w:bCs w:val="1"/>
          <w:color w:val="auto"/>
        </w:rPr>
        <w:t>Amount</w:t>
      </w:r>
    </w:p>
    <w:p>
      <w:pPr>
        <w:spacing w:after="0" w:line="88" w:lineRule="exact"/>
        <w:rPr>
          <w:sz w:val="20"/>
          <w:szCs w:val="20"/>
          <w:color w:val="auto"/>
        </w:rPr>
      </w:pPr>
    </w:p>
    <w:p>
      <w:pPr>
        <w:ind w:left="2320" w:hanging="1224"/>
        <w:spacing w:after="0"/>
        <w:tabs>
          <w:tab w:leader="none" w:pos="2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1,123</w:t>
      </w:r>
    </w:p>
    <w:p>
      <w:pPr>
        <w:spacing w:after="0" w:line="63" w:lineRule="exact"/>
        <w:rPr>
          <w:rFonts w:ascii="Times New Roman" w:cs="Times New Roman" w:eastAsia="Times New Roman" w:hAnsi="Times New Roman"/>
          <w:sz w:val="18"/>
          <w:szCs w:val="18"/>
          <w:color w:val="auto"/>
        </w:rPr>
      </w:pPr>
    </w:p>
    <w:p>
      <w:pPr>
        <w:ind w:left="23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1,380</w:t>
      </w:r>
    </w:p>
    <w:p>
      <w:pPr>
        <w:spacing w:after="0" w:line="63" w:lineRule="exact"/>
        <w:rPr>
          <w:rFonts w:ascii="Times New Roman" w:cs="Times New Roman" w:eastAsia="Times New Roman" w:hAnsi="Times New Roman"/>
          <w:sz w:val="18"/>
          <w:szCs w:val="18"/>
          <w:color w:val="auto"/>
        </w:rPr>
      </w:pPr>
    </w:p>
    <w:p>
      <w:pPr>
        <w:ind w:left="2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595</w:t>
      </w:r>
    </w:p>
    <w:p>
      <w:pPr>
        <w:spacing w:after="0" w:line="63" w:lineRule="exact"/>
        <w:rPr>
          <w:rFonts w:ascii="Times New Roman" w:cs="Times New Roman" w:eastAsia="Times New Roman" w:hAnsi="Times New Roman"/>
          <w:sz w:val="18"/>
          <w:szCs w:val="18"/>
          <w:color w:val="auto"/>
        </w:rPr>
      </w:pPr>
    </w:p>
    <w:p>
      <w:pPr>
        <w:ind w:left="2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w:t>
      </w:r>
    </w:p>
    <w:p>
      <w:pPr>
        <w:spacing w:after="0" w:line="76" w:lineRule="exact"/>
        <w:rPr>
          <w:rFonts w:ascii="Times New Roman" w:cs="Times New Roman" w:eastAsia="Times New Roman" w:hAnsi="Times New Roman"/>
          <w:sz w:val="18"/>
          <w:szCs w:val="18"/>
          <w:color w:val="auto"/>
        </w:rPr>
      </w:pPr>
    </w:p>
    <w:p>
      <w:pPr>
        <w:ind w:left="23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3,146</w:t>
      </w:r>
    </w:p>
    <w:p>
      <w:pPr>
        <w:spacing w:after="0" w:line="63" w:lineRule="exact"/>
        <w:rPr>
          <w:rFonts w:ascii="Times New Roman" w:cs="Times New Roman" w:eastAsia="Times New Roman" w:hAnsi="Times New Roman"/>
          <w:sz w:val="18"/>
          <w:szCs w:val="18"/>
          <w:color w:val="auto"/>
        </w:rPr>
      </w:pPr>
    </w:p>
    <w:p>
      <w:pPr>
        <w:ind w:left="2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(148)</w:t>
      </w:r>
    </w:p>
    <w:p>
      <w:pPr>
        <w:spacing w:after="0" w:line="76" w:lineRule="exact"/>
        <w:rPr>
          <w:rFonts w:ascii="Times New Roman" w:cs="Times New Roman" w:eastAsia="Times New Roman" w:hAnsi="Times New Roman"/>
          <w:sz w:val="18"/>
          <w:szCs w:val="18"/>
          <w:color w:val="auto"/>
        </w:rPr>
      </w:pPr>
    </w:p>
    <w:p>
      <w:pPr>
        <w:ind w:left="23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2,998</w:t>
      </w:r>
    </w:p>
    <w:p>
      <w:pPr>
        <w:spacing w:after="0" w:line="63"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7"/>
          <w:szCs w:val="17"/>
          <w:color w:val="auto"/>
        </w:rPr>
        <w:t>(1,399)</w:t>
      </w:r>
    </w:p>
    <w:p>
      <w:pPr>
        <w:spacing w:after="0" w:line="88" w:lineRule="exact"/>
        <w:rPr>
          <w:sz w:val="20"/>
          <w:szCs w:val="20"/>
          <w:color w:val="auto"/>
        </w:rPr>
      </w:pPr>
    </w:p>
    <w:p>
      <w:pPr>
        <w:ind w:left="2320" w:hanging="1224"/>
        <w:spacing w:after="0"/>
        <w:tabs>
          <w:tab w:leader="none" w:pos="2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684530</wp:posOffset>
            </wp:positionH>
            <wp:positionV relativeFrom="paragraph">
              <wp:posOffset>60325</wp:posOffset>
            </wp:positionV>
            <wp:extent cx="10972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tabs>
          <w:tab w:leader="none" w:pos="1560" w:val="left"/>
        </w:tabs>
        <w:rPr>
          <w:sz w:val="20"/>
          <w:szCs w:val="20"/>
          <w:color w:val="auto"/>
        </w:rPr>
      </w:pPr>
      <w:r>
        <w:rPr>
          <w:rFonts w:ascii="Times New Roman" w:cs="Times New Roman" w:eastAsia="Times New Roman" w:hAnsi="Times New Roman"/>
          <w:sz w:val="14"/>
          <w:szCs w:val="14"/>
          <w:b w:val="1"/>
          <w:bCs w:val="1"/>
          <w:color w:val="auto"/>
        </w:rPr>
        <w:t>March 31,</w:t>
      </w:r>
      <w:r>
        <w:rPr>
          <w:sz w:val="20"/>
          <w:szCs w:val="20"/>
          <w:color w:val="auto"/>
        </w:rPr>
        <w:tab/>
      </w:r>
      <w:r>
        <w:rPr>
          <w:rFonts w:ascii="Times New Roman" w:cs="Times New Roman" w:eastAsia="Times New Roman" w:hAnsi="Times New Roman"/>
          <w:sz w:val="14"/>
          <w:szCs w:val="14"/>
          <w:b w:val="1"/>
          <w:bCs w:val="1"/>
          <w:color w:val="auto"/>
        </w:rPr>
        <w:t>December 31,</w:t>
      </w:r>
    </w:p>
    <w:p>
      <w:pPr>
        <w:spacing w:after="0" w:line="19" w:lineRule="exact"/>
        <w:rPr>
          <w:sz w:val="20"/>
          <w:szCs w:val="20"/>
          <w:color w:val="auto"/>
        </w:rPr>
      </w:pPr>
    </w:p>
    <w:p>
      <w:pPr>
        <w:ind w:left="160"/>
        <w:spacing w:after="0"/>
        <w:tabs>
          <w:tab w:leader="none" w:pos="1840" w:val="left"/>
        </w:tabs>
        <w:rPr>
          <w:sz w:val="20"/>
          <w:szCs w:val="20"/>
          <w:color w:val="auto"/>
        </w:rPr>
      </w:pPr>
      <w:r>
        <w:rPr>
          <w:rFonts w:ascii="Times New Roman" w:cs="Times New Roman" w:eastAsia="Times New Roman" w:hAnsi="Times New Roman"/>
          <w:sz w:val="14"/>
          <w:szCs w:val="14"/>
          <w:b w:val="1"/>
          <w:bCs w:val="1"/>
          <w:color w:val="auto"/>
        </w:rPr>
        <w:t>2026</w:t>
      </w:r>
      <w:r>
        <w:rPr>
          <w:sz w:val="20"/>
          <w:szCs w:val="20"/>
          <w:color w:val="auto"/>
        </w:rPr>
        <w:tab/>
      </w:r>
      <w:r>
        <w:rPr>
          <w:rFonts w:ascii="Times New Roman" w:cs="Times New Roman" w:eastAsia="Times New Roman" w:hAnsi="Times New Roman"/>
          <w:sz w:val="14"/>
          <w:szCs w:val="14"/>
          <w:b w:val="1"/>
          <w:bCs w:val="1"/>
          <w:color w:val="auto"/>
        </w:rPr>
        <w:t>2025</w:t>
      </w:r>
    </w:p>
    <w:p>
      <w:pPr>
        <w:spacing w:after="0" w:line="42" w:lineRule="exact"/>
        <w:rPr>
          <w:sz w:val="20"/>
          <w:szCs w:val="20"/>
          <w:color w:val="auto"/>
        </w:rPr>
      </w:pPr>
    </w:p>
    <w:p>
      <w:pPr>
        <w:sectPr>
          <w:pgSz w:w="11900" w:h="16838" w:orient="portrait"/>
          <w:cols w:equalWidth="0" w:num="2">
            <w:col w:w="6580" w:space="720"/>
            <w:col w:w="3920"/>
          </w:cols>
          <w:pgMar w:left="320" w:top="121" w:right="359" w:bottom="1440" w:gutter="0" w:footer="0" w:header="0"/>
          <w:type w:val="continuous"/>
        </w:sectPr>
      </w:pPr>
    </w:p>
    <w:tbl>
      <w:tblPr>
        <w:tblLayout w:type="fixed"/>
        <w:tblInd w:w="0" w:type="dxa"/>
        <w:tblCellMar>
          <w:top w:w="0" w:type="dxa"/>
          <w:left w:w="0" w:type="dxa"/>
          <w:bottom w:w="0" w:type="dxa"/>
          <w:right w:w="0" w:type="dxa"/>
        </w:tblCellMar>
      </w:tblPr>
      <w:tr>
        <w:trPr>
          <w:trHeight w:val="263"/>
        </w:trPr>
        <w:tc>
          <w:tcPr>
            <w:tcW w:w="1140" w:type="dxa"/>
            <w:vAlign w:val="bottom"/>
          </w:tcPr>
          <w:p>
            <w:pPr>
              <w:spacing w:after="0"/>
              <w:rPr>
                <w:sz w:val="22"/>
                <w:szCs w:val="22"/>
                <w:color w:val="auto"/>
              </w:rPr>
            </w:pPr>
          </w:p>
        </w:tc>
        <w:tc>
          <w:tcPr>
            <w:tcW w:w="5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1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r>
      <w:tr>
        <w:trPr>
          <w:trHeight w:val="243"/>
        </w:trPr>
        <w:tc>
          <w:tcPr>
            <w:tcW w:w="1140" w:type="dxa"/>
            <w:vAlign w:val="bottom"/>
          </w:tcPr>
          <w:p>
            <w:pPr>
              <w:spacing w:after="0"/>
              <w:rPr>
                <w:sz w:val="21"/>
                <w:szCs w:val="21"/>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4.50 %</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4.50 %</w:t>
            </w:r>
          </w:p>
        </w:tc>
      </w:tr>
      <w:tr>
        <w:trPr>
          <w:trHeight w:val="756"/>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information related to the Company’s finance lease liabilities was as follows:</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421"/>
        </w:trPr>
        <w:tc>
          <w:tcPr>
            <w:tcW w:w="114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168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0" w:type="dxa"/>
            <w:vAlign w:val="bottom"/>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1140" w:type="dxa"/>
            <w:vAlign w:val="bottom"/>
          </w:tcPr>
          <w:p>
            <w:pPr>
              <w:spacing w:after="0"/>
              <w:rPr>
                <w:sz w:val="16"/>
                <w:szCs w:val="16"/>
                <w:color w:val="auto"/>
              </w:rPr>
            </w:pPr>
          </w:p>
        </w:tc>
        <w:tc>
          <w:tcPr>
            <w:tcW w:w="5680" w:type="dxa"/>
            <w:vAlign w:val="bottom"/>
          </w:tcPr>
          <w:p>
            <w:pPr>
              <w:spacing w:after="0"/>
              <w:rPr>
                <w:sz w:val="16"/>
                <w:szCs w:val="16"/>
                <w:color w:val="auto"/>
              </w:rPr>
            </w:pPr>
          </w:p>
        </w:tc>
        <w:tc>
          <w:tcPr>
            <w:tcW w:w="158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1600" w:type="dxa"/>
            <w:vAlign w:val="bottom"/>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1140" w:type="dxa"/>
            <w:vAlign w:val="bottom"/>
          </w:tcPr>
          <w:p>
            <w:pPr>
              <w:spacing w:after="0"/>
              <w:rPr>
                <w:sz w:val="3"/>
                <w:szCs w:val="3"/>
                <w:color w:val="auto"/>
              </w:rPr>
            </w:pPr>
          </w:p>
        </w:tc>
        <w:tc>
          <w:tcPr>
            <w:tcW w:w="5680" w:type="dxa"/>
            <w:vAlign w:val="bottom"/>
            <w:tcBorders>
              <w:bottom w:val="single" w:sz="8" w:color="CCEEFF"/>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r>
      <w:tr>
        <w:trPr>
          <w:trHeight w:val="243"/>
        </w:trPr>
        <w:tc>
          <w:tcPr>
            <w:tcW w:w="1140" w:type="dxa"/>
            <w:vAlign w:val="bottom"/>
          </w:tcPr>
          <w:p>
            <w:pPr>
              <w:spacing w:after="0"/>
              <w:rPr>
                <w:sz w:val="21"/>
                <w:szCs w:val="21"/>
                <w:color w:val="auto"/>
              </w:rPr>
            </w:pPr>
          </w:p>
        </w:tc>
        <w:tc>
          <w:tcPr>
            <w:tcW w:w="5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r>
      <w:tr>
        <w:trPr>
          <w:trHeight w:val="243"/>
        </w:trPr>
        <w:tc>
          <w:tcPr>
            <w:tcW w:w="1140" w:type="dxa"/>
            <w:vAlign w:val="bottom"/>
          </w:tcPr>
          <w:p>
            <w:pPr>
              <w:spacing w:after="0"/>
              <w:rPr>
                <w:sz w:val="21"/>
                <w:szCs w:val="21"/>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3.90 %</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3.90 %</w:t>
            </w:r>
          </w:p>
        </w:tc>
      </w:tr>
    </w:tbl>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become involved in legal proceedings arising from the ordinary course of its business. Other than the patent infringement lawsuit disclosed below, management is currently not aware of any matters that would have a material adverse effect on the financial position, results of operations or cash flows of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Infringement Lawsuit</w:t>
      </w:r>
    </w:p>
    <w:p>
      <w:pPr>
        <w:spacing w:after="0" w:line="2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On January 28, 2026, Avalanche Technology, Inc. filed a patent infringement lawsuit against the Company in the United States District Court for the District of Delaware, alleging infringement of certain patents. Avalanche Technology, Inc. also filed a complaint with the U.S. International Trade Commission seeking the institution of an investigation under Section 337 of the Tariff Act of 1930, as amended. The Company has retained a dedicated legal team and is vigorously defending itself against such claims. As of March 31, 2026, the Company has not recorded an accrual related to these matters because it currently estimates that while possible, a loss is not probable. Further, any possible range of loss cannot reasonably be estimated at this time.</w:t>
      </w:r>
    </w:p>
    <w:p>
      <w:pPr>
        <w:sectPr>
          <w:pgSz w:w="11900" w:h="16838" w:orient="portrait"/>
          <w:cols w:equalWidth="0" w:num="1">
            <w:col w:w="11220"/>
          </w:cols>
          <w:pgMar w:left="320" w:top="121" w:right="359" w:bottom="1440" w:gutter="0" w:footer="0" w:header="0"/>
          <w:type w:val="continuous"/>
        </w:sectPr>
      </w:pP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Stock-Based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 Expense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details of the Company’s share-based compensation expense (in thousands):</w:t>
      </w:r>
    </w:p>
    <w:p>
      <w:pPr>
        <w:spacing w:after="0" w:line="273" w:lineRule="exact"/>
        <w:rPr>
          <w:sz w:val="20"/>
          <w:szCs w:val="20"/>
          <w:color w:val="auto"/>
        </w:rPr>
      </w:pPr>
    </w:p>
    <w:tbl>
      <w:tblPr>
        <w:tblLayout w:type="fixed"/>
        <w:tblInd w:w="1140" w:type="dxa"/>
        <w:tblCellMar>
          <w:top w:w="0" w:type="dxa"/>
          <w:left w:w="0" w:type="dxa"/>
          <w:bottom w:w="0" w:type="dxa"/>
          <w:right w:w="0" w:type="dxa"/>
        </w:tblCellMar>
      </w:tblPr>
      <w:tr>
        <w:trPr>
          <w:trHeight w:val="190"/>
        </w:trPr>
        <w:tc>
          <w:tcPr>
            <w:tcW w:w="5860" w:type="dxa"/>
            <w:vAlign w:val="bottom"/>
          </w:tcPr>
          <w:p>
            <w:pPr>
              <w:spacing w:after="0"/>
              <w:rPr>
                <w:sz w:val="16"/>
                <w:szCs w:val="16"/>
                <w:color w:val="auto"/>
              </w:rPr>
            </w:pPr>
          </w:p>
        </w:tc>
        <w:tc>
          <w:tcPr>
            <w:tcW w:w="25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20" w:type="dxa"/>
            <w:vAlign w:val="bottom"/>
          </w:tcPr>
          <w:p>
            <w:pPr>
              <w:spacing w:after="0"/>
              <w:rPr>
                <w:sz w:val="16"/>
                <w:szCs w:val="16"/>
                <w:color w:val="auto"/>
              </w:rPr>
            </w:pPr>
          </w:p>
        </w:tc>
      </w:tr>
      <w:tr>
        <w:trPr>
          <w:trHeight w:val="37"/>
        </w:trPr>
        <w:tc>
          <w:tcPr>
            <w:tcW w:w="586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r>
      <w:tr>
        <w:trPr>
          <w:trHeight w:val="186"/>
        </w:trPr>
        <w:tc>
          <w:tcPr>
            <w:tcW w:w="58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Pr>
          <w:p>
            <w:pPr>
              <w:spacing w:after="0"/>
              <w:rPr>
                <w:sz w:val="16"/>
                <w:szCs w:val="16"/>
                <w:color w:val="auto"/>
              </w:rPr>
            </w:pPr>
          </w:p>
        </w:tc>
      </w:tr>
      <w:tr>
        <w:trPr>
          <w:trHeight w:val="37"/>
        </w:trPr>
        <w:tc>
          <w:tcPr>
            <w:tcW w:w="586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r>
      <w:tr>
        <w:trPr>
          <w:trHeight w:val="243"/>
        </w:trPr>
        <w:tc>
          <w:tcPr>
            <w:tcW w:w="58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60" w:type="dxa"/>
            <w:vAlign w:val="bottom"/>
            <w:tcBorders>
              <w:bottom w:val="single" w:sz="8" w:color="CCEEFF"/>
            </w:tcBorders>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w:t>
            </w:r>
          </w:p>
        </w:tc>
      </w:tr>
      <w:tr>
        <w:trPr>
          <w:trHeight w:val="243"/>
        </w:trPr>
        <w:tc>
          <w:tcPr>
            <w:tcW w:w="5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w:t>
            </w:r>
          </w:p>
        </w:tc>
      </w:tr>
      <w:tr>
        <w:trPr>
          <w:trHeight w:val="27"/>
        </w:trPr>
        <w:tc>
          <w:tcPr>
            <w:tcW w:w="58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Sales and marketing</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43"/>
        </w:trPr>
        <w:tc>
          <w:tcPr>
            <w:tcW w:w="5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Cost of sales</w:t>
            </w:r>
          </w:p>
        </w:tc>
        <w:tc>
          <w:tcPr>
            <w:tcW w:w="9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7"/>
        </w:trPr>
        <w:tc>
          <w:tcPr>
            <w:tcW w:w="58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88"/>
        </w:trPr>
        <w:tc>
          <w:tcPr>
            <w:tcW w:w="5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960" w:type="dxa"/>
            <w:vAlign w:val="bottom"/>
            <w:tcBorders>
              <w:bottom w:val="single" w:sz="8" w:color="auto"/>
            </w:tcBorders>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Stock Option Activity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stock option activity for the three months ended March 31, 2026:</w:t>
      </w:r>
    </w:p>
    <w:p>
      <w:pPr>
        <w:spacing w:after="0" w:line="273" w:lineRule="exact"/>
        <w:rPr>
          <w:sz w:val="20"/>
          <w:szCs w:val="20"/>
          <w:color w:val="auto"/>
        </w:rPr>
      </w:pPr>
    </w:p>
    <w:tbl>
      <w:tblPr>
        <w:tblLayout w:type="fixed"/>
        <w:tblInd w:w="420" w:type="dxa"/>
        <w:tblCellMar>
          <w:top w:w="0" w:type="dxa"/>
          <w:left w:w="0" w:type="dxa"/>
          <w:bottom w:w="0" w:type="dxa"/>
          <w:right w:w="0" w:type="dxa"/>
        </w:tblCellMar>
      </w:tblPr>
      <w:tr>
        <w:trPr>
          <w:trHeight w:val="190"/>
        </w:trPr>
        <w:tc>
          <w:tcPr>
            <w:tcW w:w="46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80" w:type="dxa"/>
            <w:vAlign w:val="bottom"/>
            <w:gridSpan w:val="4"/>
          </w:tcPr>
          <w:p>
            <w:pPr>
              <w:ind w:left="540"/>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37"/>
        </w:trPr>
        <w:tc>
          <w:tcPr>
            <w:tcW w:w="4680" w:type="dxa"/>
            <w:vAlign w:val="bottom"/>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gridSpan w:val="2"/>
          </w:tcPr>
          <w:p>
            <w:pPr>
              <w:spacing w:after="0"/>
              <w:rPr>
                <w:sz w:val="3"/>
                <w:szCs w:val="3"/>
                <w:color w:val="auto"/>
              </w:rPr>
            </w:pPr>
          </w:p>
        </w:tc>
        <w:tc>
          <w:tcPr>
            <w:tcW w:w="146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171"/>
        </w:trPr>
        <w:tc>
          <w:tcPr>
            <w:tcW w:w="4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76"/>
        </w:trPr>
        <w:tc>
          <w:tcPr>
            <w:tcW w:w="46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5"/>
                <w:szCs w:val="15"/>
                <w:color w:val="auto"/>
              </w:rPr>
            </w:pPr>
          </w:p>
        </w:tc>
        <w:tc>
          <w:tcPr>
            <w:tcW w:w="122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Aggregate</w:t>
            </w:r>
          </w:p>
        </w:tc>
      </w:tr>
      <w:tr>
        <w:trPr>
          <w:trHeight w:val="162"/>
        </w:trPr>
        <w:tc>
          <w:tcPr>
            <w:tcW w:w="4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60" w:type="dxa"/>
            <w:vAlign w:val="bottom"/>
          </w:tcPr>
          <w:p>
            <w:pPr>
              <w:spacing w:after="0"/>
              <w:rPr>
                <w:sz w:val="14"/>
                <w:szCs w:val="14"/>
                <w:color w:val="auto"/>
              </w:rPr>
            </w:pPr>
          </w:p>
        </w:tc>
        <w:tc>
          <w:tcPr>
            <w:tcW w:w="122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Intrinsic</w:t>
            </w:r>
          </w:p>
        </w:tc>
      </w:tr>
      <w:tr>
        <w:trPr>
          <w:trHeight w:val="175"/>
        </w:trPr>
        <w:tc>
          <w:tcPr>
            <w:tcW w:w="4680" w:type="dxa"/>
            <w:vAlign w:val="bottom"/>
          </w:tcPr>
          <w:p>
            <w:pPr>
              <w:spacing w:after="0"/>
              <w:rPr>
                <w:sz w:val="15"/>
                <w:szCs w:val="15"/>
                <w:color w:val="auto"/>
              </w:rPr>
            </w:pPr>
          </w:p>
        </w:tc>
        <w:tc>
          <w:tcPr>
            <w:tcW w:w="134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Price Per</w:t>
            </w: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160" w:type="dxa"/>
            <w:vAlign w:val="bottom"/>
          </w:tcPr>
          <w:p>
            <w:pPr>
              <w:spacing w:after="0"/>
              <w:rPr>
                <w:sz w:val="15"/>
                <w:szCs w:val="15"/>
                <w:color w:val="auto"/>
              </w:rPr>
            </w:pPr>
          </w:p>
        </w:tc>
        <w:tc>
          <w:tcPr>
            <w:tcW w:w="122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190"/>
        </w:trPr>
        <w:tc>
          <w:tcPr>
            <w:tcW w:w="4680" w:type="dxa"/>
            <w:vAlign w:val="bottom"/>
          </w:tcPr>
          <w:p>
            <w:pPr>
              <w:spacing w:after="0"/>
              <w:rPr>
                <w:sz w:val="16"/>
                <w:szCs w:val="16"/>
                <w:color w:val="auto"/>
              </w:rPr>
            </w:pPr>
          </w:p>
        </w:tc>
        <w:tc>
          <w:tcPr>
            <w:tcW w:w="134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160" w:type="dxa"/>
            <w:vAlign w:val="bottom"/>
          </w:tcPr>
          <w:p>
            <w:pPr>
              <w:spacing w:after="0"/>
              <w:rPr>
                <w:sz w:val="16"/>
                <w:szCs w:val="16"/>
                <w:color w:val="auto"/>
              </w:rPr>
            </w:pPr>
          </w:p>
        </w:tc>
        <w:tc>
          <w:tcPr>
            <w:tcW w:w="122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7"/>
        </w:trPr>
        <w:tc>
          <w:tcPr>
            <w:tcW w:w="4680" w:type="dxa"/>
            <w:vAlign w:val="bottom"/>
            <w:tcBorders>
              <w:bottom w:val="single" w:sz="8" w:color="CCEEFF"/>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43"/>
        </w:trPr>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Balance—December 31, 2025</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1,365,002</w:t>
            </w:r>
          </w:p>
        </w:tc>
        <w:tc>
          <w:tcPr>
            <w:tcW w:w="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4,303</w:t>
            </w:r>
          </w:p>
        </w:tc>
      </w:tr>
      <w:tr>
        <w:trPr>
          <w:trHeight w:val="243"/>
        </w:trPr>
        <w:tc>
          <w:tcPr>
            <w:tcW w:w="4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Options granted</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6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Options exercised</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(57,027)</w:t>
            </w:r>
          </w:p>
        </w:tc>
        <w:tc>
          <w:tcPr>
            <w:tcW w:w="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r>
      <w:tr>
        <w:trPr>
          <w:trHeight w:val="243"/>
        </w:trPr>
        <w:tc>
          <w:tcPr>
            <w:tcW w:w="4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Options cancelled/forfeited</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68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r>
      <w:tr>
        <w:trPr>
          <w:trHeight w:val="264"/>
        </w:trPr>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Balance—March 31, 2026</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1,307,122</w:t>
            </w:r>
          </w:p>
        </w:tc>
        <w:tc>
          <w:tcPr>
            <w:tcW w:w="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3,471</w:t>
            </w:r>
          </w:p>
        </w:tc>
      </w:tr>
      <w:tr>
        <w:trPr>
          <w:trHeight w:val="237"/>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exercisable—March 31, 2026</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1,306,061</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3,469</w:t>
            </w:r>
          </w:p>
        </w:tc>
      </w:tr>
      <w:tr>
        <w:trPr>
          <w:trHeight w:val="27"/>
        </w:trPr>
        <w:tc>
          <w:tcPr>
            <w:tcW w:w="468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grant date fair value of options vested was $0.1 million and $0.2 million during the three months ended March 31, 2026 and 2025, respectively.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options were granted during the three months ended March 31, 2026 and 2025.</w:t>
      </w:r>
    </w:p>
    <w:p>
      <w:pPr>
        <w:spacing w:after="0" w:line="22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As of March 31, 2026, unrecognized compensation expense related to unvested options was not material and is expected to be recognized over a weighted-average period of 1.02 years. Stock-based compensation cost for options capitalized within inventory at March 31, 2026 and 2025 was not material.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2016 Employee Stock Purchase Plan</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January 2026, there was an increase of 229,777 shares reserved for issuance under the Company’s Employee Stock Purchase Plan (ESPP) pursuant to the terms of the ESPP. The Company had 1,371,323 shares available for future issuance under the Company’s ESPP as of March 31, 2026. Employees did not purchase any shares during the three months ended March 31, 2026 and 2025.</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restricted stock units (RSUs) activity for the three months ended March 31, 2026:</w:t>
      </w:r>
    </w:p>
    <w:p>
      <w:pPr>
        <w:spacing w:after="0" w:line="273" w:lineRule="exact"/>
        <w:rPr>
          <w:sz w:val="20"/>
          <w:szCs w:val="20"/>
          <w:color w:val="auto"/>
        </w:rPr>
      </w:pPr>
    </w:p>
    <w:tbl>
      <w:tblPr>
        <w:tblLayout w:type="fixed"/>
        <w:tblInd w:w="1140" w:type="dxa"/>
        <w:tblCellMar>
          <w:top w:w="0" w:type="dxa"/>
          <w:left w:w="0" w:type="dxa"/>
          <w:bottom w:w="0" w:type="dxa"/>
          <w:right w:w="0" w:type="dxa"/>
        </w:tblCellMar>
      </w:tblPr>
      <w:tr>
        <w:trPr>
          <w:trHeight w:val="190"/>
        </w:trPr>
        <w:tc>
          <w:tcPr>
            <w:tcW w:w="5880" w:type="dxa"/>
            <w:vAlign w:val="bottom"/>
          </w:tcPr>
          <w:p>
            <w:pPr>
              <w:spacing w:after="0"/>
              <w:rPr>
                <w:sz w:val="16"/>
                <w:szCs w:val="16"/>
                <w:color w:val="auto"/>
              </w:rPr>
            </w:pPr>
          </w:p>
        </w:tc>
        <w:tc>
          <w:tcPr>
            <w:tcW w:w="3080" w:type="dxa"/>
            <w:vAlign w:val="bottom"/>
            <w:gridSpan w:val="4"/>
          </w:tcPr>
          <w:p>
            <w:pPr>
              <w:jc w:val="right"/>
              <w:ind w:right="879"/>
              <w:spacing w:after="0"/>
              <w:rPr>
                <w:sz w:val="20"/>
                <w:szCs w:val="20"/>
                <w:color w:val="auto"/>
              </w:rPr>
            </w:pPr>
            <w:r>
              <w:rPr>
                <w:rFonts w:ascii="Times New Roman" w:cs="Times New Roman" w:eastAsia="Times New Roman" w:hAnsi="Times New Roman"/>
                <w:sz w:val="14"/>
                <w:szCs w:val="14"/>
                <w:b w:val="1"/>
                <w:bCs w:val="1"/>
                <w:color w:val="auto"/>
              </w:rPr>
              <w:t>RSUs Outstanding</w:t>
            </w:r>
          </w:p>
        </w:tc>
      </w:tr>
      <w:tr>
        <w:trPr>
          <w:trHeight w:val="37"/>
        </w:trPr>
        <w:tc>
          <w:tcPr>
            <w:tcW w:w="588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171"/>
        </w:trPr>
        <w:tc>
          <w:tcPr>
            <w:tcW w:w="58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w w:val="99"/>
              </w:rPr>
              <w:t>Weighted-</w:t>
            </w:r>
          </w:p>
        </w:tc>
      </w:tr>
      <w:tr>
        <w:trPr>
          <w:trHeight w:val="176"/>
        </w:trPr>
        <w:tc>
          <w:tcPr>
            <w:tcW w:w="58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162"/>
        </w:trPr>
        <w:tc>
          <w:tcPr>
            <w:tcW w:w="588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Grant Date</w:t>
            </w:r>
          </w:p>
        </w:tc>
      </w:tr>
      <w:tr>
        <w:trPr>
          <w:trHeight w:val="175"/>
        </w:trPr>
        <w:tc>
          <w:tcPr>
            <w:tcW w:w="588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Restricted Stock</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Fair Value Per</w:t>
            </w:r>
          </w:p>
        </w:tc>
      </w:tr>
      <w:tr>
        <w:trPr>
          <w:trHeight w:val="204"/>
        </w:trPr>
        <w:tc>
          <w:tcPr>
            <w:tcW w:w="5880" w:type="dxa"/>
            <w:vAlign w:val="bottom"/>
          </w:tcPr>
          <w:p>
            <w:pPr>
              <w:spacing w:after="0"/>
              <w:rPr>
                <w:sz w:val="17"/>
                <w:szCs w:val="17"/>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w w:val="97"/>
              </w:rPr>
              <w:t>Share</w:t>
            </w:r>
          </w:p>
        </w:tc>
      </w:tr>
      <w:tr>
        <w:trPr>
          <w:trHeight w:val="23"/>
        </w:trPr>
        <w:tc>
          <w:tcPr>
            <w:tcW w:w="58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3"/>
        </w:trPr>
        <w:tc>
          <w:tcPr>
            <w:tcW w:w="5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Balance—December 31, 2025</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1,294,166</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r>
      <w:tr>
        <w:trPr>
          <w:trHeight w:val="243"/>
        </w:trPr>
        <w:tc>
          <w:tcPr>
            <w:tcW w:w="5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860,844</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w:t>
            </w:r>
          </w:p>
        </w:tc>
      </w:tr>
      <w:tr>
        <w:trPr>
          <w:trHeight w:val="27"/>
        </w:trPr>
        <w:tc>
          <w:tcPr>
            <w:tcW w:w="58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8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Vested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(286,154)</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w:t>
            </w:r>
          </w:p>
        </w:tc>
      </w:tr>
      <w:tr>
        <w:trPr>
          <w:trHeight w:val="243"/>
        </w:trPr>
        <w:tc>
          <w:tcPr>
            <w:tcW w:w="58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Cancelled/forfeited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w:t>
            </w:r>
          </w:p>
        </w:tc>
      </w:tr>
      <w:tr>
        <w:trPr>
          <w:trHeight w:val="27"/>
        </w:trPr>
        <w:tc>
          <w:tcPr>
            <w:tcW w:w="58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88"/>
        </w:trPr>
        <w:tc>
          <w:tcPr>
            <w:tcW w:w="5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Balance—March 31, 2026</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1,868,272</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w:t>
            </w: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r>
    </w:tbl>
    <w:p>
      <w:pPr>
        <w:spacing w:after="0" w:line="292"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fair value of RSUs is determined on the date of grant based on the market price of the Company’s common stock on that date. As of March 31, 2026, there was $13.4 million of unrecognized stock-based compensation expense related to RSUs to be recognized over a weighted-average period of 3.2 years. Compensation cost capitalized within inventory was not material as of March 31, 2026 and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Significant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GLOBALFOUNDRIES Inc. Joint Development Agreement</w:t>
      </w:r>
    </w:p>
    <w:p>
      <w:pPr>
        <w:spacing w:after="0" w:line="22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Since October 17, 2014, the Company has participated in a joint development agreement (JDA) with GLOBALFOUNDRIES Inc. (GF), a semiconductor foundry, for the joint development of Spin-transfer Torque MRAM (STT-MRAM) technology to produce a family of discrete and embedded MRAM technologies. The term of the JDA is until the completion, termination, or expiration of the last statement of work entered into pursuant to the JDA. The agreement was extended on December 31, 2019 to include a new phase of support for 12nm MRAM development.</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Under the current JDA extension terms, each party licenses its relevant intellectual property to the other party. For certain jointly developed works, the parties have agreed to follow an invention allocation procedure to determine ownership. In addition, GF possesses the exclusive right to manufacture the Company’s discrete and embedded STT-MRAM devices developed pursuant to the JDA until the earlier of three years after the qualification of the MRAM device for a particular technology node or four years after the completion of the relevant statement of work under which the device was developed. For the same exclusivity period associated with the relevant device, GF agreed not to license intellectual property developed in connection with the JDA to named competitors of the Company.</w:t>
      </w:r>
    </w:p>
    <w:p>
      <w:pPr>
        <w:spacing w:after="0" w:line="18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If GF manufactures, sells, or transfers to customers wafers containing production quantified STT-MRAM devices that utilize certain design information, GF will be required to pay the Company a royalty.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Net Loss Per Common Share</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Basic net loss per common share is calculated by dividing the net loss by the weighted-average number of shares of common stock outstanding for the period less shares subject to repurchase, without consideration of potentially dilutive securities. Diluted earnings per share is calculated using the treasury stock method by dividing net loss by the total weighted average shares of common stock outstanding in addition to the potential impact of dilutive securities including restricted stock units, warrants, and options. In periods with a net loss, potentially dilutive securities are excluded from the Company’s calculation of earnings per share as their inclusion would have an antidilutive effect.</w:t>
      </w:r>
    </w:p>
    <w:p>
      <w:pPr>
        <w:spacing w:after="0" w:line="18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computation of basic and diluted net loss per share attributable to common stockholders (in thousands, except share and per share amounts):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Basic and diluted EPS</w:t>
      </w:r>
    </w:p>
    <w:p>
      <w:pPr>
        <w:spacing w:after="0" w:line="273" w:lineRule="exact"/>
        <w:rPr>
          <w:sz w:val="20"/>
          <w:szCs w:val="20"/>
          <w:color w:val="auto"/>
        </w:rPr>
      </w:pPr>
    </w:p>
    <w:tbl>
      <w:tblPr>
        <w:tblLayout w:type="fixed"/>
        <w:tblInd w:w="1040" w:type="dxa"/>
        <w:tblCellMar>
          <w:top w:w="0" w:type="dxa"/>
          <w:left w:w="0" w:type="dxa"/>
          <w:bottom w:w="0" w:type="dxa"/>
          <w:right w:w="0" w:type="dxa"/>
        </w:tblCellMar>
      </w:tblPr>
      <w:tr>
        <w:trPr>
          <w:trHeight w:val="190"/>
        </w:trPr>
        <w:tc>
          <w:tcPr>
            <w:tcW w:w="6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80" w:type="dxa"/>
            <w:vAlign w:val="bottom"/>
            <w:gridSpan w:val="4"/>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37"/>
        </w:trPr>
        <w:tc>
          <w:tcPr>
            <w:tcW w:w="60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186"/>
        </w:trPr>
        <w:tc>
          <w:tcPr>
            <w:tcW w:w="6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604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230"/>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r>
      <w:tr>
        <w:trPr>
          <w:trHeight w:val="257"/>
        </w:trPr>
        <w:tc>
          <w:tcPr>
            <w:tcW w:w="6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8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(1,166)</w:t>
            </w:r>
          </w:p>
        </w:tc>
      </w:tr>
      <w:tr>
        <w:trPr>
          <w:trHeight w:val="20"/>
        </w:trPr>
        <w:tc>
          <w:tcPr>
            <w:tcW w:w="60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75"/>
        </w:trPr>
        <w:tc>
          <w:tcPr>
            <w:tcW w:w="60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loss attributable to common stockholders, diluted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6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50"/>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63"/>
        </w:trPr>
        <w:tc>
          <w:tcPr>
            <w:tcW w:w="60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Weighted-average shares of common stock outstanding, basic</w:t>
            </w: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23,137,815</w:t>
            </w:r>
          </w:p>
        </w:tc>
        <w:tc>
          <w:tcPr>
            <w:tcW w:w="8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22,188,114</w:t>
            </w:r>
          </w:p>
        </w:tc>
      </w:tr>
      <w:tr>
        <w:trPr>
          <w:trHeight w:val="281"/>
        </w:trPr>
        <w:tc>
          <w:tcPr>
            <w:tcW w:w="60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Weighted-average shares of common stock outstanding, diluted</w:t>
            </w:r>
          </w:p>
        </w:tc>
        <w:tc>
          <w:tcPr>
            <w:tcW w:w="340" w:type="dxa"/>
            <w:vAlign w:val="bottom"/>
            <w:tcBorders>
              <w:bottom w:val="single" w:sz="8" w:color="auto"/>
            </w:tcBorders>
            <w:shd w:val="clear" w:color="auto" w:fill="CCEEFF"/>
          </w:tcPr>
          <w:p>
            <w:pPr>
              <w:spacing w:after="0"/>
              <w:rPr>
                <w:sz w:val="24"/>
                <w:szCs w:val="2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23,137,815</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22,188,114</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30"/>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per common share, basic</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80" w:type="dxa"/>
            <w:vAlign w:val="bottom"/>
          </w:tcPr>
          <w:p>
            <w:pPr>
              <w:spacing w:after="0"/>
              <w:rPr>
                <w:sz w:val="20"/>
                <w:szCs w:val="20"/>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w:t>
            </w:r>
          </w:p>
        </w:tc>
      </w:tr>
      <w:tr>
        <w:trPr>
          <w:trHeight w:val="20"/>
        </w:trPr>
        <w:tc>
          <w:tcPr>
            <w:tcW w:w="60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75"/>
        </w:trPr>
        <w:tc>
          <w:tcPr>
            <w:tcW w:w="6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per common share, diluted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Potentially dilutive securities representing 1.2 million and 1.8 million stock options and RSUs that were outstanding during the three months ended March 31, 2026, and 2025, respectively, were excluded from the computation of diluted earnings per common share during these periods as their inclusion would have an antidilutive effect.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Subsequent 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Foundry Services Agreement</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April 8, 2026, the Company entered into a foundry services agreement (Foundry Agreement) with Microchip Technology (Microchip) under which Microchip will manufacture 8-inch Toggle MRAM, Tunnel Magneto Resistance Sensors and STT-MRAM wafers for the Company at Microchip’s Fab 4 facility in Gresham, Oregon. The Foundry Agreement has an initial term of ten years and provides for two-year renewal periods. The Company has reimbursement obligations under the Foundry Agreement estimated at approximately $13.95 million related to the installation of the manufacturing facility, subject to adjustment based on actual documented expenditures. The Foundry Agreement includes minimum purchase commitments that ramp over time to a maximum of 1,300 wafers per quarter. The Company expects capacity for Toggle and Sensor flows to commence approximately 18 months from the effective date of the Foundry Agreement and capacity for STT flows to commence approximately 30 months from the effective date of the Foundry Agreement.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Strategic Agreement with U.S. Prime Contractor</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On April 24, 2026, the Company entered into a subcontract and related statement of work with Amentum Services Inc. in connection with a U.S. government Microelectronics Research, Development, Test and Evaluation program. Under the agreement, the Company will provide research and development, process technology and engineering services to support the development and qualification of domestic Toggle MRAM for Mil-Aero applications. The agreement provides for milestone-based payments over a 30-month performance period from April 16, 2026 through November 21, 2028 and has an aggregate value of $40.0 million. The agreement includes option periods exercisable by the contractor and may be terminated under certain circumstances tied to termination of the related prime contract.</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condensed financial statements and related notes included in Part I, Item 1 of this report and with our audited financial statements and related notes thereto included as part of our Annual Report on Form 10-K for the year ended December 31, 2025.</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2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i w:val="1"/>
          <w:iCs w:val="1"/>
          <w:color w:val="auto"/>
        </w:rPr>
        <w:t>This discussion contains certain forward-looking statements within the meaning of Section 27A of the Securities Act of 1933, as amended (Securities Act), and Section 21E of the Securities Exchange Act of 1934, as amended (Exchange Act). Forward-looking statements are identified by words such as “believe,” “will,” “may,” “estimate,” “continue,” “anticipate,” “intend,” “should,” “plan,” “expect,” “predict,” “could,” “potentially” or the negative of these terms or similar expressions. You should read these statements carefully because they discuss future expectations, contain projections of future results of operations or financial condition, or state other “forward-looking” information. These statements relate to, among other things, our industry, business, future plans, strategies, objectives, expectations, intentions and financial performance. These forward-looking statements are subject to certain risks and uncertainties that could cause actual results to differ materially from those anticipated in the forward-looking statements. Factors that might cause such a difference include, but are not limited to, those discussed in this report in Part II, Item 1A — “Risk Factors,” and elsewhere in this report, as well as in our other filings with the Securities and Exchange Commission (SEC). Forward-looking statements are based on our management’s beliefs and assumptions and on information currently available to our management. These statements, like all statements in this report, speak only as of their date, and we undertake no obligation to update or revise these statements in light of future developments. In addition, statements that “we believe” and similar statements reflect our beliefs and opinions on the relevant subject. These statements are based on information available to us as of the date of this Quarterly Report on Form 10-Q.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 We caution investors that our business and financial performance are subject to substantial risks and uncertainties.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are a pioneer in the successful commercialization of Magnetoresistive Random Access Memory (MRAM) technology. Our portfolio of MRAM technologies, including Toggle MRAM, Tunnel Magneto Resistance (TMR) Sensors, and Spin-transfer Torque MRAM (STT-MRAM), is delivering superior performance, persistence and reliability in non-volatile memories that transform how mission-critical data is protected against power loss. With almost 20 years of MRAM technology and manufacturing leadership, our memory solutions deliver significant value to our customers in key markets such as industrial, medical, automotive/transportation, aerospace and defense, and data center. We are the leading supplier of discrete MRAM components and a successful licensor of our broad portfolio of related technology and intellectual property.</w:t>
      </w:r>
    </w:p>
    <w:p>
      <w:pPr>
        <w:spacing w:after="0" w:line="187"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We sell our products directly and through our established distribution channels to industry-leading original equipment manufacturers, original design manufacturers and contract manufacturers.</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manufacture our MRAM products using both captive and third-party manufacturing capabilities. We purchase industry-standard complementary metal-oxide semiconductor (CMOS) wafers from semiconductor foundries and perform back end of line (BEOL) processing that includes our magnetic-bit technology at our leased 200mm fabrication facility in Chandler, Arizona. We also manufacture full-flow 300mm CMOS wafers with our STT-MRAM magnetic-bit technology integrated in BEOL as part of our strategic relationship with GLOBALFOUNDRIES Inc.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Metrics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monitor a variety of key financial metrics to help us evaluate trends, establish budgets, measure the effectiveness of our business strategies, and assess operational efficiencies. These financial metrics include revenue, gross margin, operating expenses and operating income determined in accordance with GAAP. Additionally, we monitor and project cash flow to determine our sources and uses for working capital to fund our operations. We also monitor adjusted net income, a non-GAAP financial measure, and design wins. We define adjusted net income as net income adjusted for stock-based compensation expense.</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i w:val="1"/>
          <w:iCs w:val="1"/>
          <w:color w:val="auto"/>
        </w:rPr>
        <w:t>Adjusted net income</w:t>
      </w:r>
      <w:r>
        <w:rPr>
          <w:rFonts w:ascii="Times New Roman" w:cs="Times New Roman" w:eastAsia="Times New Roman" w:hAnsi="Times New Roman"/>
          <w:sz w:val="18"/>
          <w:szCs w:val="18"/>
          <w:color w:val="auto"/>
        </w:rPr>
        <w:t>. Our management and board of directors use adjusted net income to assess and evaluate our overall performance and financial trends,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 the annual budgeting process, and guide both short-term and long-term operational and strategic planning. As such, we believe adjusted net income provides meaningful insight for investors into our financial performance, consistent with how our management team and board of directors view and analyze our results. Adjusted net income is a non-GAAP financial measure and should be considered alongside, but not as a replacement for or superior to, net income as reported in accordance with GAAP. The following table provides a reconciliation of net income, the most directly comparable GAAP measure, to adjusted net income for the periods presented: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80" w:type="dxa"/>
            <w:vAlign w:val="bottom"/>
            <w:gridSpan w:val="8"/>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37"/>
        </w:trPr>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38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38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gridSpan w:val="5"/>
          </w:tcPr>
          <w:p>
            <w:pPr>
              <w:jc w:val="center"/>
              <w:ind w:left="51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38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net income (loss) reconciliation:</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Pr>
          <w:p>
            <w:pPr>
              <w:spacing w:after="0"/>
              <w:rPr>
                <w:sz w:val="21"/>
                <w:szCs w:val="21"/>
                <w:color w:val="auto"/>
              </w:rPr>
            </w:pP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Pr>
          <w:p>
            <w:pPr>
              <w:spacing w:after="0"/>
              <w:rPr>
                <w:sz w:val="21"/>
                <w:szCs w:val="21"/>
                <w:color w:val="auto"/>
              </w:rPr>
            </w:pPr>
          </w:p>
        </w:tc>
        <w:tc>
          <w:tcPr>
            <w:tcW w:w="10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(1,166)</w:t>
            </w:r>
          </w:p>
        </w:tc>
        <w:tc>
          <w:tcPr>
            <w:tcW w:w="0" w:type="dxa"/>
            <w:vAlign w:val="bottom"/>
          </w:tcPr>
          <w:p>
            <w:pPr>
              <w:spacing w:after="0"/>
              <w:rPr>
                <w:sz w:val="1"/>
                <w:szCs w:val="1"/>
                <w:color w:val="auto"/>
              </w:rPr>
            </w:pPr>
          </w:p>
        </w:tc>
      </w:tr>
      <w:tr>
        <w:trPr>
          <w:trHeight w:val="27"/>
        </w:trPr>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1,577</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Litigation costs</w:t>
            </w: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1,629</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Adjusted net income</w:t>
            </w:r>
          </w:p>
        </w:tc>
        <w:tc>
          <w:tcPr>
            <w:tcW w:w="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2,633</w:t>
            </w:r>
          </w:p>
        </w:tc>
        <w:tc>
          <w:tcPr>
            <w:tcW w:w="100" w:type="dxa"/>
            <w:vAlign w:val="bottom"/>
          </w:tcPr>
          <w:p>
            <w:pPr>
              <w:spacing w:after="0"/>
              <w:rPr>
                <w:sz w:val="22"/>
                <w:szCs w:val="22"/>
                <w:color w:val="auto"/>
              </w:rPr>
            </w:pP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Pr>
          <w:p>
            <w:pPr>
              <w:spacing w:after="0"/>
              <w:rPr>
                <w:sz w:val="22"/>
                <w:szCs w:val="22"/>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9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4980" w:type="dxa"/>
            <w:vAlign w:val="bottom"/>
            <w:gridSpan w:val="3"/>
            <w:vMerge w:val="continue"/>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for the periods indicated:</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384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384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Borders>
              <w:bottom w:val="single" w:sz="8" w:color="auto"/>
            </w:tcBorders>
            <w:gridSpan w:val="3"/>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Borders>
              <w:bottom w:val="single" w:sz="8" w:color="auto"/>
            </w:tcBorders>
            <w:gridSpan w:val="3"/>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Borders>
              <w:bottom w:val="single" w:sz="8" w:color="auto"/>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160" w:type="dxa"/>
            <w:vAlign w:val="bottom"/>
            <w:gridSpan w:val="6"/>
          </w:tcPr>
          <w:p>
            <w:pPr>
              <w:ind w:left="4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80" w:type="dxa"/>
            <w:vAlign w:val="bottom"/>
            <w:gridSpan w:val="8"/>
          </w:tcPr>
          <w:p>
            <w:pPr>
              <w:ind w:left="400"/>
              <w:spacing w:after="0"/>
              <w:rPr>
                <w:sz w:val="20"/>
                <w:szCs w:val="20"/>
                <w:color w:val="auto"/>
              </w:rPr>
            </w:pPr>
            <w:r>
              <w:rPr>
                <w:rFonts w:ascii="Times New Roman" w:cs="Times New Roman" w:eastAsia="Times New Roman" w:hAnsi="Times New Roman"/>
                <w:sz w:val="14"/>
                <w:szCs w:val="14"/>
                <w:b w:val="1"/>
                <w:bCs w:val="1"/>
                <w:color w:val="auto"/>
              </w:rPr>
              <w:t>(As a percentage of revenue)</w:t>
            </w:r>
          </w:p>
        </w:tc>
        <w:tc>
          <w:tcPr>
            <w:tcW w:w="0" w:type="dxa"/>
            <w:vAlign w:val="bottom"/>
          </w:tcPr>
          <w:p>
            <w:pPr>
              <w:spacing w:after="0"/>
              <w:rPr>
                <w:sz w:val="1"/>
                <w:szCs w:val="1"/>
                <w:color w:val="auto"/>
              </w:rPr>
            </w:pPr>
          </w:p>
        </w:tc>
      </w:tr>
      <w:tr>
        <w:trPr>
          <w:trHeight w:val="37"/>
        </w:trPr>
        <w:tc>
          <w:tcPr>
            <w:tcW w:w="160" w:type="dxa"/>
            <w:vAlign w:val="bottom"/>
          </w:tcPr>
          <w:p>
            <w:pPr>
              <w:spacing w:after="0"/>
              <w:rPr>
                <w:sz w:val="3"/>
                <w:szCs w:val="3"/>
                <w:color w:val="auto"/>
              </w:rPr>
            </w:pPr>
          </w:p>
        </w:tc>
        <w:tc>
          <w:tcPr>
            <w:tcW w:w="4820" w:type="dxa"/>
            <w:vAlign w:val="bottom"/>
            <w:gridSpan w:val="2"/>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gridSpan w:val="3"/>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4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11,026</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95 %</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4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Licensing, royalty, patent, engineering services and other revenue</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2,112</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60" w:type="dxa"/>
            <w:vAlign w:val="bottom"/>
          </w:tcPr>
          <w:p>
            <w:pPr>
              <w:spacing w:after="0"/>
              <w:rPr>
                <w:sz w:val="2"/>
                <w:szCs w:val="2"/>
                <w:color w:val="auto"/>
              </w:rPr>
            </w:pPr>
          </w:p>
        </w:tc>
        <w:tc>
          <w:tcPr>
            <w:tcW w:w="4820" w:type="dxa"/>
            <w:vAlign w:val="bottom"/>
            <w:tcBorders>
              <w:bottom w:val="single" w:sz="8" w:color="CCEEFF"/>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60" w:type="dxa"/>
            <w:vAlign w:val="bottom"/>
          </w:tcPr>
          <w:p>
            <w:pPr>
              <w:spacing w:after="0"/>
              <w:rPr>
                <w:sz w:val="21"/>
                <w:szCs w:val="21"/>
                <w:color w:val="auto"/>
              </w:rPr>
            </w:pPr>
          </w:p>
        </w:tc>
        <w:tc>
          <w:tcPr>
            <w:tcW w:w="482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revenue</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13,138</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4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product sales</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6,029</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60" w:type="dxa"/>
            <w:vAlign w:val="bottom"/>
          </w:tcPr>
          <w:p>
            <w:pPr>
              <w:spacing w:after="0"/>
              <w:rPr>
                <w:sz w:val="2"/>
                <w:szCs w:val="2"/>
                <w:color w:val="auto"/>
              </w:rPr>
            </w:pPr>
          </w:p>
        </w:tc>
        <w:tc>
          <w:tcPr>
            <w:tcW w:w="48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160" w:type="dxa"/>
            <w:vAlign w:val="bottom"/>
          </w:tcPr>
          <w:p>
            <w:pPr>
              <w:spacing w:after="0"/>
              <w:rPr>
                <w:sz w:val="19"/>
                <w:szCs w:val="19"/>
                <w:color w:val="auto"/>
              </w:rPr>
            </w:pPr>
          </w:p>
        </w:tc>
        <w:tc>
          <w:tcPr>
            <w:tcW w:w="4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licensing, royalty, patent, engineering services and other</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160" w:type="dxa"/>
            <w:vAlign w:val="bottom"/>
          </w:tcPr>
          <w:p>
            <w:pPr>
              <w:spacing w:after="0"/>
              <w:rPr>
                <w:sz w:val="22"/>
                <w:szCs w:val="22"/>
                <w:color w:val="auto"/>
              </w:rPr>
            </w:pPr>
          </w:p>
        </w:tc>
        <w:tc>
          <w:tcPr>
            <w:tcW w:w="4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60" w:type="dxa"/>
            <w:vAlign w:val="bottom"/>
          </w:tcPr>
          <w:p>
            <w:pPr>
              <w:spacing w:after="0"/>
              <w:rPr>
                <w:sz w:val="20"/>
                <w:szCs w:val="20"/>
                <w:color w:val="auto"/>
              </w:rPr>
            </w:pPr>
          </w:p>
        </w:tc>
        <w:tc>
          <w:tcPr>
            <w:tcW w:w="48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Total cost of sales</w:t>
            </w:r>
          </w:p>
        </w:tc>
        <w:tc>
          <w:tcPr>
            <w:tcW w:w="2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6,385</w:t>
            </w:r>
          </w:p>
        </w:tc>
        <w:tc>
          <w:tcPr>
            <w:tcW w:w="100" w:type="dxa"/>
            <w:vAlign w:val="bottom"/>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60" w:type="dxa"/>
            <w:vAlign w:val="bottom"/>
          </w:tcPr>
          <w:p>
            <w:pPr>
              <w:spacing w:after="0"/>
              <w:rPr>
                <w:sz w:val="2"/>
                <w:szCs w:val="2"/>
                <w:color w:val="auto"/>
              </w:rPr>
            </w:pPr>
          </w:p>
        </w:tc>
        <w:tc>
          <w:tcPr>
            <w:tcW w:w="4820" w:type="dxa"/>
            <w:vAlign w:val="bottom"/>
            <w:tcBorders>
              <w:bottom w:val="single" w:sz="8" w:color="CCEEFF"/>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60" w:type="dxa"/>
            <w:vAlign w:val="bottom"/>
          </w:tcPr>
          <w:p>
            <w:pPr>
              <w:spacing w:after="0"/>
              <w:rPr>
                <w:sz w:val="21"/>
                <w:szCs w:val="21"/>
                <w:color w:val="auto"/>
              </w:rPr>
            </w:pPr>
          </w:p>
        </w:tc>
        <w:tc>
          <w:tcPr>
            <w:tcW w:w="482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6,753</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4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60" w:type="dxa"/>
            <w:vAlign w:val="bottom"/>
          </w:tcPr>
          <w:p>
            <w:pPr>
              <w:spacing w:after="0"/>
              <w:rPr>
                <w:sz w:val="2"/>
                <w:szCs w:val="2"/>
                <w:color w:val="auto"/>
              </w:rPr>
            </w:pPr>
          </w:p>
        </w:tc>
        <w:tc>
          <w:tcPr>
            <w:tcW w:w="48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0" w:type="dxa"/>
            <w:vAlign w:val="bottom"/>
          </w:tcPr>
          <w:p>
            <w:pPr>
              <w:spacing w:after="0"/>
              <w:rPr>
                <w:sz w:val="21"/>
                <w:szCs w:val="21"/>
                <w:color w:val="auto"/>
              </w:rPr>
            </w:pPr>
          </w:p>
        </w:tc>
        <w:tc>
          <w:tcPr>
            <w:tcW w:w="482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3,356</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48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3,838</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60" w:type="dxa"/>
            <w:vAlign w:val="bottom"/>
          </w:tcPr>
          <w:p>
            <w:pPr>
              <w:spacing w:after="0"/>
              <w:rPr>
                <w:sz w:val="2"/>
                <w:szCs w:val="2"/>
                <w:color w:val="auto"/>
              </w:rPr>
            </w:pPr>
          </w:p>
        </w:tc>
        <w:tc>
          <w:tcPr>
            <w:tcW w:w="48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60" w:type="dxa"/>
            <w:vAlign w:val="bottom"/>
          </w:tcPr>
          <w:p>
            <w:pPr>
              <w:spacing w:after="0"/>
              <w:rPr>
                <w:sz w:val="23"/>
                <w:szCs w:val="23"/>
                <w:color w:val="auto"/>
              </w:rPr>
            </w:pPr>
          </w:p>
        </w:tc>
        <w:tc>
          <w:tcPr>
            <w:tcW w:w="482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Sales and marketing</w:t>
            </w: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1,491</w:t>
            </w: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160" w:type="dxa"/>
            <w:vAlign w:val="bottom"/>
          </w:tcPr>
          <w:p>
            <w:pPr>
              <w:spacing w:after="0"/>
              <w:rPr>
                <w:sz w:val="20"/>
                <w:szCs w:val="20"/>
                <w:color w:val="auto"/>
              </w:rPr>
            </w:pPr>
          </w:p>
        </w:tc>
        <w:tc>
          <w:tcPr>
            <w:tcW w:w="48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10,559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8,685</w:t>
            </w:r>
          </w:p>
        </w:tc>
        <w:tc>
          <w:tcPr>
            <w:tcW w:w="100" w:type="dxa"/>
            <w:vAlign w:val="bottom"/>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60" w:type="dxa"/>
            <w:vAlign w:val="bottom"/>
          </w:tcPr>
          <w:p>
            <w:pPr>
              <w:spacing w:after="0"/>
              <w:rPr>
                <w:sz w:val="2"/>
                <w:szCs w:val="2"/>
                <w:color w:val="auto"/>
              </w:rPr>
            </w:pPr>
          </w:p>
        </w:tc>
        <w:tc>
          <w:tcPr>
            <w:tcW w:w="4820" w:type="dxa"/>
            <w:vAlign w:val="bottom"/>
            <w:tcBorders>
              <w:bottom w:val="single" w:sz="8" w:color="CCEEFF"/>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4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(1,932)</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4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60" w:type="dxa"/>
            <w:vAlign w:val="bottom"/>
          </w:tcPr>
          <w:p>
            <w:pPr>
              <w:spacing w:after="0"/>
              <w:rPr>
                <w:sz w:val="2"/>
                <w:szCs w:val="2"/>
                <w:color w:val="auto"/>
              </w:rPr>
            </w:pPr>
          </w:p>
        </w:tc>
        <w:tc>
          <w:tcPr>
            <w:tcW w:w="48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60" w:type="dxa"/>
            <w:vAlign w:val="bottom"/>
          </w:tcPr>
          <w:p>
            <w:pPr>
              <w:spacing w:after="0"/>
              <w:rPr>
                <w:sz w:val="23"/>
                <w:szCs w:val="23"/>
                <w:color w:val="auto"/>
              </w:rPr>
            </w:pPr>
          </w:p>
        </w:tc>
        <w:tc>
          <w:tcPr>
            <w:tcW w:w="4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160" w:type="dxa"/>
            <w:vAlign w:val="bottom"/>
          </w:tcPr>
          <w:p>
            <w:pPr>
              <w:spacing w:after="0"/>
              <w:rPr>
                <w:sz w:val="20"/>
                <w:szCs w:val="20"/>
                <w:color w:val="auto"/>
              </w:rPr>
            </w:pPr>
          </w:p>
        </w:tc>
        <w:tc>
          <w:tcPr>
            <w:tcW w:w="4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 before income taxes</w:t>
            </w:r>
          </w:p>
        </w:tc>
        <w:tc>
          <w:tcPr>
            <w:tcW w:w="2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(1,136)</w:t>
            </w:r>
          </w:p>
        </w:tc>
        <w:tc>
          <w:tcPr>
            <w:tcW w:w="100" w:type="dxa"/>
            <w:vAlign w:val="bottom"/>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60" w:type="dxa"/>
            <w:vAlign w:val="bottom"/>
          </w:tcPr>
          <w:p>
            <w:pPr>
              <w:spacing w:after="0"/>
              <w:rPr>
                <w:sz w:val="2"/>
                <w:szCs w:val="2"/>
                <w:color w:val="auto"/>
              </w:rPr>
            </w:pPr>
          </w:p>
        </w:tc>
        <w:tc>
          <w:tcPr>
            <w:tcW w:w="48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60" w:type="dxa"/>
            <w:vAlign w:val="bottom"/>
          </w:tcPr>
          <w:p>
            <w:pPr>
              <w:spacing w:after="0"/>
              <w:rPr>
                <w:sz w:val="23"/>
                <w:szCs w:val="23"/>
                <w:color w:val="auto"/>
              </w:rPr>
            </w:pPr>
          </w:p>
        </w:tc>
        <w:tc>
          <w:tcPr>
            <w:tcW w:w="4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160" w:type="dxa"/>
            <w:vAlign w:val="bottom"/>
          </w:tcPr>
          <w:p>
            <w:pPr>
              <w:spacing w:after="0"/>
              <w:rPr>
                <w:sz w:val="22"/>
                <w:szCs w:val="22"/>
                <w:color w:val="auto"/>
              </w:rPr>
            </w:pPr>
          </w:p>
        </w:tc>
        <w:tc>
          <w:tcPr>
            <w:tcW w:w="4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(1,166)</w:t>
            </w:r>
          </w:p>
        </w:tc>
        <w:tc>
          <w:tcPr>
            <w:tcW w:w="100" w:type="dxa"/>
            <w:vAlign w:val="bottom"/>
          </w:tcPr>
          <w:p>
            <w:pPr>
              <w:spacing w:after="0"/>
              <w:rPr>
                <w:sz w:val="22"/>
                <w:szCs w:val="22"/>
                <w:color w:val="auto"/>
              </w:rPr>
            </w:pPr>
          </w:p>
        </w:tc>
        <w:tc>
          <w:tcPr>
            <w:tcW w:w="12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160"/>
          </w:cols>
          <w:pgMar w:left="320" w:top="121"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2026 and 2025</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generated 90% and 60% of our revenue from products sold through distributors for the three months ended March 31, 2026 and 2025, respectively.</w:t>
      </w:r>
    </w:p>
    <w:p>
      <w:pPr>
        <w:spacing w:after="0" w:line="22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maintain a direct selling relationship, for strategic purposes, with several key customer accounts. We have organized our sales team and representatives into three primary regions: Asia-Pacific (APAC); North America; and Europe, Middle East and Africa (EMEA). We recognize revenue by geography based on the region in which our products are sold, and not where the end products in which they are assembled are shipped. Our revenue by region for the periods indicated was as follows (in thousands):</w:t>
      </w:r>
    </w:p>
    <w:p>
      <w:pPr>
        <w:spacing w:after="0" w:line="227" w:lineRule="exact"/>
        <w:rPr>
          <w:sz w:val="20"/>
          <w:szCs w:val="20"/>
          <w:color w:val="auto"/>
        </w:rPr>
      </w:pPr>
    </w:p>
    <w:tbl>
      <w:tblPr>
        <w:tblLayout w:type="fixed"/>
        <w:tblInd w:w="1280" w:type="dxa"/>
        <w:tblCellMar>
          <w:top w:w="0" w:type="dxa"/>
          <w:left w:w="0" w:type="dxa"/>
          <w:bottom w:w="0" w:type="dxa"/>
          <w:right w:w="0" w:type="dxa"/>
        </w:tblCellMar>
      </w:tblPr>
      <w:tr>
        <w:trPr>
          <w:trHeight w:val="190"/>
        </w:trPr>
        <w:tc>
          <w:tcPr>
            <w:tcW w:w="5580" w:type="dxa"/>
            <w:vAlign w:val="bottom"/>
          </w:tcPr>
          <w:p>
            <w:pPr>
              <w:spacing w:after="0"/>
              <w:rPr>
                <w:sz w:val="16"/>
                <w:szCs w:val="16"/>
                <w:color w:val="auto"/>
              </w:rPr>
            </w:pPr>
          </w:p>
        </w:tc>
        <w:tc>
          <w:tcPr>
            <w:tcW w:w="25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80" w:type="dxa"/>
            <w:vAlign w:val="bottom"/>
          </w:tcPr>
          <w:p>
            <w:pPr>
              <w:spacing w:after="0"/>
              <w:rPr>
                <w:sz w:val="16"/>
                <w:szCs w:val="16"/>
                <w:color w:val="auto"/>
              </w:rPr>
            </w:pPr>
          </w:p>
        </w:tc>
      </w:tr>
      <w:tr>
        <w:trPr>
          <w:trHeight w:val="37"/>
        </w:trPr>
        <w:tc>
          <w:tcPr>
            <w:tcW w:w="558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r>
      <w:tr>
        <w:trPr>
          <w:trHeight w:val="186"/>
        </w:trPr>
        <w:tc>
          <w:tcPr>
            <w:tcW w:w="55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6"/>
                <w:szCs w:val="16"/>
                <w:color w:val="auto"/>
              </w:rPr>
            </w:pPr>
          </w:p>
        </w:tc>
      </w:tr>
      <w:tr>
        <w:trPr>
          <w:trHeight w:val="37"/>
        </w:trPr>
        <w:tc>
          <w:tcPr>
            <w:tcW w:w="558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r>
      <w:tr>
        <w:trPr>
          <w:trHeight w:val="243"/>
        </w:trPr>
        <w:tc>
          <w:tcPr>
            <w:tcW w:w="5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APAC</w:t>
            </w:r>
          </w:p>
        </w:tc>
        <w:tc>
          <w:tcPr>
            <w:tcW w:w="920" w:type="dxa"/>
            <w:vAlign w:val="bottom"/>
            <w:tcBorders>
              <w:bottom w:val="single" w:sz="8" w:color="CCEEFF"/>
            </w:tcBorders>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9,194</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7,259</w:t>
            </w:r>
          </w:p>
        </w:tc>
      </w:tr>
      <w:tr>
        <w:trPr>
          <w:trHeight w:val="243"/>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9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2,848</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2,483</w:t>
            </w:r>
          </w:p>
        </w:tc>
      </w:tr>
      <w:tr>
        <w:trPr>
          <w:trHeight w:val="27"/>
        </w:trPr>
        <w:tc>
          <w:tcPr>
            <w:tcW w:w="5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70"/>
        </w:trPr>
        <w:tc>
          <w:tcPr>
            <w:tcW w:w="5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EMEA</w:t>
            </w:r>
          </w:p>
        </w:tc>
        <w:tc>
          <w:tcPr>
            <w:tcW w:w="9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2,830</w:t>
            </w: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3,396</w:t>
            </w:r>
          </w:p>
        </w:tc>
      </w:tr>
      <w:tr>
        <w:trPr>
          <w:trHeight w:val="263"/>
        </w:trPr>
        <w:tc>
          <w:tcPr>
            <w:tcW w:w="5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revenue</w:t>
            </w:r>
          </w:p>
        </w:tc>
        <w:tc>
          <w:tcPr>
            <w:tcW w:w="920" w:type="dxa"/>
            <w:vAlign w:val="bottom"/>
            <w:tcBorders>
              <w:top w:val="single" w:sz="8" w:color="auto"/>
              <w:bottom w:val="single" w:sz="8" w:color="auto"/>
            </w:tcBorders>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14,872</w:t>
            </w:r>
          </w:p>
        </w:tc>
        <w:tc>
          <w:tcPr>
            <w:tcW w:w="100" w:type="dxa"/>
            <w:vAlign w:val="bottom"/>
          </w:tcPr>
          <w:p>
            <w:pPr>
              <w:spacing w:after="0"/>
              <w:rPr>
                <w:sz w:val="22"/>
                <w:szCs w:val="22"/>
                <w:color w:val="auto"/>
              </w:rPr>
            </w:pPr>
          </w:p>
        </w:tc>
        <w:tc>
          <w:tcPr>
            <w:tcW w:w="940" w:type="dxa"/>
            <w:vAlign w:val="bottom"/>
            <w:tcBorders>
              <w:top w:val="single" w:sz="8" w:color="auto"/>
              <w:bottom w:val="single" w:sz="8" w:color="auto"/>
            </w:tcBorders>
          </w:tcPr>
          <w:p>
            <w:pPr>
              <w:jc w:val="right"/>
              <w:ind w:right="75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13,138</w:t>
            </w:r>
          </w:p>
        </w:tc>
      </w:tr>
      <w:tr>
        <w:trPr>
          <w:trHeight w:val="21"/>
        </w:trPr>
        <w:tc>
          <w:tcPr>
            <w:tcW w:w="55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99" w:lineRule="exact"/>
        <w:rPr>
          <w:sz w:val="20"/>
          <w:szCs w:val="20"/>
          <w:color w:val="auto"/>
        </w:rPr>
      </w:pPr>
    </w:p>
    <w:tbl>
      <w:tblPr>
        <w:tblLayout w:type="fixed"/>
        <w:tblInd w:w="940" w:type="dxa"/>
        <w:tblCellMar>
          <w:top w:w="0" w:type="dxa"/>
          <w:left w:w="0" w:type="dxa"/>
          <w:bottom w:w="0" w:type="dxa"/>
          <w:right w:w="0" w:type="dxa"/>
        </w:tblCellMar>
      </w:tblPr>
      <w:tr>
        <w:trPr>
          <w:trHeight w:val="175"/>
        </w:trPr>
        <w:tc>
          <w:tcPr>
            <w:tcW w:w="4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8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90"/>
        </w:trPr>
        <w:tc>
          <w:tcPr>
            <w:tcW w:w="4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40" w:type="dxa"/>
            <w:vAlign w:val="bottom"/>
            <w:gridSpan w:val="3"/>
          </w:tcPr>
          <w:p>
            <w:pPr>
              <w:ind w:left="8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20" w:type="dxa"/>
            <w:vAlign w:val="bottom"/>
          </w:tcPr>
          <w:p>
            <w:pPr>
              <w:spacing w:after="0"/>
              <w:rPr>
                <w:sz w:val="16"/>
                <w:szCs w:val="16"/>
                <w:color w:val="auto"/>
              </w:rPr>
            </w:pPr>
          </w:p>
        </w:tc>
      </w:tr>
      <w:tr>
        <w:trPr>
          <w:trHeight w:val="37"/>
        </w:trPr>
        <w:tc>
          <w:tcPr>
            <w:tcW w:w="40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gridSpan w:val="3"/>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186"/>
        </w:trPr>
        <w:tc>
          <w:tcPr>
            <w:tcW w:w="4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4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37"/>
        </w:trPr>
        <w:tc>
          <w:tcPr>
            <w:tcW w:w="40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60" w:type="dxa"/>
            <w:vAlign w:val="bottom"/>
            <w:tcBorders>
              <w:bottom w:val="single" w:sz="8" w:color="auto"/>
            </w:tcBorders>
            <w:gridSpan w:val="2"/>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227"/>
        </w:trPr>
        <w:tc>
          <w:tcPr>
            <w:tcW w:w="4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740" w:type="dxa"/>
            <w:vAlign w:val="bottom"/>
            <w:gridSpan w:val="6"/>
          </w:tcPr>
          <w:p>
            <w:pPr>
              <w:ind w:left="30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920" w:type="dxa"/>
            <w:vAlign w:val="bottom"/>
          </w:tcPr>
          <w:p>
            <w:pPr>
              <w:spacing w:after="0"/>
              <w:rPr>
                <w:sz w:val="19"/>
                <w:szCs w:val="19"/>
                <w:color w:val="auto"/>
              </w:rPr>
            </w:pPr>
          </w:p>
        </w:tc>
      </w:tr>
      <w:tr>
        <w:trPr>
          <w:trHeight w:val="37"/>
        </w:trPr>
        <w:tc>
          <w:tcPr>
            <w:tcW w:w="40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50"/>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sales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11,026</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center"/>
              <w:ind w:left="377"/>
              <w:spacing w:after="0"/>
              <w:rPr>
                <w:sz w:val="20"/>
                <w:szCs w:val="20"/>
                <w:color w:val="auto"/>
              </w:rPr>
            </w:pPr>
            <w:r>
              <w:rPr>
                <w:rFonts w:ascii="Times New Roman" w:cs="Times New Roman" w:eastAsia="Times New Roman" w:hAnsi="Times New Roman"/>
                <w:sz w:val="18"/>
                <w:szCs w:val="18"/>
                <w:color w:val="auto"/>
                <w:w w:val="98"/>
              </w:rPr>
              <w:t>3,074</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27.9 %</w:t>
            </w:r>
          </w:p>
        </w:tc>
      </w:tr>
      <w:tr>
        <w:trPr>
          <w:trHeight w:val="225"/>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Licensing, royalty, patent, engineering services and</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4"/>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revenue</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2,112</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center"/>
              <w:ind w:left="337"/>
              <w:spacing w:after="0"/>
              <w:rPr>
                <w:sz w:val="20"/>
                <w:szCs w:val="20"/>
                <w:color w:val="auto"/>
              </w:rPr>
            </w:pPr>
            <w:r>
              <w:rPr>
                <w:rFonts w:ascii="Times New Roman" w:cs="Times New Roman" w:eastAsia="Times New Roman" w:hAnsi="Times New Roman"/>
                <w:sz w:val="18"/>
                <w:szCs w:val="18"/>
                <w:color w:val="auto"/>
                <w:w w:val="98"/>
              </w:rPr>
              <w:t>(1,340)</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w:t>
            </w:r>
          </w:p>
        </w:tc>
      </w:tr>
      <w:tr>
        <w:trPr>
          <w:trHeight w:val="27"/>
        </w:trPr>
        <w:tc>
          <w:tcPr>
            <w:tcW w:w="40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r>
      <w:tr>
        <w:trPr>
          <w:trHeight w:val="289"/>
        </w:trPr>
        <w:tc>
          <w:tcPr>
            <w:tcW w:w="40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14,872</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13,138</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center"/>
              <w:ind w:left="377"/>
              <w:spacing w:after="0"/>
              <w:rPr>
                <w:sz w:val="20"/>
                <w:szCs w:val="20"/>
                <w:color w:val="auto"/>
              </w:rPr>
            </w:pPr>
            <w:r>
              <w:rPr>
                <w:rFonts w:ascii="Times New Roman" w:cs="Times New Roman" w:eastAsia="Times New Roman" w:hAnsi="Times New Roman"/>
                <w:sz w:val="18"/>
                <w:szCs w:val="18"/>
                <w:color w:val="auto"/>
                <w:w w:val="98"/>
              </w:rPr>
              <w:t>1,734</w:t>
            </w:r>
          </w:p>
        </w:tc>
        <w:tc>
          <w:tcPr>
            <w:tcW w:w="8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13.2 %</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r>
    </w:tbl>
    <w:p>
      <w:pPr>
        <w:spacing w:after="0" w:line="252"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Total revenue increased by $1.7 million, or 13.2%, from $13.1 million during the three months ended March 31, 2025 to $14.9 million during the three months ended March 31, 2026. The increase was due to an increase in product sales of $3.1 million or 27.9%, and partially offset by a decrease in licensing, royalty, patent, engineering services and other revenue of $1.3 million.</w:t>
      </w:r>
    </w:p>
    <w:p>
      <w:pPr>
        <w:spacing w:after="0" w:line="176"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Licensing, royalty, patent, engineering services and other revenue is a highly variable revenue item characterized by a small number of transactions annually with revenue based on size and terms of each transaction. We estimate royalty revenue earned throughout the year, with an annual adjustment recognized for actual sales in the first quarter of each fiscal year. Licensing, royalty, patent, engineering services and other revenue decreased by $1.3 million, or 63.4% from $2.1 million during the three months ended March 31, 2025, to $0.8 million during the three months ended March 31, 2026. The decrease was primarily due to the conclusion of an agreement for the development of an AI technology application.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Sales and Gross Margin</w:t>
      </w:r>
    </w:p>
    <w:p>
      <w:pPr>
        <w:spacing w:after="0" w:line="275" w:lineRule="exact"/>
        <w:rPr>
          <w:sz w:val="20"/>
          <w:szCs w:val="20"/>
          <w:color w:val="auto"/>
        </w:rPr>
      </w:pPr>
    </w:p>
    <w:tbl>
      <w:tblPr>
        <w:tblLayout w:type="fixed"/>
        <w:tblInd w:w="540" w:type="dxa"/>
        <w:tblCellMar>
          <w:top w:w="0" w:type="dxa"/>
          <w:left w:w="0" w:type="dxa"/>
          <w:bottom w:w="0" w:type="dxa"/>
          <w:right w:w="0" w:type="dxa"/>
        </w:tblCellMar>
      </w:tblPr>
      <w:tr>
        <w:trPr>
          <w:trHeight w:val="175"/>
        </w:trPr>
        <w:tc>
          <w:tcPr>
            <w:tcW w:w="4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58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90"/>
        </w:trPr>
        <w:tc>
          <w:tcPr>
            <w:tcW w:w="4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2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gridSpan w:val="3"/>
          </w:tcPr>
          <w:p>
            <w:pPr>
              <w:ind w:left="8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20" w:type="dxa"/>
            <w:vAlign w:val="bottom"/>
          </w:tcPr>
          <w:p>
            <w:pPr>
              <w:spacing w:after="0"/>
              <w:rPr>
                <w:sz w:val="16"/>
                <w:szCs w:val="16"/>
                <w:color w:val="auto"/>
              </w:rPr>
            </w:pPr>
          </w:p>
        </w:tc>
      </w:tr>
      <w:tr>
        <w:trPr>
          <w:trHeight w:val="37"/>
        </w:trPr>
        <w:tc>
          <w:tcPr>
            <w:tcW w:w="46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500" w:type="dxa"/>
            <w:vAlign w:val="bottom"/>
            <w:tcBorders>
              <w:bottom w:val="single" w:sz="8" w:color="auto"/>
            </w:tcBorders>
            <w:gridSpan w:val="3"/>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186"/>
        </w:trPr>
        <w:tc>
          <w:tcPr>
            <w:tcW w:w="4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6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37"/>
        </w:trPr>
        <w:tc>
          <w:tcPr>
            <w:tcW w:w="46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227"/>
        </w:trPr>
        <w:tc>
          <w:tcPr>
            <w:tcW w:w="4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780" w:type="dxa"/>
            <w:vAlign w:val="bottom"/>
            <w:gridSpan w:val="6"/>
          </w:tcPr>
          <w:p>
            <w:pPr>
              <w:ind w:left="2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920" w:type="dxa"/>
            <w:vAlign w:val="bottom"/>
          </w:tcPr>
          <w:p>
            <w:pPr>
              <w:spacing w:after="0"/>
              <w:rPr>
                <w:sz w:val="19"/>
                <w:szCs w:val="19"/>
                <w:color w:val="auto"/>
              </w:rPr>
            </w:pPr>
          </w:p>
        </w:tc>
      </w:tr>
      <w:tr>
        <w:trPr>
          <w:trHeight w:val="37"/>
        </w:trPr>
        <w:tc>
          <w:tcPr>
            <w:tcW w:w="46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50"/>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 sales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6,955</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6,029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center"/>
              <w:ind w:left="497"/>
              <w:spacing w:after="0"/>
              <w:rPr>
                <w:sz w:val="20"/>
                <w:szCs w:val="20"/>
                <w:color w:val="auto"/>
              </w:rPr>
            </w:pPr>
            <w:r>
              <w:rPr>
                <w:rFonts w:ascii="Times New Roman" w:cs="Times New Roman" w:eastAsia="Times New Roman" w:hAnsi="Times New Roman"/>
                <w:sz w:val="18"/>
                <w:szCs w:val="18"/>
                <w:color w:val="auto"/>
              </w:rPr>
              <w:t>926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15.4 %</w:t>
            </w:r>
          </w:p>
        </w:tc>
      </w:tr>
      <w:tr>
        <w:trPr>
          <w:trHeight w:val="225"/>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licensing, royalty, patent, engineering services and</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4"/>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revenue</w:t>
            </w:r>
          </w:p>
        </w:tc>
        <w:tc>
          <w:tcPr>
            <w:tcW w:w="320" w:type="dxa"/>
            <w:vAlign w:val="bottom"/>
          </w:tcPr>
          <w:p>
            <w:pPr>
              <w:spacing w:after="0"/>
              <w:rPr>
                <w:sz w:val="20"/>
                <w:szCs w:val="20"/>
                <w:color w:val="auto"/>
              </w:rPr>
            </w:pPr>
          </w:p>
        </w:tc>
        <w:tc>
          <w:tcPr>
            <w:tcW w:w="1040" w:type="dxa"/>
            <w:vAlign w:val="bottom"/>
          </w:tcPr>
          <w:p>
            <w:pPr>
              <w:jc w:val="right"/>
              <w:ind w:right="138"/>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center"/>
              <w:ind w:left="477"/>
              <w:spacing w:after="0"/>
              <w:rPr>
                <w:sz w:val="20"/>
                <w:szCs w:val="20"/>
                <w:color w:val="auto"/>
              </w:rPr>
            </w:pPr>
            <w:r>
              <w:rPr>
                <w:rFonts w:ascii="Times New Roman" w:cs="Times New Roman" w:eastAsia="Times New Roman" w:hAnsi="Times New Roman"/>
                <w:sz w:val="18"/>
                <w:szCs w:val="18"/>
                <w:color w:val="auto"/>
                <w:w w:val="97"/>
              </w:rPr>
              <w:t>(282)</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w:t>
            </w:r>
          </w:p>
        </w:tc>
      </w:tr>
      <w:tr>
        <w:trPr>
          <w:trHeight w:val="27"/>
        </w:trPr>
        <w:tc>
          <w:tcPr>
            <w:tcW w:w="46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r>
      <w:tr>
        <w:trPr>
          <w:trHeight w:val="289"/>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 of sales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7,029</w:t>
            </w:r>
          </w:p>
        </w:tc>
        <w:tc>
          <w:tcPr>
            <w:tcW w:w="8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6,385</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center"/>
              <w:ind w:left="497"/>
              <w:spacing w:after="0"/>
              <w:rPr>
                <w:sz w:val="20"/>
                <w:szCs w:val="20"/>
                <w:color w:val="auto"/>
              </w:rPr>
            </w:pPr>
            <w:r>
              <w:rPr>
                <w:rFonts w:ascii="Times New Roman" w:cs="Times New Roman" w:eastAsia="Times New Roman" w:hAnsi="Times New Roman"/>
                <w:sz w:val="18"/>
                <w:szCs w:val="18"/>
                <w:color w:val="auto"/>
              </w:rPr>
              <w:t>644</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10.1 %</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r>
      <w:tr>
        <w:trPr>
          <w:trHeight w:val="217"/>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52.7 %</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Cost of product sales increased by $0.9 million, or 15.4%, from $6.0 million during the three months ended March 31, 2025, to $7.0 million during the three months ended March 31, 2026. Cost of product sales relate primarily to costs of our Toggle and STT products and have increased consistently and proportionately with the increase in revenues.</w:t>
      </w:r>
    </w:p>
    <w:p>
      <w:pPr>
        <w:spacing w:after="0" w:line="176"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Cost of licensing, royalty, patent, engineering services and other revenue decreased by $0.3 million, or 79.2%, from $0.4 million during the three months ended March 31, 2025, to $0.1 million during the three months ended March 31, 2026. The decrease was primarily due to a decrease in licensing costs related to labor and materials associated with the development of an AI technology application.</w:t>
      </w:r>
    </w:p>
    <w:p>
      <w:pPr>
        <w:spacing w:after="0" w:line="176"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Gross margin increased from 51.4% during the three months ended March 31, 2025, to 52.7% during the three months ended March 31, 2026. Gross margin increased as a result of the different revenue mix and yield improvements.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22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Our operating expenses consist of research and development, general and administrative and sales and marketing expenses. Personnel-related expenses, including salaries, benefits, bonuses and stock-based compensation, are among the most significant component of each of our operating expense categories.</w:t>
      </w:r>
    </w:p>
    <w:p>
      <w:pPr>
        <w:spacing w:after="0" w:line="209" w:lineRule="exact"/>
        <w:rPr>
          <w:sz w:val="20"/>
          <w:szCs w:val="20"/>
          <w:color w:val="auto"/>
        </w:rPr>
      </w:pPr>
    </w:p>
    <w:tbl>
      <w:tblPr>
        <w:tblLayout w:type="fixed"/>
        <w:tblInd w:w="1300" w:type="dxa"/>
        <w:tblCellMar>
          <w:top w:w="0" w:type="dxa"/>
          <w:left w:w="0" w:type="dxa"/>
          <w:bottom w:w="0" w:type="dxa"/>
          <w:right w:w="0" w:type="dxa"/>
        </w:tblCellMar>
      </w:tblPr>
      <w:tr>
        <w:trPr>
          <w:trHeight w:val="176"/>
        </w:trPr>
        <w:tc>
          <w:tcPr>
            <w:tcW w:w="3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520" w:type="dxa"/>
            <w:vAlign w:val="bottom"/>
            <w:gridSpan w:val="3"/>
          </w:tcPr>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90"/>
        </w:trPr>
        <w:tc>
          <w:tcPr>
            <w:tcW w:w="3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20" w:type="dxa"/>
            <w:vAlign w:val="bottom"/>
            <w:gridSpan w:val="2"/>
          </w:tcPr>
          <w:p>
            <w:pPr>
              <w:jc w:val="center"/>
              <w:ind w:left="54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gridSpan w:val="3"/>
          </w:tcPr>
          <w:p>
            <w:pPr>
              <w:ind w:left="8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00" w:type="dxa"/>
            <w:vAlign w:val="bottom"/>
          </w:tcPr>
          <w:p>
            <w:pPr>
              <w:spacing w:after="0"/>
              <w:rPr>
                <w:sz w:val="16"/>
                <w:szCs w:val="16"/>
                <w:color w:val="auto"/>
              </w:rPr>
            </w:pPr>
          </w:p>
        </w:tc>
      </w:tr>
      <w:tr>
        <w:trPr>
          <w:trHeight w:val="37"/>
        </w:trPr>
        <w:tc>
          <w:tcPr>
            <w:tcW w:w="31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gridSpan w:val="3"/>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186"/>
        </w:trPr>
        <w:tc>
          <w:tcPr>
            <w:tcW w:w="3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2026</w:t>
            </w:r>
          </w:p>
        </w:tc>
        <w:tc>
          <w:tcPr>
            <w:tcW w:w="460" w:type="dxa"/>
            <w:vAlign w:val="bottom"/>
          </w:tcPr>
          <w:p>
            <w:pPr>
              <w:spacing w:after="0"/>
              <w:rPr>
                <w:sz w:val="16"/>
                <w:szCs w:val="16"/>
                <w:color w:val="auto"/>
              </w:rPr>
            </w:pPr>
          </w:p>
        </w:tc>
        <w:tc>
          <w:tcPr>
            <w:tcW w:w="100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6"/>
                <w:szCs w:val="16"/>
                <w:color w:val="auto"/>
              </w:rPr>
            </w:pPr>
          </w:p>
        </w:tc>
        <w:tc>
          <w:tcPr>
            <w:tcW w:w="148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0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37"/>
        </w:trPr>
        <w:tc>
          <w:tcPr>
            <w:tcW w:w="31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240" w:type="dxa"/>
            <w:vAlign w:val="bottom"/>
            <w:tcBorders>
              <w:bottom w:val="single" w:sz="8" w:color="auto"/>
            </w:tcBorders>
            <w:gridSpan w:val="3"/>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227"/>
        </w:trPr>
        <w:tc>
          <w:tcPr>
            <w:tcW w:w="3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74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900" w:type="dxa"/>
            <w:vAlign w:val="bottom"/>
          </w:tcPr>
          <w:p>
            <w:pPr>
              <w:spacing w:after="0"/>
              <w:rPr>
                <w:sz w:val="19"/>
                <w:szCs w:val="19"/>
                <w:color w:val="auto"/>
              </w:rPr>
            </w:pPr>
          </w:p>
        </w:tc>
      </w:tr>
      <w:tr>
        <w:trPr>
          <w:trHeight w:val="37"/>
        </w:trPr>
        <w:tc>
          <w:tcPr>
            <w:tcW w:w="3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50"/>
        </w:trPr>
        <w:tc>
          <w:tcPr>
            <w:tcW w:w="3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3,605</w:t>
            </w:r>
          </w:p>
        </w:tc>
        <w:tc>
          <w:tcPr>
            <w:tcW w:w="46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auto"/>
              </w:rPr>
              <w:t>3,356</w:t>
            </w:r>
          </w:p>
        </w:tc>
        <w:tc>
          <w:tcPr>
            <w:tcW w:w="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7.4 %</w:t>
            </w:r>
          </w:p>
        </w:tc>
      </w:tr>
      <w:tr>
        <w:trPr>
          <w:trHeight w:val="225"/>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as a % of</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4"/>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4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spacing w:after="0"/>
              <w:rPr>
                <w:sz w:val="20"/>
                <w:szCs w:val="20"/>
                <w:color w:val="auto"/>
              </w:rPr>
            </w:pPr>
          </w:p>
        </w:tc>
      </w:tr>
    </w:tbl>
    <w:p>
      <w:pPr>
        <w:spacing w:after="0" w:line="277" w:lineRule="exact"/>
        <w:rPr>
          <w:sz w:val="20"/>
          <w:szCs w:val="20"/>
          <w:color w:val="auto"/>
        </w:rPr>
      </w:pPr>
    </w:p>
    <w:p>
      <w:pPr>
        <w:jc w:val="both"/>
        <w:ind w:right="160"/>
        <w:spacing w:after="0" w:line="267" w:lineRule="auto"/>
        <w:rPr>
          <w:sz w:val="20"/>
          <w:szCs w:val="20"/>
          <w:color w:val="auto"/>
        </w:rPr>
      </w:pPr>
      <w:r>
        <w:rPr>
          <w:rFonts w:ascii="Times New Roman" w:cs="Times New Roman" w:eastAsia="Times New Roman" w:hAnsi="Times New Roman"/>
          <w:sz w:val="18"/>
          <w:szCs w:val="18"/>
          <w:i w:val="1"/>
          <w:iCs w:val="1"/>
          <w:color w:val="auto"/>
        </w:rPr>
        <w:t>Research and Development Expenses</w:t>
      </w:r>
      <w:r>
        <w:rPr>
          <w:rFonts w:ascii="Times New Roman" w:cs="Times New Roman" w:eastAsia="Times New Roman" w:hAnsi="Times New Roman"/>
          <w:sz w:val="18"/>
          <w:szCs w:val="18"/>
          <w:color w:val="auto"/>
        </w:rPr>
        <w:t>. Research and development expenses increased by $0.2 million, or 7.4%, from $3.4 million during the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March 31, 2025, to $3.6 million during the three months ended March 31, 2026. The research and development expenses increase relates primarily to higher compensation costs and contract labor.</w:t>
      </w:r>
    </w:p>
    <w:p>
      <w:pPr>
        <w:spacing w:after="0" w:line="200" w:lineRule="exact"/>
        <w:rPr>
          <w:sz w:val="20"/>
          <w:szCs w:val="20"/>
          <w:color w:val="auto"/>
        </w:rPr>
      </w:pPr>
    </w:p>
    <w:p>
      <w:pPr>
        <w:spacing w:after="0" w:line="239" w:lineRule="exact"/>
        <w:rPr>
          <w:sz w:val="20"/>
          <w:szCs w:val="20"/>
          <w:color w:val="auto"/>
        </w:rPr>
      </w:pPr>
    </w:p>
    <w:tbl>
      <w:tblPr>
        <w:tblLayout w:type="fixed"/>
        <w:tblInd w:w="1300" w:type="dxa"/>
        <w:tblCellMar>
          <w:top w:w="0" w:type="dxa"/>
          <w:left w:w="0" w:type="dxa"/>
          <w:bottom w:w="0" w:type="dxa"/>
          <w:right w:w="0" w:type="dxa"/>
        </w:tblCellMar>
      </w:tblPr>
      <w:tr>
        <w:trPr>
          <w:trHeight w:val="176"/>
        </w:trPr>
        <w:tc>
          <w:tcPr>
            <w:tcW w:w="3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540" w:type="dxa"/>
            <w:vAlign w:val="bottom"/>
            <w:gridSpan w:val="4"/>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90"/>
        </w:trPr>
        <w:tc>
          <w:tcPr>
            <w:tcW w:w="3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00" w:type="dxa"/>
            <w:vAlign w:val="bottom"/>
            <w:gridSpan w:val="2"/>
          </w:tcPr>
          <w:p>
            <w:pPr>
              <w:jc w:val="center"/>
              <w:ind w:left="54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3"/>
          </w:tcPr>
          <w:p>
            <w:pPr>
              <w:ind w:left="8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00" w:type="dxa"/>
            <w:vAlign w:val="bottom"/>
          </w:tcPr>
          <w:p>
            <w:pPr>
              <w:spacing w:after="0"/>
              <w:rPr>
                <w:sz w:val="16"/>
                <w:szCs w:val="16"/>
                <w:color w:val="auto"/>
              </w:rPr>
            </w:pPr>
          </w:p>
        </w:tc>
      </w:tr>
      <w:tr>
        <w:trPr>
          <w:trHeight w:val="37"/>
        </w:trPr>
        <w:tc>
          <w:tcPr>
            <w:tcW w:w="32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gridSpan w:val="3"/>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186"/>
        </w:trPr>
        <w:tc>
          <w:tcPr>
            <w:tcW w:w="3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2026</w:t>
            </w:r>
          </w:p>
        </w:tc>
        <w:tc>
          <w:tcPr>
            <w:tcW w:w="440" w:type="dxa"/>
            <w:vAlign w:val="bottom"/>
          </w:tcPr>
          <w:p>
            <w:pPr>
              <w:spacing w:after="0"/>
              <w:rPr>
                <w:sz w:val="16"/>
                <w:szCs w:val="16"/>
                <w:color w:val="auto"/>
              </w:rPr>
            </w:pPr>
          </w:p>
        </w:tc>
        <w:tc>
          <w:tcPr>
            <w:tcW w:w="96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0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37"/>
        </w:trPr>
        <w:tc>
          <w:tcPr>
            <w:tcW w:w="32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0" w:type="dxa"/>
            <w:vAlign w:val="bottom"/>
            <w:tcBorders>
              <w:bottom w:val="single" w:sz="8" w:color="auto"/>
            </w:tcBorders>
            <w:gridSpan w:val="2"/>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227"/>
        </w:trPr>
        <w:tc>
          <w:tcPr>
            <w:tcW w:w="3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740" w:type="dxa"/>
            <w:vAlign w:val="bottom"/>
            <w:gridSpan w:val="6"/>
          </w:tcPr>
          <w:p>
            <w:pPr>
              <w:ind w:left="2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900" w:type="dxa"/>
            <w:vAlign w:val="bottom"/>
          </w:tcPr>
          <w:p>
            <w:pPr>
              <w:spacing w:after="0"/>
              <w:rPr>
                <w:sz w:val="19"/>
                <w:szCs w:val="19"/>
                <w:color w:val="auto"/>
              </w:rPr>
            </w:pPr>
          </w:p>
        </w:tc>
      </w:tr>
      <w:tr>
        <w:trPr>
          <w:trHeight w:val="37"/>
        </w:trPr>
        <w:tc>
          <w:tcPr>
            <w:tcW w:w="3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4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50"/>
        </w:trPr>
        <w:tc>
          <w:tcPr>
            <w:tcW w:w="3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5,061</w:t>
            </w:r>
          </w:p>
        </w:tc>
        <w:tc>
          <w:tcPr>
            <w:tcW w:w="44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rPr>
              <w:t>3,838</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1,223</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31.9 %</w:t>
            </w:r>
          </w:p>
        </w:tc>
      </w:tr>
      <w:tr>
        <w:trPr>
          <w:trHeight w:val="225"/>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as a % of</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4"/>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w:t>
            </w:r>
          </w:p>
        </w:tc>
        <w:tc>
          <w:tcPr>
            <w:tcW w:w="4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0" w:type="dxa"/>
            <w:vAlign w:val="bottom"/>
          </w:tcPr>
          <w:p>
            <w:pPr>
              <w:spacing w:after="0"/>
              <w:rPr>
                <w:sz w:val="20"/>
                <w:szCs w:val="20"/>
                <w:color w:val="auto"/>
              </w:rPr>
            </w:pPr>
          </w:p>
        </w:tc>
      </w:tr>
    </w:tbl>
    <w:p>
      <w:pPr>
        <w:spacing w:after="0" w:line="200" w:lineRule="exact"/>
        <w:rPr>
          <w:sz w:val="20"/>
          <w:szCs w:val="20"/>
          <w:color w:val="auto"/>
        </w:rPr>
      </w:pPr>
    </w:p>
    <w:p>
      <w:pPr>
        <w:spacing w:after="0" w:line="333"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General and Administrative Expenses</w:t>
      </w:r>
      <w:r>
        <w:rPr>
          <w:rFonts w:ascii="Times New Roman" w:cs="Times New Roman" w:eastAsia="Times New Roman" w:hAnsi="Times New Roman"/>
          <w:sz w:val="18"/>
          <w:szCs w:val="18"/>
          <w:color w:val="auto"/>
        </w:rPr>
        <w:t>. General and administrative expenses increased by $1.2 million, or 31.9%, from $3.8 million during the three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March 31, 2025, to $5.1 million during the three months ended March 31, 2026. The increase is primarily due to the litigation costs related to the patent infringement lawsuit described in Note 5 to our condensed financial statements included in Item 1 of this report.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0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80" w:type="dxa"/>
            <w:vAlign w:val="bottom"/>
            <w:gridSpan w:val="4"/>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204"/>
        </w:trPr>
        <w:tc>
          <w:tcPr>
            <w:tcW w:w="130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gridSpan w:val="2"/>
          </w:tcPr>
          <w:p>
            <w:pPr>
              <w:jc w:val="center"/>
              <w:ind w:left="55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gridSpan w:val="3"/>
          </w:tcPr>
          <w:p>
            <w:pPr>
              <w:ind w:left="8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37"/>
        </w:trPr>
        <w:tc>
          <w:tcPr>
            <w:tcW w:w="1300" w:type="dxa"/>
            <w:vAlign w:val="bottom"/>
          </w:tcPr>
          <w:p>
            <w:pPr>
              <w:spacing w:after="0"/>
              <w:rPr>
                <w:sz w:val="3"/>
                <w:szCs w:val="3"/>
                <w:color w:val="auto"/>
              </w:rPr>
            </w:pPr>
          </w:p>
        </w:tc>
        <w:tc>
          <w:tcPr>
            <w:tcW w:w="31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gridSpan w:val="3"/>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80" w:type="dxa"/>
            <w:vAlign w:val="bottom"/>
          </w:tcPr>
          <w:p>
            <w:pPr>
              <w:spacing w:after="0"/>
              <w:rPr>
                <w:sz w:val="3"/>
                <w:szCs w:val="3"/>
                <w:color w:val="auto"/>
              </w:rPr>
            </w:pPr>
          </w:p>
        </w:tc>
      </w:tr>
      <w:tr>
        <w:trPr>
          <w:trHeight w:val="186"/>
        </w:trPr>
        <w:tc>
          <w:tcPr>
            <w:tcW w:w="130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2026</w:t>
            </w:r>
          </w:p>
        </w:tc>
        <w:tc>
          <w:tcPr>
            <w:tcW w:w="440" w:type="dxa"/>
            <w:vAlign w:val="bottom"/>
          </w:tcPr>
          <w:p>
            <w:pPr>
              <w:spacing w:after="0"/>
              <w:rPr>
                <w:sz w:val="16"/>
                <w:szCs w:val="16"/>
                <w:color w:val="auto"/>
              </w:rPr>
            </w:pPr>
          </w:p>
        </w:tc>
        <w:tc>
          <w:tcPr>
            <w:tcW w:w="96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0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w:t>
            </w:r>
          </w:p>
        </w:tc>
        <w:tc>
          <w:tcPr>
            <w:tcW w:w="1280" w:type="dxa"/>
            <w:vAlign w:val="bottom"/>
          </w:tcPr>
          <w:p>
            <w:pPr>
              <w:spacing w:after="0"/>
              <w:rPr>
                <w:sz w:val="16"/>
                <w:szCs w:val="16"/>
                <w:color w:val="auto"/>
              </w:rPr>
            </w:pPr>
          </w:p>
        </w:tc>
      </w:tr>
      <w:tr>
        <w:trPr>
          <w:trHeight w:val="37"/>
        </w:trPr>
        <w:tc>
          <w:tcPr>
            <w:tcW w:w="1300" w:type="dxa"/>
            <w:vAlign w:val="bottom"/>
          </w:tcPr>
          <w:p>
            <w:pPr>
              <w:spacing w:after="0"/>
              <w:rPr>
                <w:sz w:val="3"/>
                <w:szCs w:val="3"/>
                <w:color w:val="auto"/>
              </w:rPr>
            </w:pPr>
          </w:p>
        </w:tc>
        <w:tc>
          <w:tcPr>
            <w:tcW w:w="31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tcBorders>
              <w:bottom w:val="single" w:sz="8" w:color="auto"/>
            </w:tcBorders>
            <w:gridSpan w:val="2"/>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80" w:type="dxa"/>
            <w:vAlign w:val="bottom"/>
          </w:tcPr>
          <w:p>
            <w:pPr>
              <w:spacing w:after="0"/>
              <w:rPr>
                <w:sz w:val="3"/>
                <w:szCs w:val="3"/>
                <w:color w:val="auto"/>
              </w:rPr>
            </w:pPr>
          </w:p>
        </w:tc>
      </w:tr>
      <w:tr>
        <w:trPr>
          <w:trHeight w:val="226"/>
        </w:trPr>
        <w:tc>
          <w:tcPr>
            <w:tcW w:w="130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760" w:type="dxa"/>
            <w:vAlign w:val="bottom"/>
            <w:gridSpan w:val="6"/>
          </w:tcPr>
          <w:p>
            <w:pPr>
              <w:ind w:left="2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9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37"/>
        </w:trPr>
        <w:tc>
          <w:tcPr>
            <w:tcW w:w="1300" w:type="dxa"/>
            <w:vAlign w:val="bottom"/>
          </w:tcPr>
          <w:p>
            <w:pPr>
              <w:spacing w:after="0"/>
              <w:rPr>
                <w:sz w:val="3"/>
                <w:szCs w:val="3"/>
                <w:color w:val="auto"/>
              </w:rPr>
            </w:pPr>
          </w:p>
        </w:tc>
        <w:tc>
          <w:tcPr>
            <w:tcW w:w="3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50"/>
        </w:trPr>
        <w:tc>
          <w:tcPr>
            <w:tcW w:w="1300" w:type="dxa"/>
            <w:vAlign w:val="bottom"/>
          </w:tcPr>
          <w:p>
            <w:pPr>
              <w:spacing w:after="0"/>
              <w:rPr>
                <w:sz w:val="21"/>
                <w:szCs w:val="21"/>
                <w:color w:val="auto"/>
              </w:rPr>
            </w:pPr>
          </w:p>
        </w:tc>
        <w:tc>
          <w:tcPr>
            <w:tcW w:w="3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auto"/>
              </w:rPr>
              <w:t>1,893</w:t>
            </w:r>
          </w:p>
        </w:tc>
        <w:tc>
          <w:tcPr>
            <w:tcW w:w="44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1,491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402</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27.0 %</w:t>
            </w:r>
          </w:p>
        </w:tc>
        <w:tc>
          <w:tcPr>
            <w:tcW w:w="1280" w:type="dxa"/>
            <w:vAlign w:val="bottom"/>
          </w:tcPr>
          <w:p>
            <w:pPr>
              <w:spacing w:after="0"/>
              <w:rPr>
                <w:sz w:val="21"/>
                <w:szCs w:val="21"/>
                <w:color w:val="auto"/>
              </w:rPr>
            </w:pPr>
          </w:p>
        </w:tc>
      </w:tr>
      <w:tr>
        <w:trPr>
          <w:trHeight w:val="243"/>
        </w:trPr>
        <w:tc>
          <w:tcPr>
            <w:tcW w:w="1300" w:type="dxa"/>
            <w:vAlign w:val="bottom"/>
          </w:tcPr>
          <w:p>
            <w:pPr>
              <w:spacing w:after="0"/>
              <w:rPr>
                <w:sz w:val="21"/>
                <w:szCs w:val="21"/>
                <w:color w:val="auto"/>
              </w:rPr>
            </w:pPr>
          </w:p>
        </w:tc>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 as a % of revenue</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4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891"/>
        </w:trPr>
        <w:tc>
          <w:tcPr>
            <w:tcW w:w="13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20</w:t>
            </w: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31"/>
        </w:trPr>
        <w:tc>
          <w:tcPr>
            <w:tcW w:w="130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right="200"/>
        <w:spacing w:after="0" w:line="267" w:lineRule="auto"/>
        <w:rPr>
          <w:sz w:val="20"/>
          <w:szCs w:val="20"/>
          <w:color w:val="auto"/>
        </w:rPr>
      </w:pPr>
      <w:r>
        <w:rPr>
          <w:rFonts w:ascii="Times New Roman" w:cs="Times New Roman" w:eastAsia="Times New Roman" w:hAnsi="Times New Roman"/>
          <w:sz w:val="18"/>
          <w:szCs w:val="18"/>
          <w:i w:val="1"/>
          <w:iCs w:val="1"/>
          <w:color w:val="auto"/>
        </w:rPr>
        <w:t>Sales and Marketing Expenses</w:t>
      </w:r>
      <w:r>
        <w:rPr>
          <w:rFonts w:ascii="Times New Roman" w:cs="Times New Roman" w:eastAsia="Times New Roman" w:hAnsi="Times New Roman"/>
          <w:sz w:val="18"/>
          <w:szCs w:val="18"/>
          <w:color w:val="auto"/>
        </w:rPr>
        <w:t>. Sales and marketing expenses increased by $0.4 million, or 27.0%, from $1.5 million during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31, 2025, to $1.9 million during the three months ended March 31, 2026. The increase is sales and marketing expenses relates primarily to higher compensation costs and contract labor.</w:t>
      </w:r>
    </w:p>
    <w:p>
      <w:pPr>
        <w:spacing w:after="0" w:line="223" w:lineRule="exact"/>
        <w:rPr>
          <w:sz w:val="20"/>
          <w:szCs w:val="20"/>
          <w:color w:val="auto"/>
        </w:rPr>
      </w:pPr>
    </w:p>
    <w:tbl>
      <w:tblPr>
        <w:tblLayout w:type="fixed"/>
        <w:tblInd w:w="1300" w:type="dxa"/>
        <w:tblCellMar>
          <w:top w:w="0" w:type="dxa"/>
          <w:left w:w="0" w:type="dxa"/>
          <w:bottom w:w="0" w:type="dxa"/>
          <w:right w:w="0" w:type="dxa"/>
        </w:tblCellMar>
      </w:tblPr>
      <w:tr>
        <w:trPr>
          <w:trHeight w:val="176"/>
        </w:trPr>
        <w:tc>
          <w:tcPr>
            <w:tcW w:w="3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60" w:type="dxa"/>
            <w:vAlign w:val="bottom"/>
            <w:gridSpan w:val="4"/>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90"/>
        </w:trPr>
        <w:tc>
          <w:tcPr>
            <w:tcW w:w="3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0" w:type="dxa"/>
            <w:vAlign w:val="bottom"/>
            <w:gridSpan w:val="2"/>
          </w:tcPr>
          <w:p>
            <w:pPr>
              <w:jc w:val="center"/>
              <w:ind w:left="48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8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40" w:type="dxa"/>
            <w:vAlign w:val="bottom"/>
          </w:tcPr>
          <w:p>
            <w:pPr>
              <w:spacing w:after="0"/>
              <w:rPr>
                <w:sz w:val="16"/>
                <w:szCs w:val="16"/>
                <w:color w:val="auto"/>
              </w:rPr>
            </w:pPr>
          </w:p>
        </w:tc>
      </w:tr>
      <w:tr>
        <w:trPr>
          <w:trHeight w:val="37"/>
        </w:trPr>
        <w:tc>
          <w:tcPr>
            <w:tcW w:w="33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186"/>
        </w:trPr>
        <w:tc>
          <w:tcPr>
            <w:tcW w:w="3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424"/>
              <w:spacing w:after="0"/>
              <w:rPr>
                <w:sz w:val="20"/>
                <w:szCs w:val="20"/>
                <w:color w:val="auto"/>
              </w:rPr>
            </w:pPr>
            <w:r>
              <w:rPr>
                <w:rFonts w:ascii="Times New Roman" w:cs="Times New Roman" w:eastAsia="Times New Roman" w:hAnsi="Times New Roman"/>
                <w:sz w:val="14"/>
                <w:szCs w:val="14"/>
                <w:b w:val="1"/>
                <w:bCs w:val="1"/>
                <w:color w:val="auto"/>
              </w:rPr>
              <w:t>2026</w:t>
            </w:r>
          </w:p>
        </w:tc>
        <w:tc>
          <w:tcPr>
            <w:tcW w:w="440" w:type="dxa"/>
            <w:vAlign w:val="bottom"/>
          </w:tcPr>
          <w:p>
            <w:pPr>
              <w:spacing w:after="0"/>
              <w:rPr>
                <w:sz w:val="16"/>
                <w:szCs w:val="16"/>
                <w:color w:val="auto"/>
              </w:rPr>
            </w:pPr>
          </w:p>
        </w:tc>
        <w:tc>
          <w:tcPr>
            <w:tcW w:w="860" w:type="dxa"/>
            <w:vAlign w:val="bottom"/>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37"/>
        </w:trPr>
        <w:tc>
          <w:tcPr>
            <w:tcW w:w="33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227"/>
        </w:trPr>
        <w:tc>
          <w:tcPr>
            <w:tcW w:w="3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40" w:type="dxa"/>
            <w:vAlign w:val="bottom"/>
            <w:gridSpan w:val="3"/>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37"/>
        </w:trPr>
        <w:tc>
          <w:tcPr>
            <w:tcW w:w="3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4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43"/>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317</w:t>
            </w:r>
          </w:p>
        </w:tc>
        <w:tc>
          <w:tcPr>
            <w:tcW w:w="4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(91)</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r>
      <w:tr>
        <w:trPr>
          <w:trHeight w:val="27"/>
        </w:trPr>
        <w:tc>
          <w:tcPr>
            <w:tcW w:w="33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2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Interest income slightly decreased by $0.1 million, or 22.3%, from $0.4 million during the three months ended March 31, 2025, to $0.3 million during the three months ended March 31, 2026. The decrease is primarily due to the decrease in interest rates.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275" w:lineRule="exact"/>
        <w:rPr>
          <w:sz w:val="20"/>
          <w:szCs w:val="20"/>
          <w:color w:val="auto"/>
        </w:rPr>
      </w:pPr>
    </w:p>
    <w:tbl>
      <w:tblPr>
        <w:tblLayout w:type="fixed"/>
        <w:tblInd w:w="1300" w:type="dxa"/>
        <w:tblCellMar>
          <w:top w:w="0" w:type="dxa"/>
          <w:left w:w="0" w:type="dxa"/>
          <w:bottom w:w="0" w:type="dxa"/>
          <w:right w:w="0" w:type="dxa"/>
        </w:tblCellMar>
      </w:tblPr>
      <w:tr>
        <w:trPr>
          <w:trHeight w:val="175"/>
        </w:trPr>
        <w:tc>
          <w:tcPr>
            <w:tcW w:w="3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60" w:type="dxa"/>
            <w:vAlign w:val="bottom"/>
            <w:gridSpan w:val="4"/>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90"/>
        </w:trPr>
        <w:tc>
          <w:tcPr>
            <w:tcW w:w="3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0" w:type="dxa"/>
            <w:vAlign w:val="bottom"/>
            <w:gridSpan w:val="2"/>
          </w:tcPr>
          <w:p>
            <w:pPr>
              <w:jc w:val="center"/>
              <w:ind w:left="48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3"/>
          </w:tcPr>
          <w:p>
            <w:pPr>
              <w:ind w:left="8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40" w:type="dxa"/>
            <w:vAlign w:val="bottom"/>
          </w:tcPr>
          <w:p>
            <w:pPr>
              <w:spacing w:after="0"/>
              <w:rPr>
                <w:sz w:val="16"/>
                <w:szCs w:val="16"/>
                <w:color w:val="auto"/>
              </w:rPr>
            </w:pPr>
          </w:p>
        </w:tc>
      </w:tr>
      <w:tr>
        <w:trPr>
          <w:trHeight w:val="37"/>
        </w:trPr>
        <w:tc>
          <w:tcPr>
            <w:tcW w:w="33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gridSpan w:val="3"/>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186"/>
        </w:trPr>
        <w:tc>
          <w:tcPr>
            <w:tcW w:w="3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424"/>
              <w:spacing w:after="0"/>
              <w:rPr>
                <w:sz w:val="20"/>
                <w:szCs w:val="20"/>
                <w:color w:val="auto"/>
              </w:rPr>
            </w:pPr>
            <w:r>
              <w:rPr>
                <w:rFonts w:ascii="Times New Roman" w:cs="Times New Roman" w:eastAsia="Times New Roman" w:hAnsi="Times New Roman"/>
                <w:sz w:val="14"/>
                <w:szCs w:val="14"/>
                <w:b w:val="1"/>
                <w:bCs w:val="1"/>
                <w:color w:val="auto"/>
              </w:rPr>
              <w:t>2026</w:t>
            </w:r>
          </w:p>
        </w:tc>
        <w:tc>
          <w:tcPr>
            <w:tcW w:w="440" w:type="dxa"/>
            <w:vAlign w:val="bottom"/>
          </w:tcPr>
          <w:p>
            <w:pPr>
              <w:spacing w:after="0"/>
              <w:rPr>
                <w:sz w:val="16"/>
                <w:szCs w:val="16"/>
                <w:color w:val="auto"/>
              </w:rPr>
            </w:pPr>
          </w:p>
        </w:tc>
        <w:tc>
          <w:tcPr>
            <w:tcW w:w="860" w:type="dxa"/>
            <w:vAlign w:val="bottom"/>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40" w:type="dxa"/>
            <w:vAlign w:val="bottom"/>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37"/>
        </w:trPr>
        <w:tc>
          <w:tcPr>
            <w:tcW w:w="33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tcBorders>
              <w:bottom w:val="single" w:sz="8" w:color="auto"/>
            </w:tcBorders>
            <w:gridSpan w:val="2"/>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227"/>
        </w:trPr>
        <w:tc>
          <w:tcPr>
            <w:tcW w:w="3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720" w:type="dxa"/>
            <w:vAlign w:val="bottom"/>
            <w:gridSpan w:val="6"/>
          </w:tcPr>
          <w:p>
            <w:pPr>
              <w:ind w:left="30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940" w:type="dxa"/>
            <w:vAlign w:val="bottom"/>
          </w:tcPr>
          <w:p>
            <w:pPr>
              <w:spacing w:after="0"/>
              <w:rPr>
                <w:sz w:val="19"/>
                <w:szCs w:val="19"/>
                <w:color w:val="auto"/>
              </w:rPr>
            </w:pPr>
          </w:p>
        </w:tc>
      </w:tr>
      <w:tr>
        <w:trPr>
          <w:trHeight w:val="37"/>
        </w:trPr>
        <w:tc>
          <w:tcPr>
            <w:tcW w:w="3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4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43"/>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2,106</w:t>
            </w:r>
          </w:p>
        </w:tc>
        <w:tc>
          <w:tcPr>
            <w:tcW w:w="4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1,718</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442.8 %</w:t>
            </w:r>
          </w:p>
        </w:tc>
      </w:tr>
      <w:tr>
        <w:trPr>
          <w:trHeight w:val="27"/>
        </w:trPr>
        <w:tc>
          <w:tcPr>
            <w:tcW w:w="33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252"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Other income, net increased by $1.7 million, or 442.8%, from $0.4 million during the three months ended March 31, 2025, to $2.1 million during the three months ended March 31, 2026. Other income relates primarily to other income recognized from a strategic award we received to develop a long-term plan to provide manufacturing services for aerospace and defense segments.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of March 31, 2026, we had $40.5 million of cash and cash equivalents, compared to $44.5 million as of December 31, 2025. We believe our cash and cash equivalents are sufficient to meet our anticipated capital requirements in the next 12 months. Our long-term capital requirements will depend on many factors, including, among other things, our growth rate, the timing and extent of our spending to support our current and future manufacturing requirements, research and development activities, the timing and cost of establishing additional sales and marketing capabilities, and the introduction of new products.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indicated (in thousands):</w:t>
      </w:r>
    </w:p>
    <w:p>
      <w:pPr>
        <w:spacing w:after="0" w:line="273" w:lineRule="exact"/>
        <w:rPr>
          <w:sz w:val="20"/>
          <w:szCs w:val="20"/>
          <w:color w:val="auto"/>
        </w:rPr>
      </w:pPr>
    </w:p>
    <w:tbl>
      <w:tblPr>
        <w:tblLayout w:type="fixed"/>
        <w:tblInd w:w="1340" w:type="dxa"/>
        <w:tblCellMar>
          <w:top w:w="0" w:type="dxa"/>
          <w:left w:w="0" w:type="dxa"/>
          <w:bottom w:w="0" w:type="dxa"/>
          <w:right w:w="0" w:type="dxa"/>
        </w:tblCellMar>
      </w:tblPr>
      <w:tr>
        <w:trPr>
          <w:trHeight w:val="190"/>
        </w:trPr>
        <w:tc>
          <w:tcPr>
            <w:tcW w:w="5580" w:type="dxa"/>
            <w:vAlign w:val="bottom"/>
          </w:tcPr>
          <w:p>
            <w:pPr>
              <w:spacing w:after="0"/>
              <w:rPr>
                <w:sz w:val="16"/>
                <w:szCs w:val="16"/>
                <w:color w:val="auto"/>
              </w:rPr>
            </w:pPr>
          </w:p>
        </w:tc>
        <w:tc>
          <w:tcPr>
            <w:tcW w:w="298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37"/>
        </w:trPr>
        <w:tc>
          <w:tcPr>
            <w:tcW w:w="558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186"/>
        </w:trPr>
        <w:tc>
          <w:tcPr>
            <w:tcW w:w="55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558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27"/>
        </w:trPr>
        <w:tc>
          <w:tcPr>
            <w:tcW w:w="55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60" w:type="dxa"/>
            <w:vAlign w:val="bottom"/>
          </w:tcPr>
          <w:p>
            <w:pPr>
              <w:spacing w:after="0"/>
              <w:rPr>
                <w:sz w:val="19"/>
                <w:szCs w:val="19"/>
                <w:color w:val="auto"/>
              </w:rPr>
            </w:pPr>
          </w:p>
        </w:tc>
      </w:tr>
      <w:tr>
        <w:trPr>
          <w:trHeight w:val="37"/>
        </w:trPr>
        <w:tc>
          <w:tcPr>
            <w:tcW w:w="5580" w:type="dxa"/>
            <w:vAlign w:val="bottom"/>
          </w:tcPr>
          <w:p>
            <w:pPr>
              <w:spacing w:after="0"/>
              <w:rPr>
                <w:sz w:val="3"/>
                <w:szCs w:val="3"/>
                <w:color w:val="auto"/>
              </w:rPr>
            </w:pPr>
          </w:p>
        </w:tc>
        <w:tc>
          <w:tcPr>
            <w:tcW w:w="8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50"/>
        </w:trPr>
        <w:tc>
          <w:tcPr>
            <w:tcW w:w="5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880" w:type="dxa"/>
            <w:vAlign w:val="bottom"/>
            <w:tcBorders>
              <w:bottom w:val="single" w:sz="8" w:color="CCEEFF"/>
            </w:tcBorders>
            <w:shd w:val="clear" w:color="auto" w:fill="CCEEFF"/>
          </w:tcPr>
          <w:p>
            <w:pPr>
              <w:jc w:val="right"/>
              <w:ind w:right="702"/>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w:t>
            </w:r>
          </w:p>
        </w:tc>
      </w:tr>
      <w:tr>
        <w:trPr>
          <w:trHeight w:val="243"/>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8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(4,834)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w:t>
            </w:r>
          </w:p>
        </w:tc>
      </w:tr>
      <w:tr>
        <w:trPr>
          <w:trHeight w:val="27"/>
        </w:trPr>
        <w:tc>
          <w:tcPr>
            <w:tcW w:w="55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provided by financing activities</w:t>
            </w:r>
          </w:p>
        </w:tc>
        <w:tc>
          <w:tcPr>
            <w:tcW w:w="88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7"/>
        </w:trPr>
        <w:tc>
          <w:tcPr>
            <w:tcW w:w="55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2026, cash provided by operating activities was $0.6 million, which consisted of net loss of $0.3 million, non-cash charges of $2.0 million and changes of net operating assets and liabilities of $1.1 million. The non-cash charges primarily consisted of stock-based compensation of $1.3 million, depreciation and amortization of $0.7 million. The change in our net operating assets and liabilities was primarily due to an increase in</w:t>
      </w:r>
    </w:p>
    <w:p>
      <w:pPr>
        <w:sectPr>
          <w:pgSz w:w="11900" w:h="16838" w:orient="portrait"/>
          <w:cols w:equalWidth="0" w:num="1">
            <w:col w:w="11180"/>
          </w:cols>
          <w:pgMar w:left="320" w:top="121" w:right="39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accounts payable of $1.6 million, an increase in accrued liabilities of $0.9 million, offset by an increase in accounts receivable of $2.1 million, a decrease in contract obligation of $1.2 million, and an increase in inventory of $0.5 million.</w:t>
      </w:r>
    </w:p>
    <w:p>
      <w:pPr>
        <w:spacing w:after="0" w:line="16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During the three months ended March 31, 2025, cash provided by operating activities was $1.4 million, which consisted of net loss of $1.2 million, non-cash charges of $2.4 million and changes of net operating assets and liabilities of $0.2 million. The non-cash charges primarily consisted of stock-based compensation of $1.6 million, depreciation and amortization of $0.8 million. The change in our net operating assets and liabilities was primarily due to an increase in accounts payable of $1.1 million, an increase in deferred revenue of $1.1 million, an increase in contract obligations of $0.6 million, a decrease in prepaid expenses and other current assets of $0.2 million, offset by an increase in inventory of $1.9 million, and an increase in accounts receivable of $0.8 million.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229" w:lineRule="exact"/>
        <w:rPr>
          <w:sz w:val="20"/>
          <w:szCs w:val="20"/>
          <w:color w:val="auto"/>
        </w:rPr>
      </w:pPr>
    </w:p>
    <w:p>
      <w:pPr>
        <w:ind w:right="980"/>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during the three months ended March 31, 2026 was $4.8 million primarily due to $4.4 million in purchases of manufacturing equipment and $0.5 million in purchase of intangible assets.</w:t>
      </w:r>
    </w:p>
    <w:p>
      <w:pPr>
        <w:spacing w:after="0" w:line="162" w:lineRule="exact"/>
        <w:rPr>
          <w:sz w:val="20"/>
          <w:szCs w:val="20"/>
          <w:color w:val="auto"/>
        </w:rPr>
      </w:pPr>
    </w:p>
    <w:p>
      <w:pPr>
        <w:ind w:right="980"/>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during the three months ended March 31, 2025 was $1.4 million primarily due to $0.9 million in purchases of manufacturing equipment and $0.5 million in purchase of intangible assets.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229"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Cash provided by financing activities during the three months ended March 31, 2026 was $0.3 million, consisting of proceeds from the exercise of employee stock options and purchase of shares under our employee stock purchase plan, offset by payments of finance leases.</w:t>
      </w:r>
    </w:p>
    <w:p>
      <w:pPr>
        <w:spacing w:after="0" w:line="162"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Cash provided by financing activities during the three months ended March 31, 2025 was $0.01 million, consisting of proceeds from the exercise of employee stock options and purchase of shares under our employee stock purchase plan, offset by payments of finance leases.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2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Our condensed financial statements have been prepared in accordance with GAAP. The preparation of these condensed financial statements requires us to make estimates and assumptions that affect the reported amounts of assets and liabilities and the disclosure of contingent assets and liabilities at the date of the financial statements, as well as the reported revenue generated, and expenses incurred during the reporting periods. We base our estimates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87"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There have been no changes to our critical accounting policies and estimates described in the Annual Report on Form 10-K for the year ended December 31, 2025, filed with the SEC on March 4, 2026, that have had a material impact on our condensed financial statements and related notes.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required for a smaller reporting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Our management, including our Chief Executive Officer (CEO) and Chief Financial Officer (CFO) evaluated the effectiveness of the design and operation of our disclosure controls and procedures (as defined in Rules 13a-15(e) and 15d-15(e) under the Exchange Act) as of March 31, 2026, the end of the period covered by this Quarterly Report on Form 10-Q.</w:t>
      </w:r>
    </w:p>
    <w:p>
      <w:pPr>
        <w:spacing w:after="0" w:line="17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Based on this evaluation, our CEO and CFO concluded that our disclosure controls and procedures were effective at the reasonable assurance level as of March 31, 2026.</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that occurred during the three months ended March 31, 2026 that materially affected, or are reasonably likely to materially affect, our internal control over financial reporting.</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Inherent limitation on the effectiveness of internal control.</w:t>
      </w:r>
    </w:p>
    <w:p>
      <w:pPr>
        <w:spacing w:after="0" w:line="227"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any system of internal control over financial reporting, including ours, no matter how well designed and operated, can only provide reasonable, not absolute assurances.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On January 28, 2026, Avalanche Technology, Inc. filed a complaint against us in the United States District Court for the District of Delaware alleging patent infringement under 35 U.S.C. § 271. The case is captioned as Avalanche Technology, Inc. v. Everspin Technologies, Inc., Case No. 1:26-cv-91-GBW. In its complaint, Avalanche Technology, Inc. alleges that we are infringing U.S. Patent Nos. 9,318,179, 9,419,210, 11,678,586, and 10,490,737. On March 13, 2026, the Delaware court ordered a stay of the case. On January 28, 2026, Avalanche Technology, Inc. filed a complaint in the United States International Trade Commission (USITC) naming us as a proposed respondent and requesting institution of an investigation based on the importation into the United States, the sale for importation, and the sale within the United States after importation, of certain magnetoresistive devices, products containing same and components thereof, that allegedly infringe certain claims of U.S. Patent Nos. 9,318,179, 9,419,210, 11,678,586, and 10,490,737. On February 27, 2026, the USITC instituted an investigation entitled Certain Magnetoresistive Devices, Products Containing Same and Components Thereof, USITC Inv. No. 337-TA-1487. 91 Fed. Reg. 10624 (Mar. 4, 2026). The USITC Administrative Law Judge has set a target date of July 6, 2027, for completion of the investigation. We believe that we have meritorious arguments against Avalanche’s claims and intend to vigorously defend ourselves against such claims. Additional information regarding these matters is included in Note 5, Commitments and Contingencies, to the condensed financial statements included in this Quarterly Report on Form 10-Q.</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addition to information set forth in this report, you should carefully consider the factors discussed in “Part I, Item 1A. Risk Factors” of our annual report on Form 10-K for our fiscal year ended December 31, 2025 which set forth information relating to important risks and uncertainties that could materially adversely affect our business, financial condition or operating results. You should review and consider such Risk Factors in making any investment decision with respect to our securities.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00" w:lineRule="exact"/>
        <w:rPr>
          <w:sz w:val="20"/>
          <w:szCs w:val="20"/>
          <w:color w:val="auto"/>
        </w:rPr>
      </w:pPr>
    </w:p>
    <w:p>
      <w:pPr>
        <w:spacing w:after="0" w:line="2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Trading Arrangements of Directors and Executive Officers</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None of our directors or executive officers adopted, modified, or terminated a Rule 10b5-1 trading arrangement or a non-Rule 10b5-1 trading arrangement (as defined under Item 408(a) of Regulation S-K) during the quarter ended March 31, 2026.</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5" w:lineRule="exact"/>
        <w:rPr>
          <w:sz w:val="20"/>
          <w:szCs w:val="20"/>
          <w:color w:val="auto"/>
        </w:rPr>
      </w:pPr>
    </w:p>
    <w:p>
      <w:pPr>
        <w:jc w:val="right"/>
        <w:ind w:right="381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60" w:type="dxa"/>
            <w:vAlign w:val="bottom"/>
            <w:gridSpan w:val="6"/>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Incorporation By Reference</w:t>
            </w: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11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112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1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40" w:type="dxa"/>
            <w:vAlign w:val="bottom"/>
            <w:gridSpan w:val="16"/>
          </w:tcPr>
          <w:p>
            <w:pPr>
              <w:ind w:left="4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9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SEC File No.</w:t>
            </w: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Reference</w:t>
            </w:r>
          </w:p>
        </w:tc>
        <w:tc>
          <w:tcPr>
            <w:tcW w:w="106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37"/>
        </w:trPr>
        <w:tc>
          <w:tcPr>
            <w:tcW w:w="10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10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8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45">
              <w:r>
                <w:rPr>
                  <w:rFonts w:ascii="Times New Roman" w:cs="Times New Roman" w:eastAsia="Times New Roman" w:hAnsi="Times New Roman"/>
                  <w:sz w:val="18"/>
                  <w:szCs w:val="18"/>
                  <w:color w:val="0000FF"/>
                  <w:w w:val="99"/>
                </w:rPr>
                <w:t>Amended and Restated Certificate of</w:t>
              </w:r>
            </w:hyperlink>
          </w:p>
        </w:tc>
        <w:tc>
          <w:tcPr>
            <w:tcW w:w="940" w:type="dxa"/>
            <w:vAlign w:val="bottom"/>
            <w:gridSpan w:val="11"/>
          </w:tcPr>
          <w:p>
            <w:pPr>
              <w:spacing w:after="0"/>
              <w:rPr>
                <w:sz w:val="17"/>
                <w:szCs w:val="17"/>
                <w:color w:val="auto"/>
              </w:rPr>
            </w:pPr>
          </w:p>
        </w:tc>
        <w:tc>
          <w:tcPr>
            <w:tcW w:w="940" w:type="dxa"/>
            <w:vAlign w:val="bottom"/>
            <w:gridSpan w:val="2"/>
          </w:tcPr>
          <w:p>
            <w:pPr>
              <w:jc w:val="center"/>
              <w:ind w:right="6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8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001-37900</w:t>
            </w:r>
          </w:p>
        </w:tc>
        <w:tc>
          <w:tcPr>
            <w:tcW w:w="80" w:type="dxa"/>
            <w:vAlign w:val="bottom"/>
          </w:tcPr>
          <w:p>
            <w:pPr>
              <w:spacing w:after="0"/>
              <w:rPr>
                <w:sz w:val="17"/>
                <w:szCs w:val="17"/>
                <w:color w:val="auto"/>
              </w:rPr>
            </w:pPr>
          </w:p>
        </w:tc>
        <w:tc>
          <w:tcPr>
            <w:tcW w:w="8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17"/>
                <w:szCs w:val="17"/>
                <w:color w:val="auto"/>
              </w:rPr>
            </w:pPr>
          </w:p>
        </w:tc>
        <w:tc>
          <w:tcPr>
            <w:tcW w:w="10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10/13/2016</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20" w:type="dxa"/>
            <w:vAlign w:val="bottom"/>
            <w:gridSpan w:val="17"/>
          </w:tcPr>
          <w:p>
            <w:pPr>
              <w:spacing w:after="0" w:line="196" w:lineRule="exact"/>
              <w:rPr>
                <w:rFonts w:ascii="Times New Roman" w:cs="Times New Roman" w:eastAsia="Times New Roman" w:hAnsi="Times New Roman"/>
                <w:sz w:val="18"/>
                <w:szCs w:val="18"/>
                <w:color w:val="0000FF"/>
              </w:rPr>
            </w:pPr>
            <w:hyperlink r:id="rId45">
              <w:r>
                <w:rPr>
                  <w:rFonts w:ascii="Times New Roman" w:cs="Times New Roman" w:eastAsia="Times New Roman" w:hAnsi="Times New Roman"/>
                  <w:sz w:val="18"/>
                  <w:szCs w:val="18"/>
                  <w:color w:val="0000FF"/>
                </w:rPr>
                <w:t>Incorporation</w:t>
              </w:r>
            </w:hyperlink>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0" w:type="dxa"/>
            <w:vAlign w:val="bottom"/>
            <w:tcBorders>
              <w:bottom w:val="single" w:sz="8" w:color="0000FF"/>
            </w:tcBorders>
            <w:gridSpan w:val="7"/>
          </w:tcPr>
          <w:p>
            <w:pPr>
              <w:spacing w:after="0"/>
              <w:rPr>
                <w:rFonts w:ascii="Times New Roman" w:cs="Times New Roman" w:eastAsia="Times New Roman" w:hAnsi="Times New Roman"/>
                <w:sz w:val="18"/>
                <w:szCs w:val="18"/>
                <w:color w:val="0000FF"/>
                <w:w w:val="99"/>
              </w:rPr>
            </w:pPr>
            <w:hyperlink r:id="rId46">
              <w:r>
                <w:rPr>
                  <w:rFonts w:ascii="Times New Roman" w:cs="Times New Roman" w:eastAsia="Times New Roman" w:hAnsi="Times New Roman"/>
                  <w:sz w:val="18"/>
                  <w:szCs w:val="18"/>
                  <w:color w:val="0000FF"/>
                  <w:w w:val="99"/>
                </w:rPr>
                <w:t>Amendment to Amended and Restated</w:t>
              </w:r>
            </w:hyperlink>
          </w:p>
        </w:tc>
        <w:tc>
          <w:tcPr>
            <w:tcW w:w="820" w:type="dxa"/>
            <w:vAlign w:val="bottom"/>
            <w:gridSpan w:val="10"/>
          </w:tcPr>
          <w:p>
            <w:pPr>
              <w:spacing w:after="0"/>
              <w:rPr>
                <w:sz w:val="24"/>
                <w:szCs w:val="24"/>
                <w:color w:val="auto"/>
              </w:rPr>
            </w:pPr>
          </w:p>
        </w:tc>
        <w:tc>
          <w:tcPr>
            <w:tcW w:w="9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8-K</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001-37900</w:t>
            </w: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5/22/2019</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20" w:type="dxa"/>
            <w:vAlign w:val="bottom"/>
            <w:gridSpan w:val="17"/>
          </w:tcPr>
          <w:p>
            <w:pPr>
              <w:spacing w:after="0" w:line="196" w:lineRule="exact"/>
              <w:rPr>
                <w:rFonts w:ascii="Times New Roman" w:cs="Times New Roman" w:eastAsia="Times New Roman" w:hAnsi="Times New Roman"/>
                <w:sz w:val="18"/>
                <w:szCs w:val="18"/>
                <w:color w:val="0000FF"/>
              </w:rPr>
            </w:pPr>
            <w:hyperlink r:id="rId46">
              <w:r>
                <w:rPr>
                  <w:rFonts w:ascii="Times New Roman" w:cs="Times New Roman" w:eastAsia="Times New Roman" w:hAnsi="Times New Roman"/>
                  <w:sz w:val="18"/>
                  <w:szCs w:val="18"/>
                  <w:color w:val="0000FF"/>
                </w:rPr>
                <w:t>Certificate of Incorporation</w:t>
              </w:r>
            </w:hyperlink>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0" w:type="dxa"/>
            <w:vAlign w:val="bottom"/>
            <w:tcBorders>
              <w:bottom w:val="single" w:sz="8" w:color="0000FF"/>
            </w:tcBorders>
            <w:gridSpan w:val="7"/>
          </w:tcPr>
          <w:p>
            <w:pPr>
              <w:spacing w:after="0"/>
              <w:rPr>
                <w:rFonts w:ascii="Times New Roman" w:cs="Times New Roman" w:eastAsia="Times New Roman" w:hAnsi="Times New Roman"/>
                <w:sz w:val="18"/>
                <w:szCs w:val="18"/>
                <w:color w:val="0000FF"/>
                <w:w w:val="99"/>
              </w:rPr>
            </w:pPr>
            <w:hyperlink r:id="rId47">
              <w:r>
                <w:rPr>
                  <w:rFonts w:ascii="Times New Roman" w:cs="Times New Roman" w:eastAsia="Times New Roman" w:hAnsi="Times New Roman"/>
                  <w:sz w:val="18"/>
                  <w:szCs w:val="18"/>
                  <w:color w:val="0000FF"/>
                  <w:w w:val="99"/>
                </w:rPr>
                <w:t>Amendment to Amended and Restated</w:t>
              </w:r>
            </w:hyperlink>
          </w:p>
        </w:tc>
        <w:tc>
          <w:tcPr>
            <w:tcW w:w="820" w:type="dxa"/>
            <w:vAlign w:val="bottom"/>
            <w:gridSpan w:val="10"/>
          </w:tcPr>
          <w:p>
            <w:pPr>
              <w:spacing w:after="0"/>
              <w:rPr>
                <w:sz w:val="24"/>
                <w:szCs w:val="24"/>
                <w:color w:val="auto"/>
              </w:rPr>
            </w:pPr>
          </w:p>
        </w:tc>
        <w:tc>
          <w:tcPr>
            <w:tcW w:w="9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8-K</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001-37900</w:t>
            </w: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5/27/2020</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20" w:type="dxa"/>
            <w:vAlign w:val="bottom"/>
            <w:gridSpan w:val="17"/>
          </w:tcPr>
          <w:p>
            <w:pPr>
              <w:spacing w:after="0" w:line="196" w:lineRule="exact"/>
              <w:rPr>
                <w:rFonts w:ascii="Times New Roman" w:cs="Times New Roman" w:eastAsia="Times New Roman" w:hAnsi="Times New Roman"/>
                <w:sz w:val="18"/>
                <w:szCs w:val="18"/>
                <w:color w:val="0000FF"/>
              </w:rPr>
            </w:pPr>
            <w:hyperlink r:id="rId47">
              <w:r>
                <w:rPr>
                  <w:rFonts w:ascii="Times New Roman" w:cs="Times New Roman" w:eastAsia="Times New Roman" w:hAnsi="Times New Roman"/>
                  <w:sz w:val="18"/>
                  <w:szCs w:val="18"/>
                  <w:color w:val="0000FF"/>
                </w:rPr>
                <w:t>Certificate of Incorporation</w:t>
              </w:r>
            </w:hyperlink>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3.1.3</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0" w:type="dxa"/>
            <w:vAlign w:val="bottom"/>
            <w:tcBorders>
              <w:bottom w:val="single" w:sz="8" w:color="0000FF"/>
            </w:tcBorders>
            <w:gridSpan w:val="7"/>
          </w:tcPr>
          <w:p>
            <w:pPr>
              <w:spacing w:after="0"/>
              <w:rPr>
                <w:rFonts w:ascii="Times New Roman" w:cs="Times New Roman" w:eastAsia="Times New Roman" w:hAnsi="Times New Roman"/>
                <w:sz w:val="18"/>
                <w:szCs w:val="18"/>
                <w:color w:val="0000FF"/>
                <w:w w:val="99"/>
              </w:rPr>
            </w:pPr>
            <w:hyperlink r:id="rId48">
              <w:r>
                <w:rPr>
                  <w:rFonts w:ascii="Times New Roman" w:cs="Times New Roman" w:eastAsia="Times New Roman" w:hAnsi="Times New Roman"/>
                  <w:sz w:val="18"/>
                  <w:szCs w:val="18"/>
                  <w:color w:val="0000FF"/>
                  <w:w w:val="99"/>
                </w:rPr>
                <w:t>Amendment to Amended and Restated</w:t>
              </w:r>
            </w:hyperlink>
          </w:p>
        </w:tc>
        <w:tc>
          <w:tcPr>
            <w:tcW w:w="820" w:type="dxa"/>
            <w:vAlign w:val="bottom"/>
            <w:gridSpan w:val="10"/>
          </w:tcPr>
          <w:p>
            <w:pPr>
              <w:spacing w:after="0"/>
              <w:rPr>
                <w:sz w:val="24"/>
                <w:szCs w:val="24"/>
                <w:color w:val="auto"/>
              </w:rPr>
            </w:pPr>
          </w:p>
        </w:tc>
        <w:tc>
          <w:tcPr>
            <w:tcW w:w="9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8-K</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001-37900</w:t>
            </w: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5/25/2023</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20" w:type="dxa"/>
            <w:vAlign w:val="bottom"/>
            <w:gridSpan w:val="17"/>
          </w:tcPr>
          <w:p>
            <w:pPr>
              <w:spacing w:after="0" w:line="196" w:lineRule="exact"/>
              <w:rPr>
                <w:rFonts w:ascii="Times New Roman" w:cs="Times New Roman" w:eastAsia="Times New Roman" w:hAnsi="Times New Roman"/>
                <w:sz w:val="18"/>
                <w:szCs w:val="18"/>
                <w:color w:val="0000FF"/>
              </w:rPr>
            </w:pPr>
            <w:hyperlink r:id="rId48">
              <w:r>
                <w:rPr>
                  <w:rFonts w:ascii="Times New Roman" w:cs="Times New Roman" w:eastAsia="Times New Roman" w:hAnsi="Times New Roman"/>
                  <w:sz w:val="18"/>
                  <w:szCs w:val="18"/>
                  <w:color w:val="0000FF"/>
                </w:rPr>
                <w:t>Certificate of Incorporation</w:t>
              </w:r>
            </w:hyperlink>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60" w:type="dxa"/>
            <w:vAlign w:val="bottom"/>
            <w:tcBorders>
              <w:bottom w:val="single" w:sz="8" w:color="0000FF"/>
            </w:tcBorders>
            <w:gridSpan w:val="4"/>
          </w:tcPr>
          <w:p>
            <w:pPr>
              <w:spacing w:after="0"/>
              <w:rPr>
                <w:rFonts w:ascii="Times New Roman" w:cs="Times New Roman" w:eastAsia="Times New Roman" w:hAnsi="Times New Roman"/>
                <w:sz w:val="18"/>
                <w:szCs w:val="18"/>
                <w:color w:val="0000FF"/>
                <w:w w:val="99"/>
              </w:rPr>
            </w:pPr>
            <w:hyperlink r:id="rId49">
              <w:r>
                <w:rPr>
                  <w:rFonts w:ascii="Times New Roman" w:cs="Times New Roman" w:eastAsia="Times New Roman" w:hAnsi="Times New Roman"/>
                  <w:sz w:val="18"/>
                  <w:szCs w:val="18"/>
                  <w:color w:val="0000FF"/>
                  <w:w w:val="99"/>
                </w:rPr>
                <w:t>Amended and Restated Bylaws</w:t>
              </w:r>
            </w:hyperlink>
          </w:p>
        </w:tc>
        <w:tc>
          <w:tcPr>
            <w:tcW w:w="1360" w:type="dxa"/>
            <w:vAlign w:val="bottom"/>
            <w:gridSpan w:val="13"/>
          </w:tcPr>
          <w:p>
            <w:pPr>
              <w:spacing w:after="0"/>
              <w:rPr>
                <w:sz w:val="24"/>
                <w:szCs w:val="24"/>
                <w:color w:val="auto"/>
              </w:rPr>
            </w:pPr>
          </w:p>
        </w:tc>
        <w:tc>
          <w:tcPr>
            <w:tcW w:w="9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8-K</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001-37900</w:t>
            </w:r>
          </w:p>
        </w:tc>
        <w:tc>
          <w:tcPr>
            <w:tcW w:w="8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5/22/2019</w:t>
            </w:r>
          </w:p>
        </w:tc>
        <w:tc>
          <w:tcPr>
            <w:tcW w:w="0" w:type="dxa"/>
            <w:vAlign w:val="bottom"/>
          </w:tcPr>
          <w:p>
            <w:pPr>
              <w:spacing w:after="0"/>
              <w:rPr>
                <w:sz w:val="1"/>
                <w:szCs w:val="1"/>
                <w:color w:val="auto"/>
              </w:rPr>
            </w:pPr>
          </w:p>
        </w:tc>
      </w:tr>
      <w:tr>
        <w:trPr>
          <w:trHeight w:val="412"/>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Non-Employee Director Compensation</w:t>
            </w:r>
          </w:p>
        </w:tc>
        <w:tc>
          <w:tcPr>
            <w:tcW w:w="780" w:type="dxa"/>
            <w:vAlign w:val="bottom"/>
            <w:gridSpan w:val="9"/>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2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Program, as amended in March 2026</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4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w:t>
            </w:r>
          </w:p>
        </w:tc>
        <w:tc>
          <w:tcPr>
            <w:tcW w:w="480" w:type="dxa"/>
            <w:vAlign w:val="bottom"/>
            <w:gridSpan w:val="5"/>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80" w:type="dxa"/>
            <w:vAlign w:val="bottom"/>
            <w:tcBorders>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w w:val="99"/>
              </w:rPr>
              <w:t>Pursuant to Rules 13a-14(a) and 15d-14(a)</w:t>
            </w:r>
          </w:p>
        </w:tc>
        <w:tc>
          <w:tcPr>
            <w:tcW w:w="540" w:type="dxa"/>
            <w:vAlign w:val="bottom"/>
            <w:gridSpan w:val="7"/>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4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9"/>
              </w:rPr>
              <w:t>under the Exchange Act</w:t>
            </w:r>
          </w:p>
        </w:tc>
        <w:tc>
          <w:tcPr>
            <w:tcW w:w="1880" w:type="dxa"/>
            <w:vAlign w:val="bottom"/>
            <w:gridSpan w:val="15"/>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0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w:t>
            </w:r>
          </w:p>
        </w:tc>
        <w:tc>
          <w:tcPr>
            <w:tcW w:w="520" w:type="dxa"/>
            <w:vAlign w:val="bottom"/>
            <w:gridSpan w:val="6"/>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80" w:type="dxa"/>
            <w:vAlign w:val="bottom"/>
            <w:tcBorders>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w w:val="99"/>
              </w:rPr>
              <w:t>Pursuant to Rules 13a-14(a) and 15d-14(a)</w:t>
            </w:r>
          </w:p>
        </w:tc>
        <w:tc>
          <w:tcPr>
            <w:tcW w:w="540" w:type="dxa"/>
            <w:vAlign w:val="bottom"/>
            <w:gridSpan w:val="7"/>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4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9"/>
              </w:rPr>
              <w:t>under the Exchange Act</w:t>
            </w:r>
          </w:p>
        </w:tc>
        <w:tc>
          <w:tcPr>
            <w:tcW w:w="1880" w:type="dxa"/>
            <w:vAlign w:val="bottom"/>
            <w:gridSpan w:val="15"/>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4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and</w:t>
            </w:r>
          </w:p>
        </w:tc>
        <w:tc>
          <w:tcPr>
            <w:tcW w:w="180" w:type="dxa"/>
            <w:vAlign w:val="bottom"/>
            <w:gridSpan w:val="2"/>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20" w:type="dxa"/>
            <w:vAlign w:val="bottom"/>
            <w:tcBorders>
              <w:bottom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w w:val="99"/>
              </w:rPr>
              <w:t>Principal Financial Officer Pursuant to 18</w:t>
            </w:r>
          </w:p>
        </w:tc>
        <w:tc>
          <w:tcPr>
            <w:tcW w:w="600" w:type="dxa"/>
            <w:vAlign w:val="bottom"/>
            <w:gridSpan w:val="8"/>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2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U.S.C. Section 1350, as Adopted Pursuant to</w:t>
            </w: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40" w:type="dxa"/>
            <w:vAlign w:val="bottom"/>
            <w:gridSpan w:val="13"/>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20" w:type="dxa"/>
            <w:vAlign w:val="bottom"/>
            <w:tcBorders>
              <w:bottom w:val="single" w:sz="8" w:color="0000FF"/>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FF"/>
                <w:w w:val="99"/>
              </w:rPr>
              <w:t>Section 906 of the Sarbanes-Oxley Act of 2002</w:t>
            </w:r>
          </w:p>
        </w:tc>
        <w:tc>
          <w:tcPr>
            <w:tcW w:w="200" w:type="dxa"/>
            <w:vAlign w:val="bottom"/>
            <w:gridSpan w:val="3"/>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4"/>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4"/>
                <w:szCs w:val="24"/>
                <w:color w:val="auto"/>
              </w:rPr>
            </w:pPr>
          </w:p>
        </w:tc>
        <w:tc>
          <w:tcPr>
            <w:tcW w:w="36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document does not appear in the Interactive</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Data File because its XBRL tags are embedded</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4"/>
                <w:szCs w:val="24"/>
                <w:color w:val="auto"/>
              </w:rPr>
            </w:pPr>
          </w:p>
        </w:tc>
        <w:tc>
          <w:tcPr>
            <w:tcW w:w="36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Schema</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Document</w:t>
            </w: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4"/>
                <w:szCs w:val="24"/>
                <w:color w:val="auto"/>
              </w:rPr>
            </w:pPr>
          </w:p>
        </w:tc>
        <w:tc>
          <w:tcPr>
            <w:tcW w:w="36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4"/>
                <w:szCs w:val="24"/>
                <w:color w:val="auto"/>
              </w:rPr>
            </w:pPr>
          </w:p>
        </w:tc>
        <w:tc>
          <w:tcPr>
            <w:tcW w:w="36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Definition</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4"/>
                <w:szCs w:val="24"/>
                <w:color w:val="auto"/>
              </w:rPr>
            </w:pPr>
          </w:p>
        </w:tc>
        <w:tc>
          <w:tcPr>
            <w:tcW w:w="36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Label</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24"/>
                <w:szCs w:val="24"/>
                <w:color w:val="auto"/>
              </w:rPr>
            </w:pPr>
          </w:p>
        </w:tc>
        <w:tc>
          <w:tcPr>
            <w:tcW w:w="36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20" w:type="dxa"/>
            <w:vAlign w:val="bottom"/>
            <w:gridSpan w:val="17"/>
          </w:tcPr>
          <w:p>
            <w:pPr>
              <w:spacing w:after="0"/>
              <w:rPr>
                <w:sz w:val="20"/>
                <w:szCs w:val="20"/>
                <w:color w:val="auto"/>
              </w:rPr>
            </w:pPr>
            <w:r>
              <w:rPr>
                <w:rFonts w:ascii="Times New Roman" w:cs="Times New Roman" w:eastAsia="Times New Roman" w:hAnsi="Times New Roman"/>
                <w:sz w:val="18"/>
                <w:szCs w:val="18"/>
                <w:color w:val="auto"/>
              </w:rPr>
              <w:t>Inline XBRL and contained in Exhibit 101)</w:t>
            </w: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w:t>
      </w:r>
    </w:p>
    <w:p>
      <w:pPr>
        <w:spacing w:after="0" w:line="27" w:lineRule="exact"/>
        <w:rPr>
          <w:sz w:val="20"/>
          <w:szCs w:val="20"/>
          <w:color w:val="auto"/>
        </w:rPr>
      </w:pPr>
    </w:p>
    <w:p>
      <w:pPr>
        <w:ind w:left="320" w:hanging="312"/>
        <w:spacing w:after="0"/>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ectPr>
          <w:pgSz w:w="11900" w:h="16838" w:orient="portrait"/>
          <w:cols w:equalWidth="0" w:num="1">
            <w:col w:w="10139"/>
          </w:cols>
          <w:pgMar w:left="320" w:top="121" w:right="1440" w:bottom="1440" w:gutter="0" w:footer="0" w:header="0"/>
        </w:sectPr>
      </w:pPr>
    </w:p>
    <w:p>
      <w:pPr>
        <w:spacing w:after="0" w:line="36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210185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left="340" w:hanging="332"/>
        <w:spacing w:after="0" w:line="266" w:lineRule="auto"/>
        <w:tabs>
          <w:tab w:leader="none" w:pos="33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 Exhibit 32.1 is being furnished and shall not be deemed to be “filed” for purposes of Section 18 of the Exchange Act, or otherwise subject to the liability of that section, nor shall such exhibit be deemed to be incorporated by reference in any registration statement or other document filed under the Securities Act or the Exchange Act, except as otherwise specifically stated in such filing.</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1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Everspin Technologies, Inc.</w:t>
      </w:r>
    </w:p>
    <w:p>
      <w:pPr>
        <w:spacing w:after="0" w:line="333" w:lineRule="exact"/>
        <w:rPr>
          <w:sz w:val="20"/>
          <w:szCs w:val="20"/>
          <w:color w:val="auto"/>
        </w:rPr>
      </w:pPr>
    </w:p>
    <w:p>
      <w:pPr>
        <w:ind w:left="20"/>
        <w:spacing w:after="0"/>
        <w:tabs>
          <w:tab w:leader="none" w:pos="5560" w:val="left"/>
          <w:tab w:leader="none" w:pos="6120" w:val="left"/>
        </w:tabs>
        <w:rPr>
          <w:sz w:val="20"/>
          <w:szCs w:val="20"/>
          <w:color w:val="auto"/>
        </w:rPr>
      </w:pPr>
      <w:r>
        <w:rPr>
          <w:rFonts w:ascii="Times New Roman" w:cs="Times New Roman" w:eastAsia="Times New Roman" w:hAnsi="Times New Roman"/>
          <w:sz w:val="18"/>
          <w:szCs w:val="18"/>
          <w:color w:val="auto"/>
        </w:rPr>
        <w:t>Date: April 29,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Sanjeev Aggarwal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34290</wp:posOffset>
            </wp:positionV>
            <wp:extent cx="324866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1">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57"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Sanjeev Aggarwal</w:t>
      </w:r>
    </w:p>
    <w:p>
      <w:pPr>
        <w:spacing w:after="0" w:line="63"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63"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0"/>
        <w:spacing w:after="0"/>
        <w:tabs>
          <w:tab w:leader="none" w:pos="5560" w:val="left"/>
          <w:tab w:leader="none" w:pos="6120" w:val="left"/>
        </w:tabs>
        <w:rPr>
          <w:sz w:val="20"/>
          <w:szCs w:val="20"/>
          <w:color w:val="auto"/>
        </w:rPr>
      </w:pPr>
      <w:r>
        <w:rPr>
          <w:rFonts w:ascii="Times New Roman" w:cs="Times New Roman" w:eastAsia="Times New Roman" w:hAnsi="Times New Roman"/>
          <w:sz w:val="18"/>
          <w:szCs w:val="18"/>
          <w:color w:val="auto"/>
        </w:rPr>
        <w:t>Date: April 29,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William Cooper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34290</wp:posOffset>
            </wp:positionV>
            <wp:extent cx="324866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2">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57"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William Cooper</w:t>
      </w:r>
    </w:p>
    <w:p>
      <w:pPr>
        <w:spacing w:after="0" w:line="63"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3"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00"/>
          </w:cols>
          <w:pgMar w:left="320" w:top="121" w:right="37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EVERSPIN TECHNOLOGIES, INC.</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NON-EMPLOYEE DIRECTOR COMPENSATION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Cash Compensation</w:t>
      </w:r>
    </w:p>
    <w:p>
      <w:pPr>
        <w:spacing w:after="0" w:line="143" w:lineRule="exact"/>
        <w:rPr>
          <w:sz w:val="20"/>
          <w:szCs w:val="20"/>
          <w:color w:val="auto"/>
        </w:rPr>
      </w:pPr>
    </w:p>
    <w:p>
      <w:pPr>
        <w:jc w:val="both"/>
        <w:ind w:firstLine="441"/>
        <w:spacing w:after="0" w:line="251" w:lineRule="auto"/>
        <w:rPr>
          <w:sz w:val="20"/>
          <w:szCs w:val="20"/>
          <w:color w:val="auto"/>
        </w:rPr>
      </w:pPr>
      <w:r>
        <w:rPr>
          <w:rFonts w:ascii="Times New Roman" w:cs="Times New Roman" w:eastAsia="Times New Roman" w:hAnsi="Times New Roman"/>
          <w:sz w:val="22"/>
          <w:szCs w:val="22"/>
          <w:color w:val="auto"/>
        </w:rPr>
        <w:t>Each non-employee director receives an annual fee of $55,000 in cash for serving on the Board of Directors. The Lead Independent Director receives an additional annual cash fee of $17,500. The Chairman of the Board of Directors receives an additional annual cash fee of $20,000. The Chairman of the Audit Committee of the Board of Directors receives an additional annual cash fee of $15,000. The Chairman of the Compensation Committee of the Board of Directors receives an additional annual cash fee of $10,000. The Chairman of the Nominating and Corporate Governance Committee of the Board of Directors receives an additional annual cash fee of $7,500. All fees are payable in cash in equal quarterly installments, payable in arrears.</w:t>
      </w:r>
    </w:p>
    <w:p>
      <w:pPr>
        <w:spacing w:after="0" w:line="114" w:lineRule="exact"/>
        <w:rPr>
          <w:sz w:val="20"/>
          <w:szCs w:val="20"/>
          <w:color w:val="auto"/>
        </w:rPr>
      </w:pPr>
    </w:p>
    <w:p>
      <w:pPr>
        <w:jc w:val="both"/>
        <w:ind w:firstLine="441"/>
        <w:spacing w:after="0" w:line="271" w:lineRule="auto"/>
        <w:rPr>
          <w:sz w:val="20"/>
          <w:szCs w:val="20"/>
          <w:color w:val="auto"/>
        </w:rPr>
      </w:pPr>
      <w:r>
        <w:rPr>
          <w:rFonts w:ascii="Times New Roman" w:cs="Times New Roman" w:eastAsia="Times New Roman" w:hAnsi="Times New Roman"/>
          <w:sz w:val="22"/>
          <w:szCs w:val="22"/>
          <w:color w:val="auto"/>
        </w:rPr>
        <w:t>New non-employee directors will receive an initial annual cash retainer of $55,000. All fees are payable in cash in equal quarterly installments, payable in arrears.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Equity Compensation</w:t>
      </w:r>
    </w:p>
    <w:p>
      <w:pPr>
        <w:spacing w:after="0" w:line="139" w:lineRule="exact"/>
        <w:rPr>
          <w:sz w:val="20"/>
          <w:szCs w:val="20"/>
          <w:color w:val="auto"/>
        </w:rPr>
      </w:pPr>
    </w:p>
    <w:p>
      <w:pPr>
        <w:jc w:val="both"/>
        <w:ind w:firstLine="441"/>
        <w:spacing w:after="0" w:line="254" w:lineRule="auto"/>
        <w:rPr>
          <w:sz w:val="20"/>
          <w:szCs w:val="20"/>
          <w:color w:val="auto"/>
        </w:rPr>
      </w:pPr>
      <w:r>
        <w:rPr>
          <w:rFonts w:ascii="Times New Roman" w:cs="Times New Roman" w:eastAsia="Times New Roman" w:hAnsi="Times New Roman"/>
          <w:sz w:val="22"/>
          <w:szCs w:val="22"/>
          <w:i w:val="1"/>
          <w:iCs w:val="1"/>
          <w:color w:val="auto"/>
        </w:rPr>
        <w:t>Initial Grants</w:t>
      </w:r>
      <w:r>
        <w:rPr>
          <w:rFonts w:ascii="Times New Roman" w:cs="Times New Roman" w:eastAsia="Times New Roman" w:hAnsi="Times New Roman"/>
          <w:sz w:val="22"/>
          <w:szCs w:val="22"/>
          <w:color w:val="auto"/>
        </w:rPr>
        <w:t>. Newly-elected non-employee directors will be granted an restricted stock unit (“RSU”) award with a grant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value of $250,000 (the “Initial Grant”). The Initial Grant will vest 50% on each of the first and second anniversary from the date of grant. In the event of a change in control, any unvested portion of the RSU award underlying an Initial Grant will immediately vest. Upon completion of two years of service on the Board of Directors, new non-employee directors will be entitled to receive an Annual Grant (as defined below).</w:t>
      </w:r>
    </w:p>
    <w:p>
      <w:pPr>
        <w:spacing w:after="0" w:line="173"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22"/>
          <w:szCs w:val="22"/>
          <w:i w:val="1"/>
          <w:iCs w:val="1"/>
          <w:color w:val="auto"/>
        </w:rPr>
        <w:t xml:space="preserve">Annual Grants. </w:t>
      </w:r>
      <w:r>
        <w:rPr>
          <w:rFonts w:ascii="Times New Roman" w:cs="Times New Roman" w:eastAsia="Times New Roman" w:hAnsi="Times New Roman"/>
          <w:sz w:val="22"/>
          <w:szCs w:val="22"/>
          <w:color w:val="auto"/>
        </w:rPr>
        <w:t>On the date of each annual meeting of stockholders, each then current non-employee director may receive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additional an annual RSU award (an “Annual Grant”), in an amount to be determined by the Compensation Committee of the Board of Directors. The Annual Grant will vest monthly over one year from the date of grant. In the event of a change in control, any unvested portion of the RSU award underlying an Annual Grant will immediately vest.</w:t>
      </w:r>
    </w:p>
    <w:p>
      <w:pPr>
        <w:sectPr>
          <w:pgSz w:w="11900" w:h="16838" w:orient="portrait"/>
          <w:cols w:equalWidth="0" w:num="1">
            <w:col w:w="11240"/>
          </w:cols>
          <w:pgMar w:left="320" w:top="1418" w:right="3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Principal 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Sanjeev Aggarwal, certify that:</w:t>
      </w:r>
    </w:p>
    <w:p>
      <w:pPr>
        <w:spacing w:after="0" w:line="225"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Everspin Technologies, Inc.;</w:t>
      </w:r>
    </w:p>
    <w:p>
      <w:pPr>
        <w:spacing w:after="0" w:line="225"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7"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5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7"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5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340" w:hanging="332"/>
        <w:spacing w:after="0" w:line="282"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7"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5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29, 2026</w:t>
      </w:r>
    </w:p>
    <w:p>
      <w:pPr>
        <w:spacing w:after="0" w:line="27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Sanjeev Aggarwal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34290</wp:posOffset>
            </wp:positionV>
            <wp:extent cx="355727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3">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Sanjeev Aggarwal</w:t>
      </w:r>
    </w:p>
    <w:p>
      <w:pPr>
        <w:spacing w:after="0" w:line="6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6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1143"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William Cooper, certify that:</w:t>
      </w:r>
    </w:p>
    <w:p>
      <w:pPr>
        <w:spacing w:after="0" w:line="225"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Everspin Technologies, Inc.;</w:t>
      </w:r>
    </w:p>
    <w:p>
      <w:pPr>
        <w:spacing w:after="0" w:line="225"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7"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7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7"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80" w:right="60" w:hanging="324"/>
        <w:spacing w:after="0" w:line="266" w:lineRule="auto"/>
        <w:tabs>
          <w:tab w:leader="none" w:pos="97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7"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500" w:hanging="324"/>
        <w:spacing w:after="0" w:line="282" w:lineRule="auto"/>
        <w:tabs>
          <w:tab w:leader="none" w:pos="97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29, 2026</w:t>
      </w:r>
    </w:p>
    <w:p>
      <w:pPr>
        <w:spacing w:after="0" w:line="27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William Cooper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34290</wp:posOffset>
            </wp:positionV>
            <wp:extent cx="355727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4">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William Cooper</w:t>
      </w:r>
    </w:p>
    <w:p>
      <w:pPr>
        <w:spacing w:after="0" w:line="6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6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240"/>
          </w:cols>
          <w:pgMar w:left="320" w:top="1143"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AND CHIEF FINANCIAL OFFICER</w:t>
      </w:r>
    </w:p>
    <w:p>
      <w:pPr>
        <w:spacing w:after="0" w:line="229"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§1350), Sanjeev Aggarwal, Chief Executive Officer of Everspin Technologies, Inc. (the “Company”), and William Cooper, Chief Financial Officer of the Company, each hereby certifies that, to the best of his knowledge:</w:t>
      </w:r>
    </w:p>
    <w:p>
      <w:pPr>
        <w:spacing w:after="0" w:line="176" w:lineRule="exact"/>
        <w:rPr>
          <w:sz w:val="20"/>
          <w:szCs w:val="20"/>
          <w:color w:val="auto"/>
        </w:rPr>
      </w:pPr>
    </w:p>
    <w:p>
      <w:pPr>
        <w:ind w:left="260" w:right="580" w:hanging="252"/>
        <w:spacing w:after="0" w:line="282" w:lineRule="auto"/>
        <w:tabs>
          <w:tab w:leader="none" w:pos="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period ended March 31, 2026, to which this Certification is attached as Exhibit 32.1 (the “Periodic Report”), fully complies with the requirements of Section 13(a) or Section 15(d) of the Exchange Act; and</w:t>
      </w:r>
    </w:p>
    <w:p>
      <w:pPr>
        <w:spacing w:after="0" w:line="161" w:lineRule="exact"/>
        <w:rPr>
          <w:rFonts w:ascii="Times New Roman" w:cs="Times New Roman" w:eastAsia="Times New Roman" w:hAnsi="Times New Roman"/>
          <w:sz w:val="18"/>
          <w:szCs w:val="18"/>
          <w:color w:val="auto"/>
        </w:rPr>
      </w:pPr>
    </w:p>
    <w:p>
      <w:pPr>
        <w:ind w:left="260" w:right="680" w:hanging="252"/>
        <w:spacing w:after="0" w:line="282" w:lineRule="auto"/>
        <w:tabs>
          <w:tab w:leader="none" w:pos="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Periodic Report fairly presents, in all material respects, the financial condition and results of operations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29, 2026</w:t>
      </w:r>
    </w:p>
    <w:p>
      <w:pPr>
        <w:spacing w:after="0" w:line="27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Sanjeev Aggarwal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34290</wp:posOffset>
            </wp:positionV>
            <wp:extent cx="356616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5">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Sanjeev Aggarwal</w:t>
      </w:r>
    </w:p>
    <w:p>
      <w:pPr>
        <w:spacing w:after="0" w:line="6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6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33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William Cooper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34290</wp:posOffset>
            </wp:positionV>
            <wp:extent cx="35661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5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William Cooper</w:t>
      </w:r>
    </w:p>
    <w:p>
      <w:pPr>
        <w:spacing w:after="0" w:line="6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6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308" w:lineRule="exact"/>
        <w:rPr>
          <w:sz w:val="20"/>
          <w:szCs w:val="20"/>
          <w:color w:val="auto"/>
        </w:rPr>
      </w:pPr>
    </w:p>
    <w:p>
      <w:pPr>
        <w:ind w:right="240"/>
        <w:spacing w:after="0" w:line="289" w:lineRule="auto"/>
        <w:rPr>
          <w:sz w:val="20"/>
          <w:szCs w:val="20"/>
          <w:color w:val="auto"/>
        </w:rPr>
      </w:pPr>
      <w:r>
        <w:rPr>
          <w:rFonts w:ascii="Times New Roman" w:cs="Times New Roman" w:eastAsia="Times New Roman" w:hAnsi="Times New Roman"/>
          <w:sz w:val="17"/>
          <w:szCs w:val="17"/>
          <w:color w:val="auto"/>
        </w:rPr>
        <w:t>This certification accompanies the Form 10-Q to which it relates, is not deemed filed with the Securities and Exchange Commission and is not to be incorporated by reference into any filing of Everspin Technologies, Inc.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240"/>
      </w:cols>
      <w:pgMar w:left="320" w:top="11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x"/>
      <w:numFmt w:val="bullet"/>
      <w:start w:val="1"/>
    </w:lvl>
  </w:abstractNum>
  <w:abstractNum w:abstractNumId="1">
    <w:nsid w:val="2EB141F2"/>
    <w:multiLevelType w:val="hybridMultilevel"/>
    <w:lvl w:ilvl="0">
      <w:lvlJc w:val="left"/>
      <w:lvlText w:val="o"/>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endash "/>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lvl w:ilvl="1">
      <w:lvlJc w:val="left"/>
      <w:lvlText w:val="(%2)"/>
      <w:numFmt w:val="lowerLetter"/>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50" Type="http://schemas.openxmlformats.org/officeDocument/2006/relationships/image" Target="media/image38.png"/><Relationship Id="rId51" Type="http://schemas.openxmlformats.org/officeDocument/2006/relationships/image" Target="media/image39.png"/><Relationship Id="rId52" Type="http://schemas.openxmlformats.org/officeDocument/2006/relationships/image" Target="media/image40.png"/><Relationship Id="rId53" Type="http://schemas.openxmlformats.org/officeDocument/2006/relationships/image" Target="media/image41.png"/><Relationship Id="rId54" Type="http://schemas.openxmlformats.org/officeDocument/2006/relationships/image" Target="media/image42.png"/><Relationship Id="rId55" Type="http://schemas.openxmlformats.org/officeDocument/2006/relationships/image" Target="media/image43.png"/><Relationship Id="rId56" Type="http://schemas.openxmlformats.org/officeDocument/2006/relationships/image" Target="media/image44.png"/><Relationship Id="rId45" Type="http://schemas.openxmlformats.org/officeDocument/2006/relationships/hyperlink" Target="http://www.sec.gov/Archives/edgar/data/1438423/000119312516737688/d271840dex31.htm" TargetMode="External"/><Relationship Id="rId46" Type="http://schemas.openxmlformats.org/officeDocument/2006/relationships/hyperlink" Target="http://www.sec.gov/Archives/edgar/data/1438423/000119312519154165/d752899dex31.htm" TargetMode="External"/><Relationship Id="rId47" Type="http://schemas.openxmlformats.org/officeDocument/2006/relationships/hyperlink" Target="https://www.sec.gov/Archives/edgar/data/1438423/000119312520153247/d936625dex31.htm" TargetMode="External"/><Relationship Id="rId48" Type="http://schemas.openxmlformats.org/officeDocument/2006/relationships/hyperlink" Target="https://www.sec.gov/Archives/edgar/data/1438423/000110465923064640/tm2316966d1_ex3-1.htm" TargetMode="External"/><Relationship Id="rId49" Type="http://schemas.openxmlformats.org/officeDocument/2006/relationships/hyperlink" Target="https://www.sec.gov/Archives/edgar/data/1438423/000119312519154165/d752899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2026-04-29T17:29:03Z</dcterms:created>
  <dcterms:modified xsi:type="dcterms:W3CDTF">2026-04-29T17:29:03Z</dcterms:modified>
</cp:coreProperties>
</file>