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1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001-37900</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31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(State or other jurisdiction</w:t>
            </w:r>
          </w:p>
        </w:tc>
        <w:tc>
          <w:tcPr>
            <w:tcW w:w="34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700" w:type="dxa"/>
            <w:vAlign w:val="bottom"/>
          </w:tcPr>
          <w:p>
            <w:pPr>
              <w:jc w:val="center"/>
              <w:ind w:left="1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1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of incorporation)</w:t>
            </w:r>
          </w:p>
        </w:tc>
        <w:tc>
          <w:tcPr>
            <w:tcW w:w="34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5670 W. Chandler Blvd.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Suite 100</w:t>
      </w:r>
    </w:p>
    <w:p>
      <w:pPr>
        <w:jc w:val="center"/>
        <w:spacing w:after="0" w:line="230" w:lineRule="auto"/>
        <w:rPr>
          <w:sz w:val="20"/>
          <w:szCs w:val="20"/>
          <w:color w:val="auto"/>
        </w:rPr>
      </w:pPr>
      <w:r>
        <w:rPr>
          <w:rFonts w:ascii="Arial" w:cs="Arial" w:eastAsia="Arial" w:hAnsi="Arial"/>
          <w:sz w:val="22"/>
          <w:szCs w:val="22"/>
          <w:b w:val="1"/>
          <w:bCs w:val="1"/>
          <w:color w:val="auto"/>
        </w:rPr>
        <w:t>Chandler, Arizona 85226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offices, including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(480) 347-1111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33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38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$0.0001</w:t>
            </w:r>
          </w:p>
        </w:tc>
        <w:tc>
          <w:tcPr>
            <w:tcW w:w="3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MRAM</w:t>
            </w:r>
          </w:p>
        </w:tc>
        <w:tc>
          <w:tcPr>
            <w:tcW w:w="40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Nasdaq Stock Market</w:t>
            </w:r>
          </w:p>
        </w:tc>
      </w:tr>
    </w:tbl>
    <w:p>
      <w:pPr>
        <w:spacing w:after="0" w:line="222"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0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240"/>
          </w:cols>
          <w:pgMar w:left="320" w:top="936" w:right="339" w:bottom="0" w:gutter="0" w:footer="0" w:header="0"/>
        </w:sectPr>
      </w:pPr>
    </w:p>
    <w:bookmarkStart w:id="1" w:name="page2"/>
    <w:bookmarkEnd w:id="1"/>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0"/>
          <w:szCs w:val="20"/>
          <w:color w:val="auto"/>
        </w:rPr>
      </w:pPr>
    </w:p>
    <w:p>
      <w:pPr>
        <w:ind w:right="120" w:firstLine="405"/>
        <w:spacing w:after="0" w:line="250" w:lineRule="auto"/>
        <w:rPr>
          <w:sz w:val="20"/>
          <w:szCs w:val="20"/>
          <w:color w:val="auto"/>
        </w:rPr>
      </w:pPr>
      <w:r>
        <w:rPr>
          <w:rFonts w:ascii="Arial" w:cs="Arial" w:eastAsia="Arial" w:hAnsi="Arial"/>
          <w:sz w:val="22"/>
          <w:szCs w:val="22"/>
          <w:color w:val="auto"/>
        </w:rPr>
        <w:t>On May 7, 2020, the Company issued a press release, a copy of which is attached hereto as Exhibit 99.1 and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 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140" w:type="dxa"/>
            <w:vAlign w:val="bottom"/>
            <w:tcBorders>
              <w:top w:val="single" w:sz="8" w:color="auto"/>
            </w:tcBorders>
          </w:tcPr>
          <w:p>
            <w:pPr>
              <w:jc w:val="center"/>
              <w:ind w:right="29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May 7, 2020.</w:t>
              </w:r>
            </w:hyperlink>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Matt Tenorio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Matt Tenorio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Everspin Reports First Quarter 2020 Financial Results</w:t>
      </w:r>
    </w:p>
    <w:p>
      <w:pPr>
        <w:spacing w:after="0" w:line="227" w:lineRule="exact"/>
        <w:rPr>
          <w:sz w:val="20"/>
          <w:szCs w:val="20"/>
          <w:color w:val="auto"/>
        </w:rPr>
      </w:pPr>
    </w:p>
    <w:p>
      <w:pPr>
        <w:jc w:val="center"/>
        <w:ind w:left="340" w:right="200"/>
        <w:spacing w:after="0" w:line="250" w:lineRule="auto"/>
        <w:rPr>
          <w:sz w:val="20"/>
          <w:szCs w:val="20"/>
          <w:color w:val="auto"/>
        </w:rPr>
      </w:pPr>
      <w:r>
        <w:rPr>
          <w:rFonts w:ascii="Arial" w:cs="Arial" w:eastAsia="Arial" w:hAnsi="Arial"/>
          <w:sz w:val="22"/>
          <w:szCs w:val="22"/>
          <w:b w:val="1"/>
          <w:bCs w:val="1"/>
          <w:i w:val="1"/>
          <w:iCs w:val="1"/>
          <w:color w:val="auto"/>
        </w:rPr>
        <w:t>Revenue Above High-End of Guidance with Significant Improvement in EPS; Guides 19% Revenue Growth for 2Q at the Midpoint</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CHANDLER, Ariz.--(BUSINESS WIRE)--May 7, 2020--Everspin Technologies, Inc. (NASDAQ: MRAM), the market leader in MRAM, today announced financial results for the first quarter ended March 31,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and Recent Highlights</w:t>
      </w:r>
    </w:p>
    <w:p>
      <w:pPr>
        <w:spacing w:after="0" w:line="212" w:lineRule="exact"/>
        <w:rPr>
          <w:sz w:val="20"/>
          <w:szCs w:val="20"/>
          <w:color w:val="auto"/>
        </w:rPr>
      </w:pPr>
    </w:p>
    <w:p>
      <w:pPr>
        <w:ind w:left="540" w:right="1240"/>
        <w:spacing w:after="0" w:line="239" w:lineRule="auto"/>
        <w:rPr>
          <w:sz w:val="20"/>
          <w:szCs w:val="20"/>
          <w:color w:val="auto"/>
        </w:rPr>
      </w:pPr>
      <w:r>
        <w:rPr>
          <w:rFonts w:ascii="Arial" w:cs="Arial" w:eastAsia="Arial" w:hAnsi="Arial"/>
          <w:sz w:val="22"/>
          <w:szCs w:val="22"/>
          <w:color w:val="auto"/>
        </w:rPr>
        <w:t>Total revenue increased sequentially and year-over-year to $10.1 million, exceeding the high-end of guidance Gross margin expanded to 52.9% from 47.7% in the prior year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-91440</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60"/>
        <w:spacing w:after="0" w:line="230" w:lineRule="auto"/>
        <w:rPr>
          <w:sz w:val="20"/>
          <w:szCs w:val="20"/>
          <w:color w:val="auto"/>
        </w:rPr>
      </w:pPr>
      <w:r>
        <w:rPr>
          <w:rFonts w:ascii="Arial" w:cs="Arial" w:eastAsia="Arial" w:hAnsi="Arial"/>
          <w:sz w:val="22"/>
          <w:szCs w:val="22"/>
          <w:color w:val="auto"/>
        </w:rPr>
        <w:t>GAAP loss improved to ($0.10) per share and non-GAAP loss to ($0.05), compared to ($0.25) and ($0.21), respectively, in year-ago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Ended quarter with cash and equivalents of $14.0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8" w:lineRule="exact"/>
        <w:rPr>
          <w:sz w:val="20"/>
          <w:szCs w:val="20"/>
          <w:color w:val="auto"/>
        </w:rPr>
      </w:pPr>
    </w:p>
    <w:p>
      <w:pPr>
        <w:ind w:right="220"/>
        <w:spacing w:after="0" w:line="252" w:lineRule="auto"/>
        <w:rPr>
          <w:sz w:val="20"/>
          <w:szCs w:val="20"/>
          <w:color w:val="auto"/>
        </w:rPr>
      </w:pPr>
      <w:r>
        <w:rPr>
          <w:rFonts w:ascii="Arial" w:cs="Arial" w:eastAsia="Arial" w:hAnsi="Arial"/>
          <w:sz w:val="21"/>
          <w:szCs w:val="21"/>
          <w:color w:val="auto"/>
        </w:rPr>
        <w:t>“First quarter revenue was above the high end of our guidance range and represented our third consecutive quarter of growth as data center demand combined with the breadth of our customer base continue to be positive factors for our business,” stated Kevin Conley, Everspin’s President and CEO. “Additionally, our expense reduction initiatives and ongoing improvement in mature product costs resulted in a dramatic increase in year-over-year bottom-line results.</w:t>
      </w:r>
    </w:p>
    <w:p>
      <w:pPr>
        <w:spacing w:after="0" w:line="174" w:lineRule="exact"/>
        <w:rPr>
          <w:sz w:val="20"/>
          <w:szCs w:val="20"/>
          <w:color w:val="auto"/>
        </w:rPr>
      </w:pPr>
    </w:p>
    <w:p>
      <w:pPr>
        <w:ind w:right="420"/>
        <w:spacing w:after="0" w:line="252" w:lineRule="auto"/>
        <w:rPr>
          <w:sz w:val="20"/>
          <w:szCs w:val="20"/>
          <w:color w:val="auto"/>
        </w:rPr>
      </w:pPr>
      <w:r>
        <w:rPr>
          <w:rFonts w:ascii="Arial" w:cs="Arial" w:eastAsia="Arial" w:hAnsi="Arial"/>
          <w:sz w:val="21"/>
          <w:szCs w:val="21"/>
          <w:color w:val="auto"/>
        </w:rPr>
        <w:t>“Despite the moderate impact on orders and customer interactions associated with the COVID-19 pandemic, we remain fully operational and achieved growth in the quarter as well as a record number of design wins. We also continued to increase customer sampling of our STT-MRAM products as we pave the way for expanding design-ins. This is a testament to the persistence of the Everspin team and the strength of our leading technology 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100"/>
        <w:spacing w:after="0" w:line="274" w:lineRule="auto"/>
        <w:rPr>
          <w:sz w:val="20"/>
          <w:szCs w:val="20"/>
          <w:color w:val="auto"/>
        </w:rPr>
      </w:pPr>
      <w:r>
        <w:rPr>
          <w:rFonts w:ascii="Arial" w:cs="Arial" w:eastAsia="Arial" w:hAnsi="Arial"/>
          <w:sz w:val="21"/>
          <w:szCs w:val="21"/>
          <w:color w:val="auto"/>
        </w:rPr>
        <w:t>“Looking to the second quarter, we expect to achieve another quarter of sequential revenue growth, while we cautiously monitor the global environment and remain prepared to promptly address any possible changes in market dynamics.”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2020 Results</w:t>
      </w:r>
    </w:p>
    <w:p>
      <w:pPr>
        <w:spacing w:after="0" w:line="212"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Total revenue for the first quarter of 2020 was $10.1 million, compared to $9.7 million last quarter and $10.0 million in the first quarter of 2019.</w:t>
      </w:r>
    </w:p>
    <w:p>
      <w:pPr>
        <w:spacing w:after="0" w:line="17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Gross margin for the first quarter of 2020 was 52.9%, compared to 53.6% in the prior quarter and 47.7% in the first quarter of 2019.</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GAAP operating expenses for the first quarter of 2020 were $6.9 million, compared to $8.2 million in the fourth quarter of 2019 and $9.0 million in the first quarter of 2019. On a non-GAAP basis, operating expenses for the first quarter of 2020 were $6.2 million, compared to $6.3 million in the prior quarter and $8.3 million in the year-ago quarter.</w:t>
      </w:r>
    </w:p>
    <w:p>
      <w:pPr>
        <w:spacing w:after="0" w:line="16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GAAP net loss for the first quarter of 2020 was $1.7 million, or ($0.10) per share, based on 18.1 million weighted-average shares outstanding. This compares to a net loss of $3.1 million, or ($0.17) per share, in the fourth quarter of 2019, which included $0.8 million in restructuring charges, and a net loss of $4.3 million, or ($0.25) per share, in the first quarter of 2019. On a non-GAAP basis, net loss for the first quarter of 2020 was $1.0 million, or ($0.05) per share, compared to a net loss of $1.2 million, or ($0.07) per share, in the prior quarter and a net loss of $3.6 million, or ($0.21) per share, in the first quarter of 2019.</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Cash and cash equivalents as of March 31, 2020 were $14.0 million, compared to $14.5 million at the end of the fourth quarter of 2019. Prior to suspending trading on its at-the-market (ATM) equity facility during the quarter, the Company issued 0.5 million new shares resulting in net proceeds $2.1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300"/>
        <w:spacing w:after="0" w:line="252" w:lineRule="auto"/>
        <w:rPr>
          <w:sz w:val="20"/>
          <w:szCs w:val="20"/>
          <w:color w:val="auto"/>
        </w:rPr>
      </w:pPr>
      <w:r>
        <w:rPr>
          <w:rFonts w:ascii="Arial" w:cs="Arial" w:eastAsia="Arial" w:hAnsi="Arial"/>
          <w:sz w:val="21"/>
          <w:szCs w:val="21"/>
          <w:color w:val="auto"/>
        </w:rPr>
        <w:t>For the second quarter of 2020, Everspin expects total revenue to increase to a range of $11.5 million and $12.5 million, compared to $8.6 million in the year-ago quarter. GAAP net loss is expected to range between ($0.12) and ($0.05) per share. Excluding stock-based compensation expense, non-GAAP net loss is expected to range between ($0.06) and ($0.00) per share based on a weighted-average share count of 18.6 million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Everspin will host a conference call for analysts and investors today at 5:00 p.m. Eastern Time. Interested participants can access the call by dialing </w:t>
      </w:r>
      <w:r>
        <w:rPr>
          <w:rFonts w:ascii="Arial" w:cs="Arial" w:eastAsia="Arial" w:hAnsi="Arial"/>
          <w:sz w:val="22"/>
          <w:szCs w:val="22"/>
          <w:b w:val="1"/>
          <w:bCs w:val="1"/>
          <w:color w:val="auto"/>
        </w:rPr>
        <w:t>1-844-889-7788</w:t>
      </w:r>
      <w:r>
        <w:rPr>
          <w:rFonts w:ascii="Arial" w:cs="Arial" w:eastAsia="Arial" w:hAnsi="Arial"/>
          <w:sz w:val="22"/>
          <w:szCs w:val="22"/>
          <w:color w:val="auto"/>
        </w:rPr>
        <w:t xml:space="preserve"> and providing passcode </w:t>
      </w:r>
      <w:r>
        <w:rPr>
          <w:rFonts w:ascii="Arial" w:cs="Arial" w:eastAsia="Arial" w:hAnsi="Arial"/>
          <w:sz w:val="22"/>
          <w:szCs w:val="22"/>
          <w:b w:val="1"/>
          <w:bCs w:val="1"/>
          <w:color w:val="auto"/>
        </w:rPr>
        <w:t>4869017</w:t>
      </w:r>
      <w:r>
        <w:rPr>
          <w:rFonts w:ascii="Arial" w:cs="Arial" w:eastAsia="Arial" w:hAnsi="Arial"/>
          <w:sz w:val="22"/>
          <w:szCs w:val="22"/>
          <w:color w:val="auto"/>
        </w:rPr>
        <w:t>. International callers may join the call by dialing +1-661-378-9932, using the same code. The call will also be available as a live and archived webcast in the Investor Relations section of the company’s website at investor.everspin.com.</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 telephone replay of the conference call will be available approximately two hours after the call through May 14, 2020. The replay can be accessed by dialing 1-855-859-2056 and using the passcode 4869017. International callers should dial +1-404-537-3406 and enter the same passcode at the prompt.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Everspin Technologies</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contains forward-looking statements regarding future events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10-K filed with the Securities and Exchange Commission on March 13, 2020,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50"/>
        </w:trPr>
        <w:tc>
          <w:tcPr>
            <w:tcW w:w="9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r>
      <w:tr>
        <w:trPr>
          <w:trHeight w:val="243"/>
        </w:trPr>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7"/>
        </w:trPr>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13,950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14,487</w:t>
            </w:r>
          </w:p>
        </w:tc>
      </w:tr>
      <w:tr>
        <w:trPr>
          <w:trHeight w:val="237"/>
        </w:trPr>
        <w:tc>
          <w:tcPr>
            <w:tcW w:w="92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5,799</w:t>
            </w:r>
          </w:p>
        </w:tc>
      </w:tr>
      <w:tr>
        <w:trPr>
          <w:trHeight w:val="249"/>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7,863</w:t>
            </w:r>
          </w:p>
        </w:tc>
      </w:tr>
      <w:tr>
        <w:trPr>
          <w:trHeight w:val="243"/>
        </w:trPr>
        <w:tc>
          <w:tcPr>
            <w:tcW w:w="92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539</w:t>
            </w:r>
          </w:p>
        </w:tc>
      </w:tr>
      <w:tr>
        <w:trPr>
          <w:trHeight w:val="236"/>
        </w:trPr>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28,688</w:t>
            </w:r>
          </w:p>
        </w:tc>
      </w:tr>
      <w:tr>
        <w:trPr>
          <w:trHeight w:val="237"/>
        </w:trPr>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3,479</w:t>
            </w:r>
          </w:p>
        </w:tc>
      </w:tr>
      <w:tr>
        <w:trPr>
          <w:trHeight w:val="249"/>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3,132</w:t>
            </w:r>
          </w:p>
        </w:tc>
      </w:tr>
      <w:tr>
        <w:trPr>
          <w:trHeight w:val="243"/>
        </w:trPr>
        <w:tc>
          <w:tcPr>
            <w:tcW w:w="92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73</w:t>
            </w:r>
          </w:p>
        </w:tc>
      </w:tr>
      <w:tr>
        <w:trPr>
          <w:trHeight w:val="277"/>
        </w:trPr>
        <w:tc>
          <w:tcPr>
            <w:tcW w:w="92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34,652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35,372</w:t>
            </w:r>
          </w:p>
        </w:tc>
      </w:tr>
      <w:tr>
        <w:trPr>
          <w:trHeight w:val="223"/>
        </w:trPr>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7"/>
        </w:trPr>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2,873</w:t>
            </w:r>
          </w:p>
        </w:tc>
      </w:tr>
      <w:tr>
        <w:trPr>
          <w:trHeight w:val="237"/>
        </w:trPr>
        <w:tc>
          <w:tcPr>
            <w:tcW w:w="92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2,727</w:t>
            </w:r>
          </w:p>
        </w:tc>
      </w:tr>
      <w:tr>
        <w:trPr>
          <w:trHeight w:val="249"/>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670</w:t>
            </w:r>
          </w:p>
        </w:tc>
      </w:tr>
      <w:tr>
        <w:trPr>
          <w:trHeight w:val="237"/>
        </w:trPr>
        <w:tc>
          <w:tcPr>
            <w:tcW w:w="922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1,582</w:t>
            </w:r>
          </w:p>
        </w:tc>
      </w:tr>
      <w:tr>
        <w:trPr>
          <w:trHeight w:val="249"/>
        </w:trPr>
        <w:tc>
          <w:tcPr>
            <w:tcW w:w="9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w:t>
            </w:r>
          </w:p>
        </w:tc>
      </w:tr>
      <w:tr>
        <w:trPr>
          <w:trHeight w:val="230"/>
        </w:trPr>
        <w:tc>
          <w:tcPr>
            <w:tcW w:w="92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7,894</w:t>
            </w:r>
          </w:p>
        </w:tc>
      </w:tr>
      <w:tr>
        <w:trPr>
          <w:trHeight w:val="249"/>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7,149</w:t>
            </w:r>
          </w:p>
        </w:tc>
      </w:tr>
      <w:tr>
        <w:trPr>
          <w:trHeight w:val="243"/>
        </w:trPr>
        <w:tc>
          <w:tcPr>
            <w:tcW w:w="922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1,840</w:t>
            </w:r>
          </w:p>
        </w:tc>
      </w:tr>
      <w:tr>
        <w:trPr>
          <w:trHeight w:val="237"/>
        </w:trPr>
        <w:tc>
          <w:tcPr>
            <w:tcW w:w="92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16,883</w:t>
            </w:r>
          </w:p>
        </w:tc>
      </w:tr>
      <w:tr>
        <w:trPr>
          <w:trHeight w:val="230"/>
        </w:trPr>
        <w:tc>
          <w:tcPr>
            <w:tcW w:w="92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9"/>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15"/>
        </w:trPr>
        <w:tc>
          <w:tcPr>
            <w:tcW w:w="9220" w:type="dxa"/>
            <w:vAlign w:val="bottom"/>
          </w:tcPr>
          <w:p>
            <w:pPr>
              <w:ind w:left="220"/>
              <w:spacing w:after="0"/>
              <w:rPr>
                <w:sz w:val="20"/>
                <w:szCs w:val="20"/>
                <w:color w:val="auto"/>
              </w:rPr>
            </w:pPr>
            <w:r>
              <w:rPr>
                <w:rFonts w:ascii="Arial" w:cs="Arial" w:eastAsia="Arial" w:hAnsi="Arial"/>
                <w:sz w:val="18"/>
                <w:szCs w:val="18"/>
                <w:color w:val="auto"/>
                <w:w w:val="92"/>
              </w:rPr>
              <w:t>Preferred stock, $0.0001 par value per share; 5,000,000 shares authorized; no shares issued and outstanding as of March</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9220" w:type="dxa"/>
            <w:vAlign w:val="bottom"/>
          </w:tcPr>
          <w:p>
            <w:pPr>
              <w:ind w:left="220"/>
              <w:spacing w:after="0"/>
              <w:rPr>
                <w:sz w:val="20"/>
                <w:szCs w:val="20"/>
                <w:color w:val="auto"/>
              </w:rPr>
            </w:pPr>
            <w:r>
              <w:rPr>
                <w:rFonts w:ascii="Arial" w:cs="Arial" w:eastAsia="Arial" w:hAnsi="Arial"/>
                <w:sz w:val="18"/>
                <w:szCs w:val="18"/>
                <w:color w:val="auto"/>
              </w:rPr>
              <w:t>31, 2020 and December 31, 2019</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22"/>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Common stock, $0.0001 par value per share; 100,000,000 shares authorized; 18,638,555 and 18,081,753 shares issued and</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4"/>
        </w:trPr>
        <w:tc>
          <w:tcPr>
            <w:tcW w:w="9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as of March 31, 2020 and December 31, 2019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37"/>
        </w:trPr>
        <w:tc>
          <w:tcPr>
            <w:tcW w:w="922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170,353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167,149</w:t>
            </w:r>
          </w:p>
        </w:tc>
      </w:tr>
      <w:tr>
        <w:trPr>
          <w:trHeight w:val="249"/>
        </w:trPr>
        <w:tc>
          <w:tcPr>
            <w:tcW w:w="9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(150,394)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(148,662)</w:t>
            </w:r>
          </w:p>
        </w:tc>
      </w:tr>
      <w:tr>
        <w:trPr>
          <w:trHeight w:val="236"/>
        </w:trPr>
        <w:tc>
          <w:tcPr>
            <w:tcW w:w="922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18,489</w:t>
            </w:r>
          </w:p>
        </w:tc>
      </w:tr>
      <w:tr>
        <w:trPr>
          <w:trHeight w:val="277"/>
        </w:trPr>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34,652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35,372</w:t>
            </w:r>
          </w:p>
        </w:tc>
      </w:tr>
      <w:tr>
        <w:trPr>
          <w:trHeight w:val="406"/>
        </w:trPr>
        <w:tc>
          <w:tcPr>
            <w:tcW w:w="9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37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w w:val="93"/>
              </w:rPr>
              <w:t>Three Months Ended March 31,</w:t>
            </w:r>
          </w:p>
        </w:tc>
        <w:tc>
          <w:tcPr>
            <w:tcW w:w="220" w:type="dxa"/>
            <w:vAlign w:val="bottom"/>
          </w:tcPr>
          <w:p>
            <w:pPr>
              <w:spacing w:after="0"/>
              <w:rPr>
                <w:sz w:val="20"/>
                <w:szCs w:val="20"/>
                <w:color w:val="auto"/>
              </w:rPr>
            </w:pPr>
          </w:p>
        </w:tc>
      </w:tr>
      <w:tr>
        <w:trPr>
          <w:trHeight w:val="239"/>
        </w:trPr>
        <w:tc>
          <w:tcPr>
            <w:tcW w:w="7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r>
      <w:tr>
        <w:trPr>
          <w:trHeight w:val="241"/>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9,635</w:t>
            </w:r>
          </w:p>
        </w:tc>
        <w:tc>
          <w:tcPr>
            <w:tcW w:w="2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9,023</w:t>
            </w:r>
          </w:p>
        </w:tc>
        <w:tc>
          <w:tcPr>
            <w:tcW w:w="220" w:type="dxa"/>
            <w:vAlign w:val="bottom"/>
            <w:shd w:val="clear" w:color="auto" w:fill="CCEEFF"/>
          </w:tcPr>
          <w:p>
            <w:pPr>
              <w:spacing w:after="0"/>
              <w:rPr>
                <w:sz w:val="20"/>
                <w:szCs w:val="20"/>
                <w:color w:val="auto"/>
              </w:rPr>
            </w:pPr>
          </w:p>
        </w:tc>
      </w:tr>
      <w:tr>
        <w:trPr>
          <w:trHeight w:val="243"/>
        </w:trPr>
        <w:tc>
          <w:tcPr>
            <w:tcW w:w="788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1,003</w:t>
            </w:r>
          </w:p>
        </w:tc>
        <w:tc>
          <w:tcPr>
            <w:tcW w:w="220" w:type="dxa"/>
            <w:vAlign w:val="bottom"/>
          </w:tcPr>
          <w:p>
            <w:pPr>
              <w:spacing w:after="0"/>
              <w:rPr>
                <w:sz w:val="21"/>
                <w:szCs w:val="21"/>
                <w:color w:val="auto"/>
              </w:rPr>
            </w:pPr>
          </w:p>
        </w:tc>
      </w:tr>
      <w:tr>
        <w:trPr>
          <w:trHeight w:val="236"/>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10,108</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10,026</w:t>
            </w:r>
          </w:p>
        </w:tc>
        <w:tc>
          <w:tcPr>
            <w:tcW w:w="220" w:type="dxa"/>
            <w:vAlign w:val="bottom"/>
            <w:shd w:val="clear" w:color="auto" w:fill="CCEEFF"/>
          </w:tcPr>
          <w:p>
            <w:pPr>
              <w:spacing w:after="0"/>
              <w:rPr>
                <w:sz w:val="20"/>
                <w:szCs w:val="20"/>
                <w:color w:val="auto"/>
              </w:rPr>
            </w:pPr>
          </w:p>
        </w:tc>
      </w:tr>
      <w:tr>
        <w:trPr>
          <w:trHeight w:val="243"/>
        </w:trPr>
        <w:tc>
          <w:tcPr>
            <w:tcW w:w="7880" w:type="dxa"/>
            <w:vAlign w:val="bottom"/>
          </w:tcPr>
          <w:p>
            <w:pPr>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4,757</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5,241</w:t>
            </w:r>
          </w:p>
        </w:tc>
        <w:tc>
          <w:tcPr>
            <w:tcW w:w="220" w:type="dxa"/>
            <w:vAlign w:val="bottom"/>
          </w:tcPr>
          <w:p>
            <w:pPr>
              <w:spacing w:after="0"/>
              <w:rPr>
                <w:sz w:val="21"/>
                <w:szCs w:val="21"/>
                <w:color w:val="auto"/>
              </w:rPr>
            </w:pPr>
          </w:p>
        </w:tc>
      </w:tr>
      <w:tr>
        <w:trPr>
          <w:trHeight w:val="237"/>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5,351</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4,785</w:t>
            </w:r>
          </w:p>
        </w:tc>
        <w:tc>
          <w:tcPr>
            <w:tcW w:w="220" w:type="dxa"/>
            <w:vAlign w:val="bottom"/>
            <w:shd w:val="clear" w:color="auto" w:fill="CCEEFF"/>
          </w:tcPr>
          <w:p>
            <w:pPr>
              <w:spacing w:after="0"/>
              <w:rPr>
                <w:sz w:val="20"/>
                <w:szCs w:val="20"/>
                <w:color w:val="auto"/>
              </w:rPr>
            </w:pPr>
          </w:p>
        </w:tc>
      </w:tr>
      <w:tr>
        <w:trPr>
          <w:trHeight w:val="243"/>
        </w:trPr>
        <w:tc>
          <w:tcPr>
            <w:tcW w:w="7880" w:type="dxa"/>
            <w:vAlign w:val="bottom"/>
          </w:tcPr>
          <w:p>
            <w:pPr>
              <w:spacing w:after="0" w:line="24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3,030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3,998</w:t>
            </w:r>
          </w:p>
        </w:tc>
        <w:tc>
          <w:tcPr>
            <w:tcW w:w="220" w:type="dxa"/>
            <w:vAlign w:val="bottom"/>
            <w:shd w:val="clear" w:color="auto" w:fill="CCEEFF"/>
          </w:tcPr>
          <w:p>
            <w:pPr>
              <w:spacing w:after="0"/>
              <w:rPr>
                <w:sz w:val="21"/>
                <w:szCs w:val="21"/>
                <w:color w:val="auto"/>
              </w:rPr>
            </w:pPr>
          </w:p>
        </w:tc>
      </w:tr>
      <w:tr>
        <w:trPr>
          <w:trHeight w:val="237"/>
        </w:trPr>
        <w:tc>
          <w:tcPr>
            <w:tcW w:w="78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3,595</w:t>
            </w:r>
          </w:p>
        </w:tc>
        <w:tc>
          <w:tcPr>
            <w:tcW w:w="220" w:type="dxa"/>
            <w:vAlign w:val="bottom"/>
          </w:tcPr>
          <w:p>
            <w:pPr>
              <w:spacing w:after="0"/>
              <w:rPr>
                <w:sz w:val="20"/>
                <w:szCs w:val="20"/>
                <w:color w:val="auto"/>
              </w:rPr>
            </w:pPr>
          </w:p>
        </w:tc>
      </w:tr>
      <w:tr>
        <w:trPr>
          <w:trHeight w:val="249"/>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1,103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1,364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788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6,933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8,957</w:t>
            </w:r>
          </w:p>
        </w:tc>
        <w:tc>
          <w:tcPr>
            <w:tcW w:w="220" w:type="dxa"/>
            <w:vAlign w:val="bottom"/>
          </w:tcPr>
          <w:p>
            <w:pPr>
              <w:spacing w:after="0"/>
              <w:rPr>
                <w:sz w:val="20"/>
                <w:szCs w:val="20"/>
                <w:color w:val="auto"/>
              </w:rPr>
            </w:pPr>
          </w:p>
        </w:tc>
      </w:tr>
      <w:tr>
        <w:trPr>
          <w:trHeight w:val="23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(4,172)</w:t>
            </w:r>
          </w:p>
        </w:tc>
        <w:tc>
          <w:tcPr>
            <w:tcW w:w="220" w:type="dxa"/>
            <w:vAlign w:val="bottom"/>
            <w:shd w:val="clear" w:color="auto" w:fill="CCEEFF"/>
          </w:tcPr>
          <w:p>
            <w:pPr>
              <w:spacing w:after="0"/>
              <w:rPr>
                <w:sz w:val="20"/>
                <w:szCs w:val="20"/>
                <w:color w:val="auto"/>
              </w:rPr>
            </w:pPr>
          </w:p>
        </w:tc>
      </w:tr>
      <w:tr>
        <w:trPr>
          <w:trHeight w:val="237"/>
        </w:trPr>
        <w:tc>
          <w:tcPr>
            <w:tcW w:w="78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r>
      <w:tr>
        <w:trPr>
          <w:trHeight w:val="249"/>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6"/>
        </w:trPr>
        <w:tc>
          <w:tcPr>
            <w:tcW w:w="78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(1,732)</w:t>
            </w:r>
          </w:p>
        </w:tc>
        <w:tc>
          <w:tcPr>
            <w:tcW w:w="240" w:type="dxa"/>
            <w:vAlign w:val="bottom"/>
          </w:tcPr>
          <w:p>
            <w:pPr>
              <w:spacing w:after="0"/>
              <w:rPr>
                <w:sz w:val="20"/>
                <w:szCs w:val="20"/>
                <w:color w:val="auto"/>
              </w:rPr>
            </w:pP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(4,256)</w:t>
            </w:r>
          </w:p>
        </w:tc>
        <w:tc>
          <w:tcPr>
            <w:tcW w:w="220" w:type="dxa"/>
            <w:vAlign w:val="bottom"/>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(0.25)</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color w:val="auto"/>
              </w:rPr>
              <w:t>Weighted-average shares used to compute net loss per common share, basic and diluted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18,055,693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17,097,999</w:t>
            </w:r>
          </w:p>
        </w:tc>
        <w:tc>
          <w:tcPr>
            <w:tcW w:w="220" w:type="dxa"/>
            <w:vAlign w:val="bottom"/>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7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7880" w:type="dxa"/>
            <w:vAlign w:val="bottom"/>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Operating expenses include stock-based compensation as follows: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21"/>
                <w:szCs w:val="21"/>
                <w:color w:val="auto"/>
              </w:rPr>
            </w:pPr>
          </w:p>
        </w:tc>
      </w:tr>
      <w:tr>
        <w:trPr>
          <w:trHeight w:val="237"/>
        </w:trPr>
        <w:tc>
          <w:tcPr>
            <w:tcW w:w="78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585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20"/>
                <w:szCs w:val="20"/>
                <w:color w:val="auto"/>
              </w:rPr>
            </w:pPr>
          </w:p>
        </w:tc>
      </w:tr>
      <w:tr>
        <w:trPr>
          <w:trHeight w:val="249"/>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6"/>
        </w:trPr>
        <w:tc>
          <w:tcPr>
            <w:tcW w:w="7880" w:type="dxa"/>
            <w:vAlign w:val="bottom"/>
          </w:tcPr>
          <w:p>
            <w:pPr>
              <w:ind w:left="420"/>
              <w:spacing w:after="0"/>
              <w:rPr>
                <w:sz w:val="20"/>
                <w:szCs w:val="20"/>
                <w:color w:val="auto"/>
              </w:rPr>
            </w:pPr>
            <w:r>
              <w:rPr>
                <w:rFonts w:ascii="Arial" w:cs="Arial" w:eastAsia="Arial" w:hAnsi="Arial"/>
                <w:sz w:val="18"/>
                <w:szCs w:val="18"/>
                <w:color w:val="auto"/>
              </w:rPr>
              <w:t>Total stock-based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805</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0"/>
                <w:szCs w:val="20"/>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06"/>
        </w:trPr>
        <w:tc>
          <w:tcPr>
            <w:tcW w:w="7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and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354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r>
      <w:tr>
        <w:trPr>
          <w:trHeight w:val="250"/>
        </w:trPr>
        <w:tc>
          <w:tcPr>
            <w:tcW w:w="7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7"/>
              </w:rPr>
              <w:t>Mar 31, 2020</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2"/>
              </w:rPr>
              <w:t>Dec 31, 2019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5"/>
              </w:rPr>
              <w:t>Mar 31, 2019</w:t>
            </w:r>
          </w:p>
        </w:tc>
      </w:tr>
      <w:tr>
        <w:trPr>
          <w:trHeight w:val="25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GAAP and non-GAAP operating expenses</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GAAP operating expenses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$ 6,933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$ 8,199</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$ 8,957</w:t>
            </w:r>
          </w:p>
        </w:tc>
      </w:tr>
      <w:tr>
        <w:trPr>
          <w:trHeight w:val="24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 included in research and development</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770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137</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193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118</w:t>
            </w:r>
          </w:p>
        </w:tc>
      </w:tr>
      <w:tr>
        <w:trPr>
          <w:trHeight w:val="24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 included in selling, general and administrative</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7"/>
        </w:trPr>
        <w:tc>
          <w:tcPr>
            <w:tcW w:w="770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643</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914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557</w:t>
            </w:r>
          </w:p>
        </w:tc>
      </w:tr>
      <w:tr>
        <w:trPr>
          <w:trHeight w:val="249"/>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r>
      <w:tr>
        <w:trPr>
          <w:trHeight w:val="237"/>
        </w:trPr>
        <w:tc>
          <w:tcPr>
            <w:tcW w:w="7700" w:type="dxa"/>
            <w:vAlign w:val="bottom"/>
          </w:tcPr>
          <w:p>
            <w:pPr>
              <w:ind w:left="620"/>
              <w:spacing w:after="0"/>
              <w:rPr>
                <w:sz w:val="20"/>
                <w:szCs w:val="20"/>
                <w:color w:val="auto"/>
              </w:rPr>
            </w:pPr>
            <w:r>
              <w:rPr>
                <w:rFonts w:ascii="Arial" w:cs="Arial" w:eastAsia="Arial" w:hAnsi="Arial"/>
                <w:sz w:val="18"/>
                <w:szCs w:val="18"/>
                <w:color w:val="auto"/>
              </w:rPr>
              <w:t>Total reconciling items included in operating expenses</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780</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1,889</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675</w:t>
            </w:r>
          </w:p>
        </w:tc>
      </w:tr>
      <w:tr>
        <w:trPr>
          <w:trHeight w:val="277"/>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11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$ 6,153</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$ 6,311</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$ 8,282</w:t>
            </w:r>
          </w:p>
        </w:tc>
      </w:tr>
      <w:tr>
        <w:trPr>
          <w:trHeight w:val="460"/>
        </w:trPr>
        <w:tc>
          <w:tcPr>
            <w:tcW w:w="7700" w:type="dxa"/>
            <w:vAlign w:val="bottom"/>
          </w:tcPr>
          <w:p>
            <w:pPr>
              <w:spacing w:after="0"/>
              <w:rPr>
                <w:sz w:val="20"/>
                <w:szCs w:val="20"/>
                <w:color w:val="auto"/>
              </w:rPr>
            </w:pPr>
            <w:r>
              <w:rPr>
                <w:rFonts w:ascii="Arial" w:cs="Arial" w:eastAsia="Arial" w:hAnsi="Arial"/>
                <w:sz w:val="18"/>
                <w:szCs w:val="18"/>
                <w:b w:val="1"/>
                <w:bCs w:val="1"/>
                <w:color w:val="auto"/>
              </w:rPr>
              <w:t>GAAP NET INCOME (LOSS)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 (1,732)</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 (3,079)</w:t>
            </w: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 (4,256)</w:t>
            </w:r>
          </w:p>
        </w:tc>
      </w:tr>
      <w:tr>
        <w:trPr>
          <w:trHeight w:val="250"/>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 included in operating expenses</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1,889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675</w:t>
            </w:r>
          </w:p>
        </w:tc>
      </w:tr>
      <w:tr>
        <w:trPr>
          <w:trHeight w:val="237"/>
        </w:trPr>
        <w:tc>
          <w:tcPr>
            <w:tcW w:w="770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(951)</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(1,191)</w:t>
            </w: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(3,581)</w:t>
            </w:r>
          </w:p>
        </w:tc>
      </w:tr>
      <w:tr>
        <w:trPr>
          <w:trHeight w:val="20"/>
        </w:trPr>
        <w:tc>
          <w:tcPr>
            <w:tcW w:w="7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223"/>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basic and diluted</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(0.05)</w:t>
            </w:r>
          </w:p>
        </w:tc>
        <w:tc>
          <w:tcPr>
            <w:tcW w:w="1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(0.07)</w:t>
            </w:r>
          </w:p>
        </w:tc>
        <w:tc>
          <w:tcPr>
            <w:tcW w:w="120" w:type="dxa"/>
            <w:vAlign w:val="bottom"/>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 (0.21)</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Weighted average shares to compute net loss per common share, basic and diluted</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18,056</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17,714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17,098</w:t>
            </w:r>
          </w:p>
        </w:tc>
      </w:tr>
      <w:tr>
        <w:trPr>
          <w:trHeight w:val="438"/>
        </w:trPr>
        <w:tc>
          <w:tcPr>
            <w:tcW w:w="77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8420"/>
        <w:spacing w:after="0"/>
        <w:rPr>
          <w:sz w:val="20"/>
          <w:szCs w:val="20"/>
          <w:color w:val="auto"/>
        </w:rPr>
      </w:pPr>
      <w:r>
        <w:rPr>
          <w:rFonts w:ascii="Arial" w:cs="Arial" w:eastAsia="Arial" w:hAnsi="Arial"/>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r>
      <w:tr>
        <w:trPr>
          <w:trHeight w:val="241"/>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(1,732)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(4,256)</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393</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805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gain on warrant revaluation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2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1,540</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(1,067)</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0"/>
                <w:szCs w:val="20"/>
                <w:color w:val="auto"/>
              </w:rPr>
            </w:pPr>
          </w:p>
        </w:tc>
      </w:tr>
      <w:tr>
        <w:trPr>
          <w:trHeight w:val="249"/>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ind w:left="220"/>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(2,555)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(3,149)</w:t>
            </w:r>
          </w:p>
        </w:tc>
        <w:tc>
          <w:tcPr>
            <w:tcW w:w="220" w:type="dxa"/>
            <w:vAlign w:val="bottom"/>
          </w:tcPr>
          <w:p>
            <w:pPr>
              <w:spacing w:after="0"/>
              <w:rPr>
                <w:sz w:val="20"/>
                <w:szCs w:val="20"/>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2"/>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4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21"/>
                <w:szCs w:val="2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Payments on finance lease obligation</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and purchase of shares in employee stock purchase plan</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36"/>
        </w:trPr>
        <w:tc>
          <w:tcPr>
            <w:tcW w:w="8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2,082</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(537)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(4,864)</w:t>
            </w:r>
          </w:p>
        </w:tc>
        <w:tc>
          <w:tcPr>
            <w:tcW w:w="220" w:type="dxa"/>
            <w:vAlign w:val="bottom"/>
          </w:tcPr>
          <w:p>
            <w:pPr>
              <w:spacing w:after="0"/>
              <w:rPr>
                <w:sz w:val="20"/>
                <w:szCs w:val="20"/>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14,487</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23,379</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13,950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18,515</w:t>
            </w:r>
          </w:p>
        </w:tc>
        <w:tc>
          <w:tcPr>
            <w:tcW w:w="22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4"/>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paid for operating leases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416</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24"/>
        </w:trPr>
        <w:tc>
          <w:tcPr>
            <w:tcW w:w="8680" w:type="dxa"/>
            <w:vAlign w:val="bottom"/>
          </w:tcPr>
          <w:p>
            <w:pPr>
              <w:spacing w:after="0"/>
              <w:rPr>
                <w:sz w:val="20"/>
                <w:szCs w:val="20"/>
                <w:color w:val="auto"/>
              </w:rPr>
            </w:pPr>
            <w:r>
              <w:rPr>
                <w:rFonts w:ascii="Arial" w:cs="Arial" w:eastAsia="Arial" w:hAnsi="Arial"/>
                <w:sz w:val="18"/>
                <w:szCs w:val="18"/>
                <w:color w:val="auto"/>
              </w:rPr>
              <w:t>Financing cash flows paid for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Bonus settled in shares of common stock</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Everspin Investor Relations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Leanne K. Sievers, President</w:t>
      </w:r>
    </w:p>
    <w:p>
      <w:pPr>
        <w:spacing w:after="0" w:line="230" w:lineRule="auto"/>
        <w:rPr>
          <w:sz w:val="20"/>
          <w:szCs w:val="20"/>
          <w:color w:val="auto"/>
        </w:rPr>
      </w:pPr>
      <w:r>
        <w:rPr>
          <w:rFonts w:ascii="Arial" w:cs="Arial" w:eastAsia="Arial" w:hAnsi="Arial"/>
          <w:sz w:val="22"/>
          <w:szCs w:val="22"/>
          <w:color w:val="auto"/>
        </w:rPr>
        <w:t>Shelton Group Investor Relations</w:t>
      </w:r>
    </w:p>
    <w:p>
      <w:pPr>
        <w:spacing w:after="0" w:line="231" w:lineRule="auto"/>
        <w:rPr>
          <w:sz w:val="20"/>
          <w:szCs w:val="20"/>
          <w:color w:val="auto"/>
        </w:rPr>
      </w:pPr>
      <w:r>
        <w:rPr>
          <w:rFonts w:ascii="Arial" w:cs="Arial" w:eastAsia="Arial" w:hAnsi="Arial"/>
          <w:sz w:val="22"/>
          <w:szCs w:val="22"/>
          <w:color w:val="auto"/>
        </w:rPr>
        <w:t>T: 949-224-3874</w:t>
      </w:r>
    </w:p>
    <w:p>
      <w:pPr>
        <w:spacing w:after="0"/>
        <w:rPr>
          <w:sz w:val="20"/>
          <w:szCs w:val="20"/>
          <w:color w:val="auto"/>
        </w:rPr>
      </w:pPr>
      <w:r>
        <w:rPr>
          <w:rFonts w:ascii="Arial" w:cs="Arial" w:eastAsia="Arial" w:hAnsi="Arial"/>
          <w:sz w:val="22"/>
          <w:szCs w:val="22"/>
          <w:color w:val="auto"/>
        </w:rPr>
        <w:t>E: sheltonir@sheltongroup.com</w:t>
      </w:r>
    </w:p>
    <w:sectPr>
      <w:pgSz w:w="11900" w:h="16838" w:orient="portrait"/>
      <w:cols w:equalWidth="0" w:num="1">
        <w:col w:w="11240"/>
      </w:cols>
      <w:pgMar w:left="320" w:top="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2020-05-07T15:26:41Z</dcterms:created>
  <dcterms:modified xsi:type="dcterms:W3CDTF">2020-05-07T15:26:41Z</dcterms:modified>
</cp:coreProperties>
</file>