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314960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64770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2"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2510155</wp:posOffset>
            </wp:positionH>
            <wp:positionV relativeFrom="paragraph">
              <wp:posOffset>92710</wp:posOffset>
            </wp:positionV>
            <wp:extent cx="1586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29" w:lineRule="exact"/>
        <w:rPr>
          <w:sz w:val="24"/>
          <w:szCs w:val="24"/>
          <w:color w:val="auto"/>
        </w:rPr>
      </w:pPr>
    </w:p>
    <w:p>
      <w:pPr>
        <w:ind w:left="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49" w:right="160" w:hanging="449"/>
        <w:spacing w:after="0" w:line="243" w:lineRule="auto"/>
        <w:tabs>
          <w:tab w:leader="none" w:pos="6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12"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449" w:right="140" w:hanging="449"/>
        <w:spacing w:after="0" w:line="256" w:lineRule="auto"/>
        <w:tabs>
          <w:tab w:leader="none" w:pos="6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349"/>
        <w:spacing w:after="0"/>
        <w:tabs>
          <w:tab w:leader="none" w:pos="628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3637280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88900</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9" w:lineRule="exact"/>
        <w:rPr>
          <w:sz w:val="24"/>
          <w:szCs w:val="24"/>
          <w:color w:val="auto"/>
        </w:rPr>
      </w:pPr>
    </w:p>
    <w:p>
      <w:pPr>
        <w:jc w:val="center"/>
        <w:ind w:right="-8"/>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73025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269" w:type="dxa"/>
        <w:tblCellMar>
          <w:top w:w="0" w:type="dxa"/>
          <w:left w:w="0" w:type="dxa"/>
          <w:bottom w:w="0" w:type="dxa"/>
          <w:right w:w="0" w:type="dxa"/>
        </w:tblCellMar>
      </w:tblPr>
      <w:tr>
        <w:trPr>
          <w:trHeight w:val="216"/>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89"/>
              </w:rPr>
              <w:t>26-2640654</w:t>
            </w:r>
          </w:p>
        </w:tc>
      </w:tr>
      <w:tr>
        <w:trPr>
          <w:trHeight w:val="216"/>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(State or other jurisdiction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of incorporation or organization)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5670 W. Chandler Boulevard, Suite 100</w:t>
      </w:r>
    </w:p>
    <w:p>
      <w:pPr>
        <w:spacing w:after="0" w:line="27"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Chandler, Arizona 85226</w:t>
      </w:r>
    </w:p>
    <w:p>
      <w:pPr>
        <w:spacing w:after="0" w:line="9"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6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85725</wp:posOffset>
            </wp:positionV>
            <wp:extent cx="1655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36" w:lineRule="exact"/>
        <w:rPr>
          <w:sz w:val="24"/>
          <w:szCs w:val="24"/>
          <w:color w:val="auto"/>
        </w:rPr>
      </w:pPr>
    </w:p>
    <w:p>
      <w:pPr>
        <w:jc w:val="both"/>
        <w:ind w:left="9"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left="9" w:right="12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9" w:lineRule="exact"/>
        <w:rPr>
          <w:sz w:val="24"/>
          <w:szCs w:val="24"/>
          <w:color w:val="auto"/>
        </w:rPr>
      </w:pPr>
    </w:p>
    <w:p>
      <w:pPr>
        <w:ind w:left="9" w:right="2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9" w:type="dxa"/>
        <w:tblCellMar>
          <w:top w:w="0" w:type="dxa"/>
          <w:left w:w="0" w:type="dxa"/>
          <w:bottom w:w="0" w:type="dxa"/>
          <w:right w:w="0" w:type="dxa"/>
        </w:tblCellMar>
      </w:tblPr>
      <w:tr>
        <w:trPr>
          <w:trHeight w:val="174"/>
        </w:trPr>
        <w:tc>
          <w:tcPr>
            <w:tcW w:w="1720" w:type="dxa"/>
            <w:vAlign w:val="bottom"/>
          </w:tcPr>
          <w:p>
            <w:pPr>
              <w:spacing w:after="0" w:line="175" w:lineRule="exact"/>
              <w:rPr>
                <w:sz w:val="20"/>
                <w:szCs w:val="20"/>
                <w:color w:val="auto"/>
              </w:rPr>
            </w:pPr>
            <w:r>
              <w:rPr>
                <w:rFonts w:ascii="Arial" w:cs="Arial" w:eastAsia="Arial" w:hAnsi="Arial"/>
                <w:sz w:val="18"/>
                <w:szCs w:val="18"/>
                <w:color w:val="auto"/>
                <w:w w:val="95"/>
              </w:rPr>
              <w:t>Large accelerated filer</w:t>
            </w:r>
          </w:p>
        </w:tc>
        <w:tc>
          <w:tcPr>
            <w:tcW w:w="4640" w:type="dxa"/>
            <w:vAlign w:val="bottom"/>
          </w:tcPr>
          <w:p>
            <w:pPr>
              <w:ind w:left="100"/>
              <w:spacing w:after="0" w:line="174"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1080"/>
              <w:spacing w:after="0" w:line="175" w:lineRule="exact"/>
              <w:rPr>
                <w:sz w:val="20"/>
                <w:szCs w:val="20"/>
                <w:color w:val="auto"/>
              </w:rPr>
            </w:pPr>
            <w:r>
              <w:rPr>
                <w:rFonts w:ascii="Arial" w:cs="Arial" w:eastAsia="Arial" w:hAnsi="Arial"/>
                <w:sz w:val="18"/>
                <w:szCs w:val="18"/>
                <w:color w:val="auto"/>
              </w:rPr>
              <w:t>Accelerated filer</w:t>
            </w:r>
          </w:p>
        </w:tc>
        <w:tc>
          <w:tcPr>
            <w:tcW w:w="260" w:type="dxa"/>
            <w:vAlign w:val="bottom"/>
          </w:tcPr>
          <w:p>
            <w:pPr>
              <w:ind w:left="100"/>
              <w:spacing w:after="0" w:line="174"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464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3780" w:type="dxa"/>
            <w:vAlign w:val="bottom"/>
          </w:tcPr>
          <w:p>
            <w:pPr>
              <w:ind w:left="1080"/>
              <w:spacing w:after="0"/>
              <w:rPr>
                <w:sz w:val="20"/>
                <w:szCs w:val="20"/>
                <w:color w:val="auto"/>
              </w:rPr>
            </w:pPr>
            <w:r>
              <w:rPr>
                <w:rFonts w:ascii="Arial" w:cs="Arial" w:eastAsia="Arial" w:hAnsi="Arial"/>
                <w:sz w:val="18"/>
                <w:szCs w:val="18"/>
                <w:color w:val="auto"/>
              </w:rPr>
              <w:t>Small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780" w:type="dxa"/>
            <w:vAlign w:val="bottom"/>
          </w:tcPr>
          <w:p>
            <w:pPr>
              <w:ind w:left="1080"/>
              <w:spacing w:after="0"/>
              <w:rPr>
                <w:sz w:val="20"/>
                <w:szCs w:val="20"/>
                <w:color w:val="auto"/>
              </w:rPr>
            </w:pPr>
            <w:r>
              <w:rPr>
                <w:rFonts w:ascii="Arial" w:cs="Arial" w:eastAsia="Arial" w:hAnsi="Arial"/>
                <w:sz w:val="18"/>
                <w:szCs w:val="18"/>
                <w:color w:val="auto"/>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9"/>
        </w:trPr>
        <w:tc>
          <w:tcPr>
            <w:tcW w:w="10140" w:type="dxa"/>
            <w:vAlign w:val="bottom"/>
            <w:gridSpan w:val="3"/>
          </w:tcPr>
          <w:p>
            <w:pPr>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0140" w:type="dxa"/>
            <w:vAlign w:val="bottom"/>
            <w:gridSpan w:val="3"/>
          </w:tcPr>
          <w:p>
            <w:pPr>
              <w:spacing w:after="0"/>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p>
        </w:tc>
        <w:tc>
          <w:tcPr>
            <w:tcW w:w="260" w:type="dxa"/>
            <w:vAlign w:val="bottom"/>
          </w:tcPr>
          <w:p>
            <w:pPr>
              <w:spacing w:after="0"/>
              <w:rPr>
                <w:sz w:val="20"/>
                <w:szCs w:val="20"/>
                <w:color w:val="auto"/>
              </w:rPr>
            </w:pPr>
          </w:p>
        </w:tc>
      </w:tr>
    </w:tbl>
    <w:p>
      <w:pPr>
        <w:spacing w:after="0" w:line="156" w:lineRule="exact"/>
        <w:rPr>
          <w:sz w:val="24"/>
          <w:szCs w:val="24"/>
          <w:color w:val="auto"/>
        </w:rPr>
      </w:pPr>
    </w:p>
    <w:p>
      <w:pPr>
        <w:ind w:left="9"/>
        <w:spacing w:after="0" w:line="207" w:lineRule="exact"/>
        <w:tabs>
          <w:tab w:leader="none" w:pos="8388" w:val="left"/>
          <w:tab w:leader="none" w:pos="9168"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44" w:lineRule="exact"/>
        <w:rPr>
          <w:sz w:val="24"/>
          <w:szCs w:val="24"/>
          <w:color w:val="auto"/>
        </w:rPr>
      </w:pPr>
    </w:p>
    <w:p>
      <w:pPr>
        <w:ind w:left="9"/>
        <w:spacing w:after="0"/>
        <w:rPr>
          <w:sz w:val="20"/>
          <w:szCs w:val="20"/>
          <w:color w:val="auto"/>
        </w:rPr>
      </w:pPr>
      <w:r>
        <w:rPr>
          <w:rFonts w:ascii="Arial" w:cs="Arial" w:eastAsia="Arial" w:hAnsi="Arial"/>
          <w:sz w:val="18"/>
          <w:szCs w:val="18"/>
          <w:color w:val="auto"/>
        </w:rPr>
        <w:t>The number of shares of Registrant’s Common Stock outstanding as of August 1, 2018 was 16,904,112.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332105</wp:posOffset>
            </wp:positionV>
            <wp:extent cx="6612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40" w:type="dxa"/>
            <w:vAlign w:val="bottom"/>
            <w:gridSpan w:val="14"/>
            <w:vMerge w:val="restart"/>
          </w:tcPr>
          <w:p>
            <w:pPr>
              <w:jc w:val="center"/>
              <w:ind w:right="17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40" w:type="dxa"/>
            <w:vAlign w:val="bottom"/>
            <w:gridSpan w:val="14"/>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00" w:type="dxa"/>
            <w:vAlign w:val="bottom"/>
            <w:gridSpan w:val="2"/>
          </w:tcPr>
          <w:p>
            <w:pPr>
              <w:spacing w:after="0"/>
              <w:rPr>
                <w:sz w:val="18"/>
                <w:szCs w:val="18"/>
                <w:color w:val="auto"/>
              </w:rPr>
            </w:pP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720" w:type="dxa"/>
            <w:vAlign w:val="bottom"/>
            <w:gridSpan w:val="2"/>
          </w:tcPr>
          <w:p>
            <w:pPr>
              <w:spacing w:after="0"/>
              <w:rPr>
                <w:sz w:val="18"/>
                <w:szCs w:val="18"/>
                <w:color w:val="auto"/>
              </w:rPr>
            </w:pPr>
          </w:p>
        </w:tc>
        <w:tc>
          <w:tcPr>
            <w:tcW w:w="3140" w:type="dxa"/>
            <w:vAlign w:val="bottom"/>
            <w:tcBorders>
              <w:top w:val="single" w:sz="8" w:color="0000EE"/>
            </w:tcBorders>
            <w:gridSpan w:val="8"/>
          </w:tcPr>
          <w:p>
            <w:pPr>
              <w:spacing w:after="0"/>
              <w:rPr>
                <w:sz w:val="18"/>
                <w:szCs w:val="18"/>
                <w:color w:val="auto"/>
              </w:rPr>
            </w:pPr>
          </w:p>
        </w:tc>
        <w:tc>
          <w:tcPr>
            <w:tcW w:w="2240" w:type="dxa"/>
            <w:vAlign w:val="bottom"/>
            <w:gridSpan w:val="5"/>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as of June 30, 2018 (unaudited) and December 31, 2017</w:t>
              </w:r>
            </w:hyperlink>
          </w:p>
        </w:tc>
        <w:tc>
          <w:tcPr>
            <w:tcW w:w="1280" w:type="dxa"/>
            <w:vAlign w:val="bottom"/>
            <w:gridSpan w:val="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Statements of Operations and Comprehensive Loss for the three and six months ended</w:t>
              </w:r>
            </w:hyperlink>
          </w:p>
        </w:tc>
        <w:tc>
          <w:tcPr>
            <w:tcW w:w="24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2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June 30, 2018 and 2017 (unaudited)</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Cash Flows for the six months ended June 30, 2018 and 2017 (unaudited)</w:t>
              </w:r>
            </w:hyperlink>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Financial Statements (unaudited)</w:t>
              </w:r>
            </w:hyperlink>
          </w:p>
        </w:tc>
        <w:tc>
          <w:tcPr>
            <w:tcW w:w="3420" w:type="dxa"/>
            <w:vAlign w:val="bottom"/>
            <w:gridSpan w:val="9"/>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500" w:type="dxa"/>
            <w:vAlign w:val="bottom"/>
            <w:gridSpan w:val="2"/>
          </w:tcPr>
          <w:p>
            <w:pPr>
              <w:spacing w:after="0"/>
              <w:rPr>
                <w:sz w:val="18"/>
                <w:szCs w:val="18"/>
                <w:color w:val="auto"/>
              </w:rPr>
            </w:pP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8"/>
                <w:szCs w:val="18"/>
                <w:color w:val="auto"/>
              </w:rPr>
            </w:pPr>
          </w:p>
        </w:tc>
        <w:tc>
          <w:tcPr>
            <w:tcW w:w="1160" w:type="dxa"/>
            <w:vAlign w:val="bottom"/>
            <w:gridSpan w:val="3"/>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0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762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II—OTHER INFORMATION</w:t>
              </w:r>
            </w:hyperlink>
          </w:p>
        </w:tc>
        <w:tc>
          <w:tcPr>
            <w:tcW w:w="238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1.</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1A.</w:t>
              </w:r>
            </w:hyperlink>
          </w:p>
        </w:tc>
        <w:tc>
          <w:tcPr>
            <w:tcW w:w="762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Item 2.</w:t>
              </w:r>
            </w:hyperlink>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Unregistered Sales of Equity Securities and Use of Proceeds</w:t>
              </w:r>
            </w:hyperlink>
          </w:p>
        </w:tc>
        <w:tc>
          <w:tcPr>
            <w:tcW w:w="3260" w:type="dxa"/>
            <w:vAlign w:val="bottom"/>
            <w:gridSpan w:val="8"/>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Item 3.</w:t>
              </w:r>
            </w:hyperlink>
          </w:p>
        </w:tc>
        <w:tc>
          <w:tcPr>
            <w:tcW w:w="500" w:type="dxa"/>
            <w:vAlign w:val="bottom"/>
            <w:gridSpan w:val="2"/>
          </w:tcPr>
          <w:p>
            <w:pPr>
              <w:spacing w:after="0"/>
              <w:rPr>
                <w:sz w:val="18"/>
                <w:szCs w:val="18"/>
                <w:color w:val="auto"/>
              </w:rPr>
            </w:pP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Defaults Upon Senior Securities</w:t>
              </w:r>
            </w:hyperlink>
          </w:p>
        </w:tc>
        <w:tc>
          <w:tcPr>
            <w:tcW w:w="5280" w:type="dxa"/>
            <w:vAlign w:val="bottom"/>
            <w:gridSpan w:val="1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Item 4.</w:t>
              </w:r>
            </w:hyperlink>
          </w:p>
        </w:tc>
        <w:tc>
          <w:tcPr>
            <w:tcW w:w="500" w:type="dxa"/>
            <w:vAlign w:val="bottom"/>
            <w:gridSpan w:val="2"/>
          </w:tcPr>
          <w:p>
            <w:pPr>
              <w:spacing w:after="0"/>
              <w:rPr>
                <w:sz w:val="18"/>
                <w:szCs w:val="18"/>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Mine Safety Disclosures</w:t>
              </w:r>
            </w:hyperlink>
          </w:p>
        </w:tc>
        <w:tc>
          <w:tcPr>
            <w:tcW w:w="5840" w:type="dxa"/>
            <w:vAlign w:val="bottom"/>
            <w:gridSpan w:val="1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Item 5.</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Item 6.</w:t>
              </w:r>
            </w:hyperlink>
          </w:p>
        </w:tc>
        <w:tc>
          <w:tcPr>
            <w:tcW w:w="500" w:type="dxa"/>
            <w:vAlign w:val="bottom"/>
            <w:gridSpan w:val="2"/>
          </w:tcPr>
          <w:p>
            <w:pPr>
              <w:spacing w:after="0"/>
              <w:rPr>
                <w:sz w:val="18"/>
                <w:szCs w:val="18"/>
                <w:color w:val="auto"/>
              </w:rPr>
            </w:pPr>
          </w:p>
        </w:tc>
        <w:tc>
          <w:tcPr>
            <w:tcW w:w="1340" w:type="dxa"/>
            <w:vAlign w:val="bottom"/>
            <w:tcBorders>
              <w:top w:val="single" w:sz="8" w:color="0000EE"/>
            </w:tcBorders>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6280" w:type="dxa"/>
            <w:vAlign w:val="bottom"/>
            <w:gridSpan w:val="16"/>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7020" w:type="dxa"/>
            <w:vAlign w:val="bottom"/>
            <w:gridSpan w:val="1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EXHIBIT INDEX</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7320" w:type="dxa"/>
            <w:vAlign w:val="bottom"/>
            <w:gridSpan w:val="20"/>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91"/>
              </w:rPr>
              <w:t>(See 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32,725</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2,883</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Deferred income on shipments to distributors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89"/>
              </w:rPr>
              <w:t>Preferred stock, $0.0001 par value per share; 5,000,000 shares authorized; no shares issued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and outstanding as of June 30, 2018 and December 31, 2017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tcPr>
          <w:p>
            <w:pPr>
              <w:ind w:left="100"/>
              <w:spacing w:after="0" w:line="201" w:lineRule="exact"/>
              <w:rPr>
                <w:sz w:val="20"/>
                <w:szCs w:val="20"/>
                <w:color w:val="auto"/>
              </w:rPr>
            </w:pPr>
            <w:r>
              <w:rPr>
                <w:rFonts w:ascii="Arial" w:cs="Arial" w:eastAsia="Arial" w:hAnsi="Arial"/>
                <w:sz w:val="18"/>
                <w:szCs w:val="18"/>
                <w:color w:val="auto"/>
                <w:w w:val="93"/>
              </w:rPr>
              <w:t>Common stock, $0.0001 par value per share; 100,000,000 shares authorized; 16,800,505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w w:val="90"/>
              </w:rPr>
              <w:t>and 12,817,201 shares issued and outstanding as of June 30, 2018 and December 31, 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(124,115)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EVERSPIN TECHNOLOGIES, INC. Condensed Statements of Operations and Comprehensive Loss (In thousands, except share and per share amounts)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Weighted-average shares used to compute net loss per</w:t>
            </w: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16,635,261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12,413,524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15,717,248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12,357,066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 basic and diluted</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Six Months Ended</w:t>
      </w:r>
    </w:p>
    <w:p>
      <w:pPr>
        <w:ind w:left="73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4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r>
      <w:tr>
        <w:trPr>
          <w:trHeight w:val="156"/>
        </w:trPr>
        <w:tc>
          <w:tcPr>
            <w:tcW w:w="64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220" w:type="dxa"/>
            <w:vAlign w:val="bottom"/>
          </w:tcPr>
          <w:p>
            <w:pPr>
              <w:jc w:val="right"/>
              <w:ind w:right="63"/>
              <w:spacing w:after="0" w:line="162" w:lineRule="exact"/>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(7,876)</w:t>
            </w:r>
          </w:p>
        </w:tc>
        <w:tc>
          <w:tcPr>
            <w:tcW w:w="240" w:type="dxa"/>
            <w:vAlign w:val="bottom"/>
          </w:tcPr>
          <w:p>
            <w:pPr>
              <w:jc w:val="right"/>
              <w:ind w:right="83"/>
              <w:spacing w:after="0" w:line="162" w:lineRule="exact"/>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(11,273)</w:t>
            </w: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729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510</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Stock-based compensation</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1,342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839</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Non-cash loss on extinguishment of debt</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185</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Non-cash interest expense</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119</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Compensation expense related to vesting of common stock to GLOBALFOUNDRIES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462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716</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receivable</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(1,391)</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(524)</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Inventory</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170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(1,584)</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(635)</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Other assets</w:t>
            </w:r>
          </w:p>
        </w:tc>
        <w:tc>
          <w:tcPr>
            <w:tcW w:w="220" w:type="dxa"/>
            <w:vAlign w:val="bottom"/>
          </w:tcPr>
          <w:p>
            <w:pPr>
              <w:spacing w:after="0"/>
              <w:rPr>
                <w:sz w:val="14"/>
                <w:szCs w:val="14"/>
                <w:color w:val="auto"/>
              </w:rPr>
            </w:pPr>
          </w:p>
        </w:tc>
        <w:tc>
          <w:tcPr>
            <w:tcW w:w="10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(136)</w:t>
            </w:r>
          </w:p>
        </w:tc>
        <w:tc>
          <w:tcPr>
            <w:tcW w:w="24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(11)</w:t>
            </w: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payable</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(158)</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ind w:left="120"/>
              <w:spacing w:after="0" w:line="162" w:lineRule="exact"/>
              <w:rPr>
                <w:sz w:val="20"/>
                <w:szCs w:val="20"/>
                <w:color w:val="auto"/>
              </w:rPr>
            </w:pPr>
            <w:r>
              <w:rPr>
                <w:rFonts w:ascii="Arial" w:cs="Arial" w:eastAsia="Arial" w:hAnsi="Arial"/>
                <w:sz w:val="15"/>
                <w:szCs w:val="15"/>
                <w:color w:val="auto"/>
              </w:rPr>
              <w:t>Accrued liabilities</w:t>
            </w: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2,591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80</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Deferred income on shipments to distributors</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(39)</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(237)</w:t>
            </w:r>
          </w:p>
        </w:tc>
        <w:tc>
          <w:tcPr>
            <w:tcW w:w="260" w:type="dxa"/>
            <w:vAlign w:val="bottom"/>
            <w:shd w:val="clear" w:color="auto" w:fill="CCEEFF"/>
          </w:tcPr>
          <w:p>
            <w:pPr>
              <w:spacing w:after="0"/>
              <w:rPr>
                <w:sz w:val="14"/>
                <w:szCs w:val="14"/>
                <w:color w:val="auto"/>
              </w:rPr>
            </w:pPr>
          </w:p>
        </w:tc>
      </w:tr>
      <w:tr>
        <w:trPr>
          <w:trHeight w:val="156"/>
        </w:trPr>
        <w:tc>
          <w:tcPr>
            <w:tcW w:w="648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used in operating activities</w:t>
            </w: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(4,513)</w:t>
            </w:r>
          </w:p>
        </w:tc>
        <w:tc>
          <w:tcPr>
            <w:tcW w:w="2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(11,290)</w:t>
            </w:r>
          </w:p>
        </w:tc>
        <w:tc>
          <w:tcPr>
            <w:tcW w:w="260" w:type="dxa"/>
            <w:vAlign w:val="bottom"/>
            <w:tcBorders>
              <w:bottom w:val="single" w:sz="8" w:color="CCEEFF"/>
            </w:tcBorders>
          </w:tcPr>
          <w:p>
            <w:pPr>
              <w:spacing w:after="0"/>
              <w:rPr>
                <w:sz w:val="13"/>
                <w:szCs w:val="13"/>
                <w:color w:val="auto"/>
              </w:rPr>
            </w:pPr>
          </w:p>
        </w:tc>
      </w:tr>
      <w:tr>
        <w:trPr>
          <w:trHeight w:val="156"/>
        </w:trPr>
        <w:tc>
          <w:tcPr>
            <w:tcW w:w="64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220" w:type="dxa"/>
            <w:vAlign w:val="bottom"/>
          </w:tcPr>
          <w:p>
            <w:pPr>
              <w:spacing w:after="0"/>
              <w:rPr>
                <w:sz w:val="14"/>
                <w:szCs w:val="14"/>
                <w:color w:val="auto"/>
              </w:rPr>
            </w:pPr>
          </w:p>
        </w:tc>
        <w:tc>
          <w:tcPr>
            <w:tcW w:w="10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(347)</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(1,704)</w:t>
            </w:r>
          </w:p>
        </w:tc>
        <w:tc>
          <w:tcPr>
            <w:tcW w:w="260" w:type="dxa"/>
            <w:vAlign w:val="bottom"/>
          </w:tcPr>
          <w:p>
            <w:pPr>
              <w:spacing w:after="0"/>
              <w:rPr>
                <w:sz w:val="14"/>
                <w:szCs w:val="14"/>
                <w:color w:val="auto"/>
              </w:rPr>
            </w:pPr>
          </w:p>
        </w:tc>
      </w:tr>
      <w:tr>
        <w:trPr>
          <w:trHeight w:val="156"/>
        </w:trPr>
        <w:tc>
          <w:tcPr>
            <w:tcW w:w="648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(347)</w:t>
            </w: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(1,704)</w:t>
            </w:r>
          </w:p>
        </w:tc>
        <w:tc>
          <w:tcPr>
            <w:tcW w:w="260" w:type="dxa"/>
            <w:vAlign w:val="bottom"/>
            <w:tcBorders>
              <w:top w:val="single" w:sz="8" w:color="CCEEFF"/>
            </w:tcBorders>
            <w:shd w:val="clear" w:color="auto" w:fill="CCEEFF"/>
          </w:tcPr>
          <w:p>
            <w:pPr>
              <w:spacing w:after="0"/>
              <w:rPr>
                <w:sz w:val="13"/>
                <w:szCs w:val="13"/>
                <w:color w:val="auto"/>
              </w:rPr>
            </w:pPr>
          </w:p>
        </w:tc>
      </w:tr>
      <w:tr>
        <w:trPr>
          <w:trHeight w:val="156"/>
        </w:trPr>
        <w:tc>
          <w:tcPr>
            <w:tcW w:w="648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the issuance of common stock, net of offering costs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24,609</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w:t>
            </w: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Proceeds from debt</w:t>
            </w:r>
          </w:p>
        </w:tc>
        <w:tc>
          <w:tcPr>
            <w:tcW w:w="220" w:type="dxa"/>
            <w:vAlign w:val="bottom"/>
          </w:tcPr>
          <w:p>
            <w:pPr>
              <w:spacing w:after="0"/>
              <w:rPr>
                <w:sz w:val="14"/>
                <w:szCs w:val="14"/>
                <w:color w:val="auto"/>
              </w:rPr>
            </w:pPr>
          </w:p>
        </w:tc>
        <w:tc>
          <w:tcPr>
            <w:tcW w:w="106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Arial" w:cs="Arial" w:eastAsia="Arial" w:hAnsi="Arial"/>
                <w:sz w:val="15"/>
                <w:szCs w:val="15"/>
                <w:color w:val="auto"/>
              </w:rPr>
              <w:t>12,000</w:t>
            </w:r>
          </w:p>
        </w:tc>
        <w:tc>
          <w:tcPr>
            <w:tcW w:w="260" w:type="dxa"/>
            <w:vAlign w:val="bottom"/>
          </w:tcPr>
          <w:p>
            <w:pPr>
              <w:spacing w:after="0"/>
              <w:rPr>
                <w:sz w:val="14"/>
                <w:szCs w:val="14"/>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debt</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(1,000)</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(8,356)</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Pr>
          <w:p>
            <w:pPr>
              <w:spacing w:after="0" w:line="162" w:lineRule="exact"/>
              <w:rPr>
                <w:sz w:val="20"/>
                <w:szCs w:val="20"/>
                <w:color w:val="auto"/>
              </w:rPr>
            </w:pPr>
            <w:r>
              <w:rPr>
                <w:rFonts w:ascii="Arial" w:cs="Arial" w:eastAsia="Arial" w:hAnsi="Arial"/>
                <w:sz w:val="15"/>
                <w:szCs w:val="15"/>
                <w:color w:val="auto"/>
              </w:rPr>
              <w:t>Payments of debt issuance costs</w:t>
            </w:r>
          </w:p>
        </w:tc>
        <w:tc>
          <w:tcPr>
            <w:tcW w:w="220" w:type="dxa"/>
            <w:vAlign w:val="bottom"/>
          </w:tcPr>
          <w:p>
            <w:pPr>
              <w:spacing w:after="0"/>
              <w:rPr>
                <w:sz w:val="14"/>
                <w:szCs w:val="14"/>
                <w:color w:val="auto"/>
              </w:rPr>
            </w:pPr>
          </w:p>
        </w:tc>
        <w:tc>
          <w:tcPr>
            <w:tcW w:w="106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(49)</w:t>
            </w: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capital lease obligation</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(6)</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p>
        </w:tc>
        <w:tc>
          <w:tcPr>
            <w:tcW w:w="260" w:type="dxa"/>
            <w:vAlign w:val="bottom"/>
            <w:shd w:val="clear" w:color="auto" w:fill="CCEEFF"/>
          </w:tcPr>
          <w:p>
            <w:pPr>
              <w:spacing w:after="0"/>
              <w:rPr>
                <w:sz w:val="14"/>
                <w:szCs w:val="14"/>
                <w:color w:val="auto"/>
              </w:rPr>
            </w:pPr>
          </w:p>
        </w:tc>
      </w:tr>
      <w:tr>
        <w:trPr>
          <w:trHeight w:val="162"/>
        </w:trPr>
        <w:tc>
          <w:tcPr>
            <w:tcW w:w="64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w w:val="99"/>
              </w:rPr>
              <w:t>Proceeds from exercise of stock options and purchase of shares in employee stock purchase plan</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1,032</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855</w:t>
            </w:r>
          </w:p>
        </w:tc>
        <w:tc>
          <w:tcPr>
            <w:tcW w:w="260" w:type="dxa"/>
            <w:vAlign w:val="bottom"/>
            <w:tcBorders>
              <w:bottom w:val="single" w:sz="8" w:color="CCEEFF"/>
            </w:tcBorders>
          </w:tcPr>
          <w:p>
            <w:pPr>
              <w:spacing w:after="0"/>
              <w:rPr>
                <w:sz w:val="14"/>
                <w:szCs w:val="14"/>
                <w:color w:val="auto"/>
              </w:rPr>
            </w:pPr>
          </w:p>
        </w:tc>
      </w:tr>
      <w:tr>
        <w:trPr>
          <w:trHeight w:val="156"/>
        </w:trPr>
        <w:tc>
          <w:tcPr>
            <w:tcW w:w="6480" w:type="dxa"/>
            <w:vAlign w:val="bottom"/>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provided by financing activities</w:t>
            </w: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24,635</w:t>
            </w:r>
          </w:p>
        </w:tc>
        <w:tc>
          <w:tcPr>
            <w:tcW w:w="2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4,443</w:t>
            </w:r>
          </w:p>
        </w:tc>
        <w:tc>
          <w:tcPr>
            <w:tcW w:w="260" w:type="dxa"/>
            <w:vAlign w:val="bottom"/>
            <w:shd w:val="clear" w:color="auto" w:fill="CCEEFF"/>
          </w:tcPr>
          <w:p>
            <w:pPr>
              <w:spacing w:after="0"/>
              <w:rPr>
                <w:sz w:val="13"/>
                <w:szCs w:val="13"/>
                <w:color w:val="auto"/>
              </w:rPr>
            </w:pPr>
          </w:p>
        </w:tc>
      </w:tr>
      <w:tr>
        <w:trPr>
          <w:trHeight w:val="156"/>
        </w:trPr>
        <w:tc>
          <w:tcPr>
            <w:tcW w:w="6480" w:type="dxa"/>
            <w:vAlign w:val="bottom"/>
          </w:tcPr>
          <w:p>
            <w:pPr>
              <w:spacing w:after="0" w:line="156" w:lineRule="exact"/>
              <w:rPr>
                <w:sz w:val="20"/>
                <w:szCs w:val="20"/>
                <w:color w:val="auto"/>
              </w:rPr>
            </w:pPr>
            <w:r>
              <w:rPr>
                <w:rFonts w:ascii="Arial" w:cs="Arial" w:eastAsia="Arial" w:hAnsi="Arial"/>
                <w:sz w:val="15"/>
                <w:szCs w:val="15"/>
                <w:color w:val="auto"/>
              </w:rPr>
              <w:t>Net increase (decrease) in cash and cash equivalents</w:t>
            </w:r>
          </w:p>
        </w:tc>
        <w:tc>
          <w:tcPr>
            <w:tcW w:w="22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Arial" w:cs="Arial" w:eastAsia="Arial" w:hAnsi="Arial"/>
                <w:sz w:val="15"/>
                <w:szCs w:val="15"/>
                <w:color w:val="auto"/>
              </w:rPr>
              <w:t>19,775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Arial" w:cs="Arial" w:eastAsia="Arial" w:hAnsi="Arial"/>
                <w:sz w:val="15"/>
                <w:szCs w:val="15"/>
                <w:color w:val="auto"/>
              </w:rPr>
              <w:t>(8,551)</w:t>
            </w:r>
          </w:p>
        </w:tc>
        <w:tc>
          <w:tcPr>
            <w:tcW w:w="260" w:type="dxa"/>
            <w:vAlign w:val="bottom"/>
          </w:tcPr>
          <w:p>
            <w:pPr>
              <w:spacing w:after="0"/>
              <w:rPr>
                <w:sz w:val="13"/>
                <w:szCs w:val="13"/>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12,950</w:t>
            </w:r>
          </w:p>
        </w:tc>
        <w:tc>
          <w:tcPr>
            <w:tcW w:w="2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29,727</w:t>
            </w:r>
          </w:p>
        </w:tc>
        <w:tc>
          <w:tcPr>
            <w:tcW w:w="260" w:type="dxa"/>
            <w:vAlign w:val="bottom"/>
            <w:shd w:val="clear" w:color="auto" w:fill="CCEEFF"/>
          </w:tcPr>
          <w:p>
            <w:pPr>
              <w:spacing w:after="0"/>
              <w:rPr>
                <w:sz w:val="14"/>
                <w:szCs w:val="14"/>
                <w:color w:val="auto"/>
              </w:rPr>
            </w:pPr>
          </w:p>
        </w:tc>
      </w:tr>
      <w:tr>
        <w:trPr>
          <w:trHeight w:val="163"/>
        </w:trPr>
        <w:tc>
          <w:tcPr>
            <w:tcW w:w="648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22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32,725</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21,176</w:t>
            </w:r>
          </w:p>
        </w:tc>
        <w:tc>
          <w:tcPr>
            <w:tcW w:w="260" w:type="dxa"/>
            <w:vAlign w:val="bottom"/>
            <w:tcBorders>
              <w:bottom w:val="single" w:sz="8" w:color="CCEEFF"/>
            </w:tcBorders>
          </w:tcPr>
          <w:p>
            <w:pPr>
              <w:spacing w:after="0"/>
              <w:rPr>
                <w:sz w:val="14"/>
                <w:szCs w:val="14"/>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Supplementary cash flow information:</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9"/>
        </w:trPr>
        <w:tc>
          <w:tcPr>
            <w:tcW w:w="64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Interest paid</w:t>
            </w:r>
          </w:p>
        </w:tc>
        <w:tc>
          <w:tcPr>
            <w:tcW w:w="2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233</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288</w:t>
            </w:r>
          </w:p>
        </w:tc>
        <w:tc>
          <w:tcPr>
            <w:tcW w:w="260" w:type="dxa"/>
            <w:vAlign w:val="bottom"/>
            <w:tcBorders>
              <w:bottom w:val="single" w:sz="8" w:color="CCEEFF"/>
            </w:tcBorders>
          </w:tcPr>
          <w:p>
            <w:pPr>
              <w:spacing w:after="0"/>
              <w:rPr>
                <w:sz w:val="14"/>
                <w:szCs w:val="14"/>
                <w:color w:val="auto"/>
              </w:rPr>
            </w:pP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Non-cash investing and financing activities: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9"/>
        </w:trPr>
        <w:tc>
          <w:tcPr>
            <w:tcW w:w="6480" w:type="dxa"/>
            <w:vAlign w:val="bottom"/>
          </w:tcPr>
          <w:p>
            <w:pPr>
              <w:spacing w:after="0" w:line="162" w:lineRule="exact"/>
              <w:rPr>
                <w:sz w:val="20"/>
                <w:szCs w:val="20"/>
                <w:color w:val="auto"/>
              </w:rPr>
            </w:pPr>
            <w:r>
              <w:rPr>
                <w:rFonts w:ascii="Arial" w:cs="Arial" w:eastAsia="Arial" w:hAnsi="Arial"/>
                <w:sz w:val="15"/>
                <w:szCs w:val="15"/>
                <w:color w:val="auto"/>
              </w:rPr>
              <w:t>Purchase of property and equipment in accounts payable</w:t>
            </w:r>
          </w:p>
        </w:tc>
        <w:tc>
          <w:tcPr>
            <w:tcW w:w="2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27</w:t>
            </w:r>
          </w:p>
        </w:tc>
        <w:tc>
          <w:tcPr>
            <w:tcW w:w="240" w:type="dxa"/>
            <w:vAlign w:val="bottom"/>
          </w:tcPr>
          <w:p>
            <w:pPr>
              <w:spacing w:after="0"/>
              <w:rPr>
                <w:sz w:val="14"/>
                <w:szCs w:val="14"/>
                <w:color w:val="auto"/>
              </w:rPr>
            </w:pPr>
          </w:p>
        </w:tc>
        <w:tc>
          <w:tcPr>
            <w:tcW w:w="24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560</w:t>
            </w:r>
          </w:p>
        </w:tc>
        <w:tc>
          <w:tcPr>
            <w:tcW w:w="260" w:type="dxa"/>
            <w:vAlign w:val="bottom"/>
          </w:tcPr>
          <w:p>
            <w:pPr>
              <w:spacing w:after="0"/>
              <w:rPr>
                <w:sz w:val="14"/>
                <w:szCs w:val="1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Everspin Technologies, Inc. (the Company) was incorporated in Delaware on May 16, 2008. The Company’s magnetoresistive (MRAM) solutions offer the persistence of non-volatile memory with the speed and endurance of random access memory (RAM) and enable the protection of mission critical data particularly in the event of power interruption or failure. The Company’s MRAM solutions allow its customers in the industrial, automotive and transportation, and enterprise storage markets to design high performance, power efficient and reliable systems without the need for bulky batteries or capacitors.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225" w:lineRule="exact"/>
        <w:rPr>
          <w:sz w:val="20"/>
          <w:szCs w:val="20"/>
          <w:color w:val="auto"/>
        </w:rPr>
      </w:pPr>
    </w:p>
    <w:p>
      <w:pPr>
        <w:ind w:firstLine="401"/>
        <w:spacing w:after="0" w:line="270" w:lineRule="auto"/>
        <w:rPr>
          <w:sz w:val="20"/>
          <w:szCs w:val="20"/>
          <w:color w:val="auto"/>
        </w:rPr>
      </w:pPr>
      <w:r>
        <w:rPr>
          <w:rFonts w:ascii="Arial" w:cs="Arial" w:eastAsia="Arial" w:hAnsi="Arial"/>
          <w:sz w:val="17"/>
          <w:szCs w:val="17"/>
          <w:color w:val="auto"/>
        </w:rPr>
        <w:t>The Company believes that its existing cash and cash equivalents as of June 30, 2018, coupled with its anticipated growth and sales levels will be sufficient to meet its anticipated cash requirements for at least the next twelve months from the financial statement issuance date.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2017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six months ended June 30, 2018 are not necessarily indicative of the results to be expected for the year ending December 31, 2018 or for any other interim period or for any other future year.</w:t>
      </w:r>
    </w:p>
    <w:p>
      <w:pPr>
        <w:spacing w:after="0" w:line="18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2017, included in the Company’s Annual Report on Form 10-K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income taxes, and stock-based compensation. Actual results could differ from those estimates and assumptions.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a number of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 At June 30, 2018 and December 31, 2017, there was no allowance for doubtful accounts.</w:t>
      </w:r>
    </w:p>
    <w:p>
      <w:pPr>
        <w:spacing w:after="0" w:line="16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Company also establishes an allowance for product returns. The Company analyzes historical returns, current economic trends and changes in customer demand and acceptance of products when evaluating the adequacy of sales returns. As the returns are processed as credits on future purchases, the allowance is recorded against the balance of trade accounts receivable. In addition, the Company establishes an allowance for estimated price concessions related to its distributer agreements. The Company estimates credits to distributors based on the historical rate of credits provided to distributors relative to sales. At June 30, 2018, the allowance for product returns and the allowance for price concessions were $238,000 and $362,000, respectively. At December 31, 2017, the allowance for product returns and the allowance for price concessions were $147,000 and $0, respectively.</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accounts receivable</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7"/>
        </w:trPr>
        <w:tc>
          <w:tcPr>
            <w:tcW w:w="550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5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Revenue</w:t>
            </w:r>
          </w:p>
        </w:tc>
        <w:tc>
          <w:tcPr>
            <w:tcW w:w="15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22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Accounts Receivable, net</w:t>
            </w:r>
          </w:p>
        </w:tc>
      </w:tr>
      <w:tr>
        <w:trPr>
          <w:trHeight w:val="119"/>
        </w:trPr>
        <w:tc>
          <w:tcPr>
            <w:tcW w:w="3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tcBorders>
              <w:top w:val="single" w:sz="8" w:color="auto"/>
            </w:tcBorders>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rPr>
              <w:t>Three Months Ended</w:t>
            </w:r>
          </w:p>
        </w:tc>
        <w:tc>
          <w:tcPr>
            <w:tcW w:w="12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Six Months Ended</w:t>
            </w:r>
          </w:p>
        </w:tc>
        <w:tc>
          <w:tcPr>
            <w:tcW w:w="24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2"/>
              </w:rPr>
              <w:t>As of</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As of</w:t>
            </w:r>
          </w:p>
        </w:tc>
        <w:tc>
          <w:tcPr>
            <w:tcW w:w="320" w:type="dxa"/>
            <w:vAlign w:val="bottom"/>
          </w:tcPr>
          <w:p>
            <w:pPr>
              <w:spacing w:after="0"/>
              <w:rPr>
                <w:sz w:val="10"/>
                <w:szCs w:val="10"/>
                <w:color w:val="auto"/>
              </w:rPr>
            </w:pPr>
          </w:p>
        </w:tc>
      </w:tr>
      <w:tr>
        <w:trPr>
          <w:trHeight w:val="17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15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3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Customers</w:t>
            </w:r>
          </w:p>
        </w:tc>
        <w:tc>
          <w:tcPr>
            <w:tcW w:w="58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320" w:type="dxa"/>
            <w:vAlign w:val="bottom"/>
          </w:tcPr>
          <w:p>
            <w:pPr>
              <w:spacing w:after="0"/>
              <w:rPr>
                <w:sz w:val="12"/>
                <w:szCs w:val="12"/>
                <w:color w:val="auto"/>
              </w:rPr>
            </w:pP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19 %</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11 %</w:t>
            </w: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10 %</w:t>
            </w: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Customer F</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46990</wp:posOffset>
            </wp:positionV>
            <wp:extent cx="134620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46200" cy="25400"/>
                    </a:xfrm>
                    <a:prstGeom prst="rect">
                      <a:avLst/>
                    </a:prstGeom>
                    <a:noFill/>
                  </pic:spPr>
                </pic:pic>
              </a:graphicData>
            </a:graphic>
          </wp:anchor>
        </w:drawing>
      </w:r>
    </w:p>
    <w:p>
      <w:pPr>
        <w:spacing w:after="0" w:line="167"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1—Inputs are unadjusted quoted prices in active markets for identical assets or liabilities at the measurement date.</w:t>
      </w:r>
    </w:p>
    <w:p>
      <w:pPr>
        <w:spacing w:after="0" w:line="248" w:lineRule="exact"/>
        <w:rPr>
          <w:sz w:val="20"/>
          <w:szCs w:val="20"/>
          <w:color w:val="auto"/>
        </w:rPr>
      </w:pPr>
    </w:p>
    <w:p>
      <w:pPr>
        <w:ind w:left="320" w:right="120"/>
        <w:spacing w:after="0" w:line="264" w:lineRule="auto"/>
        <w:rPr>
          <w:sz w:val="20"/>
          <w:szCs w:val="20"/>
          <w:color w:val="auto"/>
        </w:rPr>
      </w:pPr>
      <w:r>
        <w:rPr>
          <w:rFonts w:ascii="Arial" w:cs="Arial" w:eastAsia="Arial" w:hAnsi="Arial"/>
          <w:sz w:val="18"/>
          <w:szCs w:val="18"/>
          <w:color w:val="auto"/>
        </w:rPr>
        <w:t>Level 2—Inputs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81" w:lineRule="exact"/>
        <w:rPr>
          <w:sz w:val="20"/>
          <w:szCs w:val="20"/>
          <w:color w:val="auto"/>
        </w:rPr>
      </w:pPr>
    </w:p>
    <w:p>
      <w:pPr>
        <w:ind w:left="320" w:right="520"/>
        <w:spacing w:after="0" w:line="264" w:lineRule="auto"/>
        <w:rPr>
          <w:sz w:val="20"/>
          <w:szCs w:val="20"/>
          <w:color w:val="auto"/>
        </w:rPr>
      </w:pPr>
      <w:r>
        <w:rPr>
          <w:rFonts w:ascii="Arial" w:cs="Arial" w:eastAsia="Arial" w:hAnsi="Arial"/>
          <w:sz w:val="18"/>
          <w:szCs w:val="18"/>
          <w:color w:val="auto"/>
        </w:rPr>
        <w:t>Level 3—Inputs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81" w:lineRule="exact"/>
        <w:rPr>
          <w:sz w:val="20"/>
          <w:szCs w:val="20"/>
          <w:color w:val="auto"/>
        </w:rPr>
      </w:pPr>
    </w:p>
    <w:p>
      <w:pPr>
        <w:ind w:left="320" w:right="40"/>
        <w:spacing w:after="0" w:line="255" w:lineRule="auto"/>
        <w:rPr>
          <w:sz w:val="20"/>
          <w:szCs w:val="20"/>
          <w:color w:val="auto"/>
        </w:rPr>
      </w:pPr>
      <w:r>
        <w:rPr>
          <w:rFonts w:ascii="Arial" w:cs="Arial" w:eastAsia="Arial" w:hAnsi="Arial"/>
          <w:sz w:val="18"/>
          <w:szCs w:val="18"/>
          <w:color w:val="auto"/>
        </w:rPr>
        <w:t>The carrying value of accounts receivable, accounts payable, and other accruals readily convertible into cash approximate fair value because of the short-term nature of the instruments. As of June 30, 2018,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Where quoted prices are available in an active market, securities are classified as Level 1. Level 1 assets consist of highly liquid money market funds that are included in cash equivalents.</w:t>
      </w:r>
    </w:p>
    <w:p>
      <w:pPr>
        <w:spacing w:after="0" w:line="18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measured at fair value on a recurring basis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r>
      <w:tr>
        <w:trPr>
          <w:trHeight w:val="142"/>
        </w:trPr>
        <w:tc>
          <w:tcPr>
            <w:tcW w:w="560" w:type="dxa"/>
            <w:vAlign w:val="bottom"/>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Level 2</w:t>
            </w: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6"/>
              </w:rPr>
              <w:t>Level 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2"/>
                <w:szCs w:val="12"/>
                <w:color w:val="auto"/>
              </w:rPr>
            </w:pPr>
          </w:p>
        </w:tc>
      </w:tr>
      <w:tr>
        <w:trPr>
          <w:trHeight w:val="210"/>
        </w:trPr>
        <w:tc>
          <w:tcPr>
            <w:tcW w:w="5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Money market funds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$ 32,856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$ 32,856</w:t>
            </w:r>
          </w:p>
        </w:tc>
        <w:tc>
          <w:tcPr>
            <w:tcW w:w="540" w:type="dxa"/>
            <w:vAlign w:val="bottom"/>
          </w:tcPr>
          <w:p>
            <w:pPr>
              <w:spacing w:after="0"/>
              <w:rPr>
                <w:sz w:val="18"/>
                <w:szCs w:val="18"/>
                <w:color w:val="auto"/>
              </w:rPr>
            </w:pPr>
          </w:p>
        </w:tc>
      </w:tr>
      <w:tr>
        <w:trPr>
          <w:trHeight w:val="217"/>
        </w:trPr>
        <w:tc>
          <w:tcPr>
            <w:tcW w:w="560" w:type="dxa"/>
            <w:vAlign w:val="bottom"/>
          </w:tcPr>
          <w:p>
            <w:pPr>
              <w:spacing w:after="0"/>
              <w:rPr>
                <w:sz w:val="18"/>
                <w:szCs w:val="18"/>
                <w:color w:val="auto"/>
              </w:rPr>
            </w:pPr>
          </w:p>
        </w:tc>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$ 32,856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$ 32,856</w:t>
            </w:r>
          </w:p>
        </w:tc>
        <w:tc>
          <w:tcPr>
            <w:tcW w:w="540" w:type="dxa"/>
            <w:vAlign w:val="bottom"/>
          </w:tcPr>
          <w:p>
            <w:pPr>
              <w:spacing w:after="0"/>
              <w:rPr>
                <w:sz w:val="18"/>
                <w:szCs w:val="18"/>
                <w:color w:val="auto"/>
              </w:rPr>
            </w:pPr>
          </w:p>
        </w:tc>
      </w:tr>
      <w:tr>
        <w:trPr>
          <w:trHeight w:val="378"/>
        </w:trPr>
        <w:tc>
          <w:tcPr>
            <w:tcW w:w="5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0"/>
              </w:rPr>
              <w:t>December 31, 2017</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142"/>
        </w:trPr>
        <w:tc>
          <w:tcPr>
            <w:tcW w:w="560" w:type="dxa"/>
            <w:vAlign w:val="bottom"/>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Level 2</w:t>
            </w: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6"/>
              </w:rPr>
              <w:t>Level 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2"/>
                <w:szCs w:val="12"/>
                <w:color w:val="auto"/>
              </w:rPr>
            </w:pPr>
          </w:p>
        </w:tc>
      </w:tr>
      <w:tr>
        <w:trPr>
          <w:trHeight w:val="210"/>
        </w:trPr>
        <w:tc>
          <w:tcPr>
            <w:tcW w:w="56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Money market funds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$ 13,369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$ 13,369</w:t>
            </w:r>
          </w:p>
        </w:tc>
        <w:tc>
          <w:tcPr>
            <w:tcW w:w="540" w:type="dxa"/>
            <w:vAlign w:val="bottom"/>
          </w:tcPr>
          <w:p>
            <w:pPr>
              <w:spacing w:after="0"/>
              <w:rPr>
                <w:sz w:val="18"/>
                <w:szCs w:val="18"/>
                <w:color w:val="auto"/>
              </w:rPr>
            </w:pPr>
          </w:p>
        </w:tc>
      </w:tr>
      <w:tr>
        <w:trPr>
          <w:trHeight w:val="230"/>
        </w:trPr>
        <w:tc>
          <w:tcPr>
            <w:tcW w:w="560" w:type="dxa"/>
            <w:vAlign w:val="bottom"/>
          </w:tcPr>
          <w:p>
            <w:pPr>
              <w:spacing w:after="0"/>
              <w:rPr>
                <w:sz w:val="19"/>
                <w:szCs w:val="19"/>
                <w:color w:val="auto"/>
              </w:rPr>
            </w:pPr>
          </w:p>
        </w:tc>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$ 13,369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$ 13,369</w:t>
            </w:r>
          </w:p>
        </w:tc>
        <w:tc>
          <w:tcPr>
            <w:tcW w:w="540" w:type="dxa"/>
            <w:vAlign w:val="bottom"/>
          </w:tcPr>
          <w:p>
            <w:pPr>
              <w:spacing w:after="0"/>
              <w:rPr>
                <w:sz w:val="19"/>
                <w:szCs w:val="19"/>
                <w:color w:val="auto"/>
              </w:rPr>
            </w:pPr>
          </w:p>
        </w:tc>
      </w:tr>
      <w:tr>
        <w:trPr>
          <w:trHeight w:val="851"/>
        </w:trPr>
        <w:tc>
          <w:tcPr>
            <w:tcW w:w="5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80" w:type="dxa"/>
            <w:vAlign w:val="bottom"/>
          </w:tcPr>
          <w:p>
            <w:pPr>
              <w:jc w:val="right"/>
              <w:ind w:right="970"/>
              <w:spacing w:after="0"/>
              <w:rPr>
                <w:sz w:val="20"/>
                <w:szCs w:val="20"/>
                <w:color w:val="auto"/>
              </w:rPr>
            </w:pPr>
            <w:r>
              <w:rPr>
                <w:rFonts w:ascii="Arial" w:cs="Arial" w:eastAsia="Arial" w:hAnsi="Arial"/>
                <w:sz w:val="18"/>
                <w:szCs w:val="18"/>
                <w:color w:val="auto"/>
              </w:rPr>
              <w:t>8</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29"/>
        </w:trPr>
        <w:tc>
          <w:tcPr>
            <w:tcW w:w="56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r>
    </w:tbl>
    <w:p>
      <w:pPr>
        <w:sectPr>
          <w:pgSz w:w="11900" w:h="16838" w:orient="portrait"/>
          <w:cols w:equalWidth="0" w:num="1">
            <w:col w:w="9100"/>
          </w:cols>
          <w:pgMar w:left="1420" w:top="125" w:right="137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recognizes revenue when a customer obtains control of the promised products or services, in an amount that reflects the consideration which the Company expects to receive in exchange for those products or services. Revenue is recognized net of allowances for returns and price concessions, and any taxes collected from customers, which are subsequently remitted to governmental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Company’s revenue is derived from the sale of MRAM-based products in discrete unit form, licenses of and royalties on its MRAM and magnetic sensor technology, the sale of backend foundry services and design services to third parties. Sales of products in discrete unit form are recognized at a point in time, revenue related to licensing agreements is recognized when the Company has delivered control of the technology, revenue related to royalty agreements is recognized in the period in which sales generated from products sold using the Company’s technology occurs, sales of backend foundry services are recognized over time, and design services to third parties are recognized either at a point in time or over time, depending on the nature of the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For products sold in their discrete form, the Company either sells its products directly to original equipment manufacturers (OEMs), original design manufacturers (ODMs) and contract manufacturers (CMs), or through a network of distributors, who in turn sell to those customers. For sales directly to OEMs, ODMs and CMs, revenue is recognized when the OEM, ODM or CM obtains control of the product, which occurs at a point in time, generally upon shipment to the customer.</w:t>
      </w:r>
    </w:p>
    <w:p>
      <w:pPr>
        <w:spacing w:after="0" w:line="18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Company sells the majority of its products to its distributors at a uniform list price. However, distributors may resell the Company’s products to end customers at a very broad range of individually negotiated price points. Distributors are provided with price concessions subsequent to the delivery of product to them and such amounts are dependent on the end customer and product sales price. The price concessions are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The Company estimates these credits and records such estimates in the same period the related revenue is recognized, resulting in a reduction of product revenue and the establishment of an allowance for price concessions due to distributors. The Company estimates credits to distributors based on the historical rate of credits provided to distributors relative to sales. Revenue on shipments to distributors is recorded when control of the products has been transferred to the distributor.</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estimates the amount of its product sales that may be returned by its customers and records this estimate as a reduction of revenue in the period the related product revenue is recognized. The Company estimates its product return liability by analyzing its historical returns, current economic trends and changes in customer demand and acceptance of products. The Company has received insignificant returns to date and believes that returns of its products will continue to be minimal.</w:t>
      </w:r>
    </w:p>
    <w:p>
      <w:pPr>
        <w:spacing w:after="0" w:line="188"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At the time of shipment to distributors, the Company records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 of operations.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For licenses of technology, recognition of revenue is dependent upon whether the Company has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the Company of one or more of the following: non-refundable upfront fees; and royalties on net sales of licensed products. Historically, these license agreements have not included other future performance obligations for the Company once the license has been transferred to the customer.</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transaction price in each agreement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Revenue from non-refundable up-front payments is recognized when the license is transferred to the customer and the Company has no other performance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Revenue from sales-based royalties from licenses of the Company’s technology are recognized at the later of when (1) the sale occurs or (2) the performance obligation to which some or all of the sales-based royalty has been allocated is satisfied (in whole or in part).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 certain revenue streams, the Company recognizes revenue based on the pattern of transfer of the services. The Company uses the input method of measuring costs incurred to date compared to total estimated costs to be incurred under the contract as this method most faithfully depicts its performance. The Company will record an unbilled receivable (within accounts receivable, net) for the portion of the work that has been completed but not invoiced at the end of each reporting period.</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Revenue from milestone payments must be estimated using either the expected value method or the most likely amount method. At the inception of each agreement that includes milestone payments, the Company evaluates whether the milestones are considered probable of being reached and estimates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the Company re-evaluates the probability or achievement of each such milestone and any related constraint, and if necessary, adjusts its estimate of the overall transaction price. Any such adjustments are recorded on a cumulative catch-up basis, which would affect revenues and earnings in the period of adjustment.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shares of common stock outstanding for the period, less shares subject to repurchase, without consideration of potentially dilutive securities. Diluted net loss per common share is the same as basic net loss per common share since the effect of potentially dilutive securities is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Certain amounts in the prior period have been reclassified to conform with current period presentation. There was no impact on total revenue or net loss for the prior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2014-09, Revenue from Contracts with Customers</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Revenue from Contracts with Customers (Topic 606). Areas of revenue recognition that will be affected include, but are not limited to, transfer of control, variable consideration, allocation of transfer pricing, licenses, time value of money, contract costs and disclosures.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The Company adopted this standard on January 1, 2018 using the modified retrospective method. The Company recognized the cumulative effect of initially applying the new revenue standard as an adjustment to the opening balance of its accumulated deficit. The comparative information has not been restated and continues to be reported under the accounting standards in effect for those periods.</w:t>
      </w:r>
    </w:p>
    <w:p>
      <w:pPr>
        <w:spacing w:after="0" w:line="169"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As a result of the adoption of the new standard, the Company changed its accounting policy for revenue recognition and the details of the significant changes and quantitative impact of the changes are disclosed below.</w:t>
      </w:r>
    </w:p>
    <w:p>
      <w:pPr>
        <w:spacing w:after="0" w:line="147" w:lineRule="exact"/>
        <w:rPr>
          <w:sz w:val="20"/>
          <w:szCs w:val="20"/>
          <w:color w:val="auto"/>
        </w:rPr>
      </w:pPr>
    </w:p>
    <w:p>
      <w:pPr>
        <w:ind w:left="320" w:right="60"/>
        <w:spacing w:after="0" w:line="287" w:lineRule="auto"/>
        <w:rPr>
          <w:sz w:val="20"/>
          <w:szCs w:val="20"/>
          <w:color w:val="auto"/>
        </w:rPr>
      </w:pPr>
      <w:r>
        <w:rPr>
          <w:rFonts w:ascii="Arial" w:cs="Arial" w:eastAsia="Arial" w:hAnsi="Arial"/>
          <w:sz w:val="16"/>
          <w:szCs w:val="16"/>
          <w:i w:val="1"/>
          <w:iCs w:val="1"/>
          <w:color w:val="auto"/>
        </w:rPr>
        <w:t xml:space="preserve">Distributor sales </w:t>
      </w:r>
      <w:r>
        <w:rPr>
          <w:rFonts w:ascii="Arial" w:cs="Arial" w:eastAsia="Arial" w:hAnsi="Arial"/>
          <w:sz w:val="16"/>
          <w:szCs w:val="16"/>
          <w:color w:val="auto"/>
        </w:rPr>
        <w:t>- Some of the Company's contracts with distributors provide the distributor with certain concessions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price protection credits. Under Topic 605, Revenue, these concessions and price protection credits were not fixed or determinable and, as a result, the associated revenue was deferred until delivery of the product to the end customer. At the time of shipment to distributors, the Company recorded a trade receivable for the selling price as there was a legally enforceable obligation of the distributor to pay for the product delivered, inventory was reduced by the carrying value of goods shipped, and the net of these amounts, the gross profit, was recorded as deferred income on shipments to distributors on the balance sheet. Under Topic 606, the Company recognizes revenue from sales to distributors upon delivery of the product to the distributor and estimates the amount of the concessions and price protection credits at the point of revenue recognition. Accordingly, the balance of the deferred income on shipments to distributors was eliminated as a cumulative effect adjustment of implementing Topic 606 as of January 1, 2018, net of the Company’s estimate of concessions and price protection credits for those contracts.</w:t>
      </w:r>
    </w:p>
    <w:p>
      <w:pPr>
        <w:spacing w:after="0" w:line="173" w:lineRule="exact"/>
        <w:rPr>
          <w:sz w:val="20"/>
          <w:szCs w:val="20"/>
          <w:color w:val="auto"/>
        </w:rPr>
      </w:pPr>
    </w:p>
    <w:p>
      <w:pPr>
        <w:ind w:left="320" w:right="20"/>
        <w:spacing w:after="0" w:line="291" w:lineRule="auto"/>
        <w:rPr>
          <w:sz w:val="20"/>
          <w:szCs w:val="20"/>
          <w:color w:val="auto"/>
        </w:rPr>
      </w:pPr>
      <w:r>
        <w:rPr>
          <w:rFonts w:ascii="Arial" w:cs="Arial" w:eastAsia="Arial" w:hAnsi="Arial"/>
          <w:sz w:val="16"/>
          <w:szCs w:val="16"/>
          <w:i w:val="1"/>
          <w:iCs w:val="1"/>
          <w:color w:val="auto"/>
        </w:rPr>
        <w:t xml:space="preserve">Performance obligations delivered over time </w:t>
      </w:r>
      <w:r>
        <w:rPr>
          <w:rFonts w:ascii="Arial" w:cs="Arial" w:eastAsia="Arial" w:hAnsi="Arial"/>
          <w:sz w:val="16"/>
          <w:szCs w:val="16"/>
          <w:color w:val="auto"/>
        </w:rPr>
        <w:t>–Topic 605 permitted straight-line recognition of revenue for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that were delivered over time. The new revenue standard requires an entity to recognize revenue based on the pattern of transfer of the services. Entities must use either an input method or an output method to measure progress toward complete satisfaction of a performance obligation. The Company determined that the input method of measuring costs incurred to date compared to total estimated costs to be incurred under the contract most faithfully depicts its performance. Under Topic 606, the Company will record an unbilled receivable (within accounts receivable, net) for the portion of the service that has been completed but not invoiced at the end of each reporting period.</w:t>
      </w:r>
    </w:p>
    <w:p>
      <w:pPr>
        <w:spacing w:after="0" w:line="167" w:lineRule="exact"/>
        <w:rPr>
          <w:sz w:val="20"/>
          <w:szCs w:val="20"/>
          <w:color w:val="auto"/>
        </w:rPr>
      </w:pPr>
    </w:p>
    <w:p>
      <w:pPr>
        <w:ind w:left="320"/>
        <w:spacing w:after="0" w:line="291"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 Topic 605 permitted recognition using the milestone method, whereby revenue was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completion of substantive milestones once the customers acknowledge the milestones have been met and the collection of the amounts is reasonably assured. The milestone method no longer exists under the new revenue standard. Revenue from milestone payments must be estimated using either the expected value method or the most likely amount method. If it is probable that a significant reversal of cumulative revenue would not occur, the associated milestone value is included in the transaction price. The adoption of Topic 606 did not have an impact on milestone revenue recorded to date as the performance obligations related to such milestones were completed as of the adoption date.</w:t>
      </w:r>
    </w:p>
    <w:p>
      <w:pPr>
        <w:spacing w:after="0" w:line="167" w:lineRule="exact"/>
        <w:rPr>
          <w:sz w:val="20"/>
          <w:szCs w:val="20"/>
          <w:color w:val="auto"/>
        </w:rPr>
      </w:pPr>
    </w:p>
    <w:p>
      <w:pPr>
        <w:jc w:val="both"/>
        <w:ind w:left="320" w:right="200"/>
        <w:spacing w:after="0" w:line="302" w:lineRule="auto"/>
        <w:rPr>
          <w:sz w:val="20"/>
          <w:szCs w:val="20"/>
          <w:color w:val="auto"/>
        </w:rPr>
      </w:pPr>
      <w:r>
        <w:rPr>
          <w:rFonts w:ascii="Arial" w:cs="Arial" w:eastAsia="Arial" w:hAnsi="Arial"/>
          <w:sz w:val="16"/>
          <w:szCs w:val="16"/>
          <w:i w:val="1"/>
          <w:iCs w:val="1"/>
          <w:color w:val="auto"/>
        </w:rPr>
        <w:t xml:space="preserve">Sales-based royalties </w:t>
      </w:r>
      <w:r>
        <w:rPr>
          <w:rFonts w:ascii="Arial" w:cs="Arial" w:eastAsia="Arial" w:hAnsi="Arial"/>
          <w:sz w:val="16"/>
          <w:szCs w:val="16"/>
          <w:color w:val="auto"/>
        </w:rPr>
        <w:t>– Topic 605 permitted recognition of royalties when reported to the Company,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coincided with the receipt of payment. Under the new revenue standard, revenue generated from sales-based royalties from licenses of technology are recognized at the later of when (1) the sale occurs or (2) the performance obligation to which some or all of the sales-based royalty has been allocated is satisfied (in whole or in part).</w:t>
      </w:r>
    </w:p>
    <w:p>
      <w:pPr>
        <w:spacing w:after="0" w:line="15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change in revenue recognition upon adoption of Topic 606 resulted in a decrease in the accumulated deficit balance of $1.3 million on January 1, 2018.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summarizes the impact of adopting Topic 606 on select unaudited condensed balance sheet line items (in thousands):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4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As reported</w:t>
            </w:r>
          </w:p>
        </w:tc>
        <w:tc>
          <w:tcPr>
            <w:tcW w:w="220" w:type="dxa"/>
            <w:vAlign w:val="bottom"/>
          </w:tcPr>
          <w:p>
            <w:pPr>
              <w:spacing w:after="0"/>
              <w:rPr>
                <w:sz w:val="12"/>
                <w:szCs w:val="12"/>
                <w:color w:val="auto"/>
              </w:rPr>
            </w:pP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Adjustments</w:t>
            </w:r>
          </w:p>
        </w:tc>
        <w:tc>
          <w:tcPr>
            <w:tcW w:w="1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the adoption of</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Topic 606</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51,857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8"/>
              </w:rPr>
              <w:t>Deferred income on shipments to distributors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17,366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(124,115)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(126,743)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impact of adopting Topic 606 on select unaudited condensed statement of operations line items (in thousands, except per share data):</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4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June 30, 2018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As reported</w:t>
            </w:r>
          </w:p>
        </w:tc>
        <w:tc>
          <w:tcPr>
            <w:tcW w:w="220" w:type="dxa"/>
            <w:vAlign w:val="bottom"/>
          </w:tcPr>
          <w:p>
            <w:pPr>
              <w:spacing w:after="0"/>
              <w:rPr>
                <w:sz w:val="12"/>
                <w:szCs w:val="12"/>
                <w:color w:val="auto"/>
              </w:rPr>
            </w:pP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Adjustments</w:t>
            </w:r>
          </w:p>
        </w:tc>
        <w:tc>
          <w:tcPr>
            <w:tcW w:w="1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the adoption of</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Topic 606</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w w:val="96"/>
              </w:rPr>
              <w:t>Net loss per common share, basic and diluted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557"/>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4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 2018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As reported</w:t>
            </w:r>
          </w:p>
        </w:tc>
        <w:tc>
          <w:tcPr>
            <w:tcW w:w="220" w:type="dxa"/>
            <w:vAlign w:val="bottom"/>
          </w:tcPr>
          <w:p>
            <w:pPr>
              <w:spacing w:after="0"/>
              <w:rPr>
                <w:sz w:val="12"/>
                <w:szCs w:val="12"/>
                <w:color w:val="auto"/>
              </w:rPr>
            </w:pP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Adjustments</w:t>
            </w:r>
          </w:p>
        </w:tc>
        <w:tc>
          <w:tcPr>
            <w:tcW w:w="1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the adoption of</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Topic 606</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6,707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10,170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(8,947)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w w:val="96"/>
              </w:rPr>
              <w:t>Net loss per common share, basic and diluted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summarizes the impact of adopting Topic 606 on select unaudited condensed statement of cash flows line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Balances without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Six Months Ended June 30, 2018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As reported</w:t>
            </w:r>
          </w:p>
        </w:tc>
        <w:tc>
          <w:tcPr>
            <w:tcW w:w="220" w:type="dxa"/>
            <w:vAlign w:val="bottom"/>
          </w:tcPr>
          <w:p>
            <w:pPr>
              <w:spacing w:after="0"/>
              <w:rPr>
                <w:sz w:val="12"/>
                <w:szCs w:val="12"/>
                <w:color w:val="auto"/>
              </w:rPr>
            </w:pP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Adjustments</w:t>
            </w:r>
          </w:p>
        </w:tc>
        <w:tc>
          <w:tcPr>
            <w:tcW w:w="1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the adoption of</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Topic 606</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(7,876)</w:t>
            </w:r>
          </w:p>
        </w:tc>
        <w:tc>
          <w:tcPr>
            <w:tcW w:w="4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(1,328)</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(9,204)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Adjustments to reconcile net loss to net cash used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 operating activities: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6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760" w:type="dxa"/>
            <w:vAlign w:val="bottom"/>
          </w:tcPr>
          <w:p>
            <w:pPr>
              <w:ind w:left="100"/>
              <w:spacing w:after="0"/>
              <w:rPr>
                <w:sz w:val="20"/>
                <w:szCs w:val="20"/>
                <w:color w:val="auto"/>
              </w:rPr>
            </w:pPr>
            <w:r>
              <w:rPr>
                <w:rFonts w:ascii="Arial" w:cs="Arial" w:eastAsia="Arial" w:hAnsi="Arial"/>
                <w:sz w:val="18"/>
                <w:szCs w:val="18"/>
                <w:color w:val="auto"/>
              </w:rPr>
              <w:t>Deferred income on shipments to distributors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4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2017-09, Compensation-Stock Compensation</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which is intended to amend the scope of modification accounting for share-based payment arrangements. The amendments in the update provide guidance on types of changes to the terms or conditions of share-based payment awards that would require the Company to apply modification accounting under ASC 718, Compensation-Stock Compensation. This ASU is effective for annual reporting periods beginning after December 15, 2017, and early adoption was permitted. The Company adopted this standard on January 1, 2018, and the impact of its adoption on the Company’s financial statements was not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2016-15, Statement of Cash Flows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ASU 2016-15 identifies how certain cash receipts and cash payments are presented and classified in the Statement of Cash Flows. The standard is effective for fiscal years and interim periods beginning after December 15, 2017. The standard should be applied retrospectively and early adoption was permitted, including adoption in an interim period. The Company adopted this standard on January 1, 2018, and the impact of its adoption on the Company’s financial statements was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June 2018, the FASB issued ASU No. 2018-07, Compensation-Stock Compensation (Topic 718): Improvements to Nonemployee Share-Based Payment Accounting. ASU 2018-07 is intended to reduce the cost and complexity and to improve financial reporting for nonemployee share-based payments. The ASU expands the scope of Topic 718, (which currently only includes share-based payments to employees) to include share-based payments issued to nonemployees for goods or services. Consequently, the accounting for share-based payments to nonemployees and employees will be substantially aligned. The standard is effective for fiscal years beginning after December 15, 2018, including interim periods within that fiscal year. Early adoption is permitted, but no earlier than a company’s adoption date of Topic 606. The Company is currently evaluating the impact that the adoption of ASU 2018-07 will have on its financial statements and related disclosures.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ASU No. 2014-09</w:t>
      </w:r>
    </w:p>
    <w:p>
      <w:pPr>
        <w:spacing w:after="0" w:line="225"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On January 1, 2018, the Company adopted ASU No. 2014-09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Topic 605.</w:t>
      </w:r>
    </w:p>
    <w:p>
      <w:pPr>
        <w:spacing w:after="0" w:line="187"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Company sells the majority of its products to its distributors, but does recognize some revenue under licensing and royalty agreements. The following table presents the Company’s revenues disaggregated by sales channel,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920" w:type="dxa"/>
            <w:vAlign w:val="bottom"/>
          </w:tcPr>
          <w:p>
            <w:pPr>
              <w:spacing w:after="0"/>
              <w:rPr>
                <w:sz w:val="14"/>
                <w:szCs w:val="14"/>
                <w:color w:val="auto"/>
              </w:rPr>
            </w:pPr>
          </w:p>
        </w:tc>
      </w:tr>
      <w:tr>
        <w:trPr>
          <w:trHeight w:val="171"/>
        </w:trPr>
        <w:tc>
          <w:tcPr>
            <w:tcW w:w="940" w:type="dxa"/>
            <w:vAlign w:val="bottom"/>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June 30, 2018</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June 30, 2018</w:t>
            </w:r>
          </w:p>
        </w:tc>
        <w:tc>
          <w:tcPr>
            <w:tcW w:w="920" w:type="dxa"/>
            <w:vAlign w:val="bottom"/>
          </w:tcPr>
          <w:p>
            <w:pPr>
              <w:spacing w:after="0"/>
              <w:rPr>
                <w:sz w:val="14"/>
                <w:szCs w:val="14"/>
                <w:color w:val="auto"/>
              </w:rPr>
            </w:pPr>
          </w:p>
        </w:tc>
      </w:tr>
      <w:tr>
        <w:trPr>
          <w:trHeight w:val="210"/>
        </w:trPr>
        <w:tc>
          <w:tcPr>
            <w:tcW w:w="94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16,531</w:t>
            </w: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2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9,087</w:t>
            </w:r>
          </w:p>
        </w:tc>
        <w:tc>
          <w:tcPr>
            <w:tcW w:w="920" w:type="dxa"/>
            <w:vAlign w:val="bottom"/>
          </w:tcPr>
          <w:p>
            <w:pPr>
              <w:spacing w:after="0"/>
              <w:rPr>
                <w:sz w:val="18"/>
                <w:szCs w:val="18"/>
                <w:color w:val="auto"/>
              </w:rPr>
            </w:pPr>
          </w:p>
        </w:tc>
      </w:tr>
      <w:tr>
        <w:trPr>
          <w:trHeight w:val="230"/>
        </w:trPr>
        <w:tc>
          <w:tcPr>
            <w:tcW w:w="94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0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25,618</w:t>
            </w:r>
          </w:p>
        </w:tc>
        <w:tc>
          <w:tcPr>
            <w:tcW w:w="920" w:type="dxa"/>
            <w:vAlign w:val="bottom"/>
          </w:tcPr>
          <w:p>
            <w:pPr>
              <w:spacing w:after="0"/>
              <w:rPr>
                <w:sz w:val="19"/>
                <w:szCs w:val="19"/>
                <w:color w:val="auto"/>
              </w:rPr>
            </w:pPr>
          </w:p>
        </w:tc>
      </w:tr>
      <w:tr>
        <w:trPr>
          <w:trHeight w:val="851"/>
        </w:trPr>
        <w:tc>
          <w:tcPr>
            <w:tcW w:w="9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40" w:type="dxa"/>
            <w:vAlign w:val="bottom"/>
          </w:tcPr>
          <w:p>
            <w:pPr>
              <w:jc w:val="right"/>
              <w:ind w:right="59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All of the Company's performance obligations and associated revenue are generally transferred to customers at a point in time, with the exception of certain revenue streams which are performed over time commensurate with the delivery of service. The following table presents the Company’s revenues disaggregated by timing of recognition (in thousands):</w:t>
      </w:r>
    </w:p>
    <w:p>
      <w:pPr>
        <w:spacing w:after="0" w:line="7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w:t>
            </w:r>
          </w:p>
        </w:tc>
      </w:tr>
      <w:tr>
        <w:trPr>
          <w:trHeight w:val="171"/>
        </w:trPr>
        <w:tc>
          <w:tcPr>
            <w:tcW w:w="4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June 30, 2018</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June 30, 2018</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24,116</w:t>
            </w:r>
          </w:p>
        </w:tc>
      </w:tr>
      <w:tr>
        <w:trPr>
          <w:trHeight w:val="216"/>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r>
      <w:tr>
        <w:trPr>
          <w:trHeight w:val="217"/>
        </w:trPr>
        <w:tc>
          <w:tcPr>
            <w:tcW w:w="4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25,618</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4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June 30, 2018</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June 30, 2018</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License fees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r>
      <w:tr>
        <w:trPr>
          <w:trHeight w:val="217"/>
        </w:trPr>
        <w:tc>
          <w:tcPr>
            <w:tcW w:w="4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25,618</w:t>
            </w:r>
          </w:p>
        </w:tc>
      </w:tr>
    </w:tbl>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recognizes revenue in three primary geographic regions: North America; Europe, Middle East and Africa (EMEA); and Asia-Pacific and Japan (APJ). The following table presents the Company’s revenues disaggregated by the geographic region to which the product is delivered or licensee is located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6"/>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920" w:type="dxa"/>
            <w:vAlign w:val="bottom"/>
          </w:tcPr>
          <w:p>
            <w:pPr>
              <w:spacing w:after="0"/>
              <w:rPr>
                <w:sz w:val="14"/>
                <w:szCs w:val="14"/>
                <w:color w:val="auto"/>
              </w:rPr>
            </w:pPr>
          </w:p>
        </w:tc>
      </w:tr>
      <w:tr>
        <w:trPr>
          <w:trHeight w:val="171"/>
        </w:trPr>
        <w:tc>
          <w:tcPr>
            <w:tcW w:w="9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8"/>
              </w:rPr>
              <w:t>June 30, 2018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rPr>
              <w:t>June 30, 2018</w:t>
            </w:r>
          </w:p>
        </w:tc>
        <w:tc>
          <w:tcPr>
            <w:tcW w:w="920" w:type="dxa"/>
            <w:vAlign w:val="bottom"/>
          </w:tcPr>
          <w:p>
            <w:pPr>
              <w:spacing w:after="0"/>
              <w:rPr>
                <w:sz w:val="14"/>
                <w:szCs w:val="14"/>
                <w:color w:val="auto"/>
              </w:rPr>
            </w:pPr>
          </w:p>
        </w:tc>
      </w:tr>
      <w:tr>
        <w:trPr>
          <w:trHeight w:val="210"/>
        </w:trPr>
        <w:tc>
          <w:tcPr>
            <w:tcW w:w="94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EMEA</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2,096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5,147</w:t>
            </w: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16,361</w:t>
            </w:r>
          </w:p>
        </w:tc>
        <w:tc>
          <w:tcPr>
            <w:tcW w:w="920" w:type="dxa"/>
            <w:vAlign w:val="bottom"/>
          </w:tcPr>
          <w:p>
            <w:pPr>
              <w:spacing w:after="0"/>
              <w:rPr>
                <w:sz w:val="18"/>
                <w:szCs w:val="18"/>
                <w:color w:val="auto"/>
              </w:rPr>
            </w:pPr>
          </w:p>
        </w:tc>
      </w:tr>
      <w:tr>
        <w:trPr>
          <w:trHeight w:val="217"/>
        </w:trPr>
        <w:tc>
          <w:tcPr>
            <w:tcW w:w="94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10,765</w:t>
            </w: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25,618</w:t>
            </w:r>
          </w:p>
        </w:tc>
        <w:tc>
          <w:tcPr>
            <w:tcW w:w="920" w:type="dxa"/>
            <w:vAlign w:val="bottom"/>
          </w:tcPr>
          <w:p>
            <w:pPr>
              <w:spacing w:after="0"/>
              <w:rPr>
                <w:sz w:val="18"/>
                <w:szCs w:val="18"/>
                <w:color w:val="auto"/>
              </w:rPr>
            </w:pPr>
          </w:p>
        </w:tc>
      </w:tr>
      <w:tr>
        <w:trPr>
          <w:trHeight w:val="662"/>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4. Balance Sheet Components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Inventory</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5240" w:type="dxa"/>
            <w:vAlign w:val="bottom"/>
            <w:gridSpan w:val="2"/>
          </w:tcPr>
          <w:p>
            <w:pPr>
              <w:ind w:left="320"/>
              <w:spacing w:after="0"/>
              <w:rPr>
                <w:sz w:val="20"/>
                <w:szCs w:val="20"/>
                <w:color w:val="auto"/>
              </w:rPr>
            </w:pPr>
            <w:r>
              <w:rPr>
                <w:rFonts w:ascii="Arial" w:cs="Arial" w:eastAsia="Arial" w:hAnsi="Arial"/>
                <w:sz w:val="18"/>
                <w:szCs w:val="18"/>
                <w:color w:val="auto"/>
              </w:rPr>
              <w:t>Inventory consisted of the following (in thousands):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5"/>
        </w:trPr>
        <w:tc>
          <w:tcPr>
            <w:tcW w:w="9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4"/>
          </w:tcPr>
          <w:p>
            <w:pPr>
              <w:jc w:val="right"/>
              <w:ind w:right="47"/>
              <w:spacing w:after="0"/>
              <w:rPr>
                <w:sz w:val="20"/>
                <w:szCs w:val="20"/>
                <w:color w:val="auto"/>
              </w:rPr>
            </w:pPr>
            <w:r>
              <w:rPr>
                <w:rFonts w:ascii="Arial" w:cs="Arial" w:eastAsia="Arial" w:hAnsi="Arial"/>
                <w:sz w:val="14"/>
                <w:szCs w:val="14"/>
                <w:b w:val="1"/>
                <w:bCs w:val="1"/>
                <w:color w:val="auto"/>
                <w:w w:val="96"/>
              </w:rPr>
              <w:t>June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December 31,</w:t>
            </w:r>
          </w:p>
        </w:tc>
        <w:tc>
          <w:tcPr>
            <w:tcW w:w="920" w:type="dxa"/>
            <w:vAlign w:val="bottom"/>
          </w:tcPr>
          <w:p>
            <w:pPr>
              <w:spacing w:after="0"/>
              <w:rPr>
                <w:sz w:val="24"/>
                <w:szCs w:val="24"/>
                <w:color w:val="auto"/>
              </w:rPr>
            </w:pPr>
          </w:p>
        </w:tc>
      </w:tr>
      <w:tr>
        <w:trPr>
          <w:trHeight w:val="171"/>
        </w:trPr>
        <w:tc>
          <w:tcPr>
            <w:tcW w:w="940" w:type="dxa"/>
            <w:vAlign w:val="bottom"/>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4"/>
                <w:szCs w:val="14"/>
                <w:b w:val="1"/>
                <w:bCs w:val="1"/>
                <w:color w:val="auto"/>
                <w:w w:val="83"/>
              </w:rPr>
              <w:t>2018</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920" w:type="dxa"/>
            <w:vAlign w:val="bottom"/>
          </w:tcPr>
          <w:p>
            <w:pPr>
              <w:spacing w:after="0"/>
              <w:rPr>
                <w:sz w:val="14"/>
                <w:szCs w:val="14"/>
                <w:color w:val="auto"/>
              </w:rPr>
            </w:pPr>
          </w:p>
        </w:tc>
      </w:tr>
      <w:tr>
        <w:trPr>
          <w:trHeight w:val="210"/>
        </w:trPr>
        <w:tc>
          <w:tcPr>
            <w:tcW w:w="940" w:type="dxa"/>
            <w:vAlign w:val="bottom"/>
            <w:tcBorders>
              <w:right w:val="single" w:sz="8" w:color="CCEEFF"/>
            </w:tcBorders>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920" w:type="dxa"/>
            <w:vAlign w:val="bottom"/>
            <w:tcBorders>
              <w:left w:val="single" w:sz="8" w:color="CCEEFF"/>
            </w:tcBorders>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Work-in-process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3"/>
              </w:rPr>
              <w:t>3,766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4,517</w:t>
            </w:r>
          </w:p>
        </w:tc>
        <w:tc>
          <w:tcPr>
            <w:tcW w:w="920" w:type="dxa"/>
            <w:vAlign w:val="bottom"/>
          </w:tcPr>
          <w:p>
            <w:pPr>
              <w:spacing w:after="0"/>
              <w:rPr>
                <w:sz w:val="18"/>
                <w:szCs w:val="18"/>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5,763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920" w:type="dxa"/>
            <w:vAlign w:val="bottom"/>
            <w:tcBorders>
              <w:left w:val="single" w:sz="8" w:color="CCEEFF"/>
            </w:tcBorders>
          </w:tcPr>
          <w:p>
            <w:pPr>
              <w:spacing w:after="0"/>
              <w:rPr>
                <w:sz w:val="18"/>
                <w:szCs w:val="18"/>
                <w:color w:val="auto"/>
              </w:rPr>
            </w:pPr>
          </w:p>
        </w:tc>
      </w:tr>
      <w:tr>
        <w:trPr>
          <w:trHeight w:val="217"/>
        </w:trPr>
        <w:tc>
          <w:tcPr>
            <w:tcW w:w="94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9,621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w:t>
            </w:r>
          </w:p>
        </w:tc>
        <w:tc>
          <w:tcPr>
            <w:tcW w:w="920" w:type="dxa"/>
            <w:vAlign w:val="bottom"/>
          </w:tcPr>
          <w:p>
            <w:pPr>
              <w:spacing w:after="0"/>
              <w:rPr>
                <w:sz w:val="18"/>
                <w:szCs w:val="18"/>
                <w:color w:val="auto"/>
              </w:rPr>
            </w:pP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5240" w:type="dxa"/>
            <w:vAlign w:val="bottom"/>
            <w:gridSpan w:val="2"/>
          </w:tcPr>
          <w:p>
            <w:pPr>
              <w:ind w:left="320"/>
              <w:spacing w:after="0"/>
              <w:rPr>
                <w:sz w:val="20"/>
                <w:szCs w:val="20"/>
                <w:color w:val="auto"/>
              </w:rPr>
            </w:pPr>
            <w:r>
              <w:rPr>
                <w:rFonts w:ascii="Arial" w:cs="Arial" w:eastAsia="Arial" w:hAnsi="Arial"/>
                <w:sz w:val="18"/>
                <w:szCs w:val="18"/>
                <w:color w:val="auto"/>
              </w:rPr>
              <w:t>Accrued liabilities consisted of the following (in thousands):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5"/>
        </w:trPr>
        <w:tc>
          <w:tcPr>
            <w:tcW w:w="9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w w:val="83"/>
              </w:rPr>
              <w:t>December 31,</w:t>
            </w:r>
          </w:p>
        </w:tc>
        <w:tc>
          <w:tcPr>
            <w:tcW w:w="920" w:type="dxa"/>
            <w:vAlign w:val="bottom"/>
          </w:tcPr>
          <w:p>
            <w:pPr>
              <w:spacing w:after="0"/>
              <w:rPr>
                <w:sz w:val="24"/>
                <w:szCs w:val="24"/>
                <w:color w:val="auto"/>
              </w:rPr>
            </w:pPr>
          </w:p>
        </w:tc>
      </w:tr>
      <w:tr>
        <w:trPr>
          <w:trHeight w:val="171"/>
        </w:trPr>
        <w:tc>
          <w:tcPr>
            <w:tcW w:w="940" w:type="dxa"/>
            <w:vAlign w:val="bottom"/>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920" w:type="dxa"/>
            <w:vAlign w:val="bottom"/>
          </w:tcPr>
          <w:p>
            <w:pPr>
              <w:spacing w:after="0"/>
              <w:rPr>
                <w:sz w:val="14"/>
                <w:szCs w:val="14"/>
                <w:color w:val="auto"/>
              </w:rPr>
            </w:pPr>
          </w:p>
        </w:tc>
      </w:tr>
      <w:tr>
        <w:trPr>
          <w:trHeight w:val="210"/>
        </w:trPr>
        <w:tc>
          <w:tcPr>
            <w:tcW w:w="940" w:type="dxa"/>
            <w:vAlign w:val="bottom"/>
            <w:tcBorders>
              <w:right w:val="single" w:sz="8" w:color="CCEEFF"/>
            </w:tcBorders>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payroll-related expenses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920" w:type="dxa"/>
            <w:vAlign w:val="bottom"/>
            <w:tcBorders>
              <w:left w:val="single" w:sz="8" w:color="CCEEFF"/>
            </w:tcBorders>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Accrued joint development agreement expenses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3,446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749</w:t>
            </w:r>
          </w:p>
        </w:tc>
        <w:tc>
          <w:tcPr>
            <w:tcW w:w="920" w:type="dxa"/>
            <w:vAlign w:val="bottom"/>
          </w:tcPr>
          <w:p>
            <w:pPr>
              <w:spacing w:after="0"/>
              <w:rPr>
                <w:sz w:val="18"/>
                <w:szCs w:val="18"/>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920" w:type="dxa"/>
            <w:vAlign w:val="bottom"/>
            <w:tcBorders>
              <w:left w:val="single" w:sz="8" w:color="CCEEFF"/>
            </w:tcBorders>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rent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w:t>
            </w:r>
          </w:p>
        </w:tc>
        <w:tc>
          <w:tcPr>
            <w:tcW w:w="920" w:type="dxa"/>
            <w:vAlign w:val="bottom"/>
          </w:tcPr>
          <w:p>
            <w:pPr>
              <w:spacing w:after="0"/>
              <w:rPr>
                <w:sz w:val="18"/>
                <w:szCs w:val="18"/>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88"/>
              </w:rPr>
              <w:t>Accrued sales commissions payable to sales representatives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920" w:type="dxa"/>
            <w:vAlign w:val="bottom"/>
            <w:tcBorders>
              <w:left w:val="single" w:sz="8" w:color="CCEEFF"/>
            </w:tcBorders>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920" w:type="dxa"/>
            <w:vAlign w:val="bottom"/>
          </w:tcPr>
          <w:p>
            <w:pPr>
              <w:spacing w:after="0"/>
              <w:rPr>
                <w:sz w:val="18"/>
                <w:szCs w:val="18"/>
                <w:color w:val="auto"/>
              </w:rPr>
            </w:pPr>
          </w:p>
        </w:tc>
      </w:tr>
      <w:tr>
        <w:trPr>
          <w:trHeight w:val="230"/>
        </w:trPr>
        <w:tc>
          <w:tcPr>
            <w:tcW w:w="940" w:type="dxa"/>
            <w:vAlign w:val="bottom"/>
            <w:tcBorders>
              <w:right w:val="single" w:sz="8" w:color="CCEEFF"/>
            </w:tcBorders>
          </w:tcPr>
          <w:p>
            <w:pPr>
              <w:spacing w:after="0"/>
              <w:rPr>
                <w:sz w:val="19"/>
                <w:szCs w:val="19"/>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accrued liabilities</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920" w:type="dxa"/>
            <w:vAlign w:val="bottom"/>
            <w:tcBorders>
              <w:left w:val="single" w:sz="8" w:color="CCEEFF"/>
            </w:tcBorders>
          </w:tcPr>
          <w:p>
            <w:pPr>
              <w:spacing w:after="0"/>
              <w:rPr>
                <w:sz w:val="19"/>
                <w:szCs w:val="19"/>
                <w:color w:val="auto"/>
              </w:rPr>
            </w:pPr>
          </w:p>
        </w:tc>
      </w:tr>
      <w:tr>
        <w:trPr>
          <w:trHeight w:val="689"/>
        </w:trPr>
        <w:tc>
          <w:tcPr>
            <w:tcW w:w="5240" w:type="dxa"/>
            <w:vAlign w:val="bottom"/>
            <w:gridSpan w:val="2"/>
          </w:tcPr>
          <w:p>
            <w:pPr>
              <w:ind w:left="444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940" w:type="dxa"/>
            <w:vAlign w:val="bottom"/>
            <w:tcBorders>
              <w:bottom w:val="single" w:sz="8" w:color="auto"/>
            </w:tcBorders>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52"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During 2017, the Company entered into a lease for 27,974 square feet of office space for its corporate headquarters located in Chandler, Arizona. The lease expires in January 2022, however the Company has the option to renew the lease through August 2024. Rent expense is recognized on a straight-line basis over the term of the leases and, accordingly, the Company records the difference between cash rent payments and the recognition of rent expense as a deferred rent liability.</w:t>
      </w:r>
    </w:p>
    <w:p>
      <w:pPr>
        <w:spacing w:after="0" w:line="15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April 2018, the Company entered into a lease termination agreement that released the Company from any further obligations on its previous headquarters’ space in Chandler, Arizona. The remaining unamortized balance of deferred rent of $18,000 was written off and a lease termination fee of $43,000 was recognized as rent expense on the unaudited condensed statement of operations and comprehensive loss.</w:t>
      </w:r>
    </w:p>
    <w:p>
      <w:pPr>
        <w:spacing w:after="0" w:line="18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Company leases office and fabrication space for its design facility located in Austin, Texas. The lease expires in January 2022.</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Company has another operating lease for its Arizona manufacturing facility, which includes office and fabrication space. This lease is cancellable upon 24 months’ notice by either of the parties. The lease expires in January 2020, however it can be further extended through January 2021 if an option to extend is initiated by the lessor.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 May 4, 2017, the Company entered into a Loan and Security Agreement with Silicon Valley Bank (2017 Credit Facility) for a $12.0 million term loan. The term loan provides for interest at a floating rate equal to the prime rate minus 0.75%. As of June 30, 2018, the interest rate was 4.25%. The term loan provides for a period of interest-only payments through April 30, 2018, followed by fixed principal and interest payments based on either a 24-month amortization schedule or a 36-month amortization schedule if the Company meets certain sales milestones. As of December 31, 2017, the Company determined it would not meet the sales milestones and as such the term loan is based on a 24-month amortization schedule. Borrowings under the 2017 Credit Facility mature in May 2020. The Company is required to comply with certain covenants under the 2017 Credit Facility, including requirements to maintain a minimum liquidity ratio, meet certain revenue targets, and restrictions on certain actions without the consent of the lender, such as the disposal and acquisition of its business or property, changes in business, and mergers or acquisitions. An end of term fee of 6% of the amount borrowed must be made when the loan is prepaid or repaid, whether at maturity or as a result of a prepayment or acceleration or otherwise. The additional payment is being accreted using the effective interest method.</w:t>
      </w:r>
    </w:p>
    <w:p>
      <w:pPr>
        <w:spacing w:after="0" w:line="16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Security for the 2017 Credit Facility includes all of the Company’s assets except for intellectual property. The 2017 Credit Facility contains customary covenants restricting the Company’s activities, including limitations on its ability to sell assets, engage in mergers and acquisitions, enter into transactions involving related parties, incur indebtedness or grant liens or negative pledges on its assets, make loans or make other investments. Under these covenants, the Company is prohibited from paying cash dividends with respect to its capital stock. The Company was in compliance with all covenants at June 30, 2018. The 2017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term loan. As of June 30, 2018, management does not believe that it is probable that the clause will be triggered within the next twelve months, and therefore the term loan is classified as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the Company’s 2017 Credit Facility at June 30, 2018 was as follows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4"/>
                <w:szCs w:val="14"/>
                <w:b w:val="1"/>
                <w:bCs w:val="1"/>
                <w:color w:val="auto"/>
                <w:w w:val="94"/>
              </w:rPr>
              <w:t>Current</w:t>
            </w: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Long-Term</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Portion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Debt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including end of term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11,720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Discount attributable to end of term fee and debt issuance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costs</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7"/>
        </w:trPr>
        <w:tc>
          <w:tcPr>
            <w:tcW w:w="4780" w:type="dxa"/>
            <w:vAlign w:val="bottom"/>
          </w:tcPr>
          <w:p>
            <w:pPr>
              <w:ind w:left="100"/>
              <w:spacing w:after="0"/>
              <w:rPr>
                <w:sz w:val="20"/>
                <w:szCs w:val="20"/>
                <w:color w:val="auto"/>
              </w:rPr>
            </w:pPr>
            <w:r>
              <w:rPr>
                <w:rFonts w:ascii="Arial" w:cs="Arial" w:eastAsia="Arial" w:hAnsi="Arial"/>
                <w:sz w:val="18"/>
                <w:szCs w:val="18"/>
                <w:color w:val="auto"/>
              </w:rPr>
              <w:t>Net carrying value of debt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11,334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carrying value of the Company’s 2017 Credit Facility at December 31, 2017 was as follows (in thousands):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4"/>
                <w:szCs w:val="14"/>
                <w:b w:val="1"/>
                <w:bCs w:val="1"/>
                <w:color w:val="auto"/>
                <w:w w:val="94"/>
              </w:rPr>
              <w:t>Current</w:t>
            </w: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Long-Term</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Portion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Debt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including end of term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12,720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Discount attributable to end of term fee and debt issuance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costs</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7"/>
        </w:trPr>
        <w:tc>
          <w:tcPr>
            <w:tcW w:w="4780" w:type="dxa"/>
            <w:vAlign w:val="bottom"/>
          </w:tcPr>
          <w:p>
            <w:pPr>
              <w:ind w:left="100"/>
              <w:spacing w:after="0"/>
              <w:rPr>
                <w:sz w:val="20"/>
                <w:szCs w:val="20"/>
                <w:color w:val="auto"/>
              </w:rPr>
            </w:pPr>
            <w:r>
              <w:rPr>
                <w:rFonts w:ascii="Arial" w:cs="Arial" w:eastAsia="Arial" w:hAnsi="Arial"/>
                <w:sz w:val="18"/>
                <w:szCs w:val="18"/>
                <w:color w:val="auto"/>
              </w:rPr>
              <w:t>Net carrying value of debt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12,134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 Obligations</w:t>
      </w:r>
    </w:p>
    <w:p>
      <w:pPr>
        <w:spacing w:after="0" w:line="225" w:lineRule="exact"/>
        <w:rPr>
          <w:sz w:val="20"/>
          <w:szCs w:val="20"/>
          <w:color w:val="auto"/>
        </w:rPr>
      </w:pPr>
    </w:p>
    <w:p>
      <w:pPr>
        <w:ind w:right="299" w:firstLine="324"/>
        <w:spacing w:after="0" w:line="308" w:lineRule="auto"/>
        <w:rPr>
          <w:sz w:val="20"/>
          <w:szCs w:val="20"/>
          <w:color w:val="auto"/>
        </w:rPr>
      </w:pPr>
      <w:r>
        <w:rPr>
          <w:rFonts w:ascii="Arial" w:cs="Arial" w:eastAsia="Arial" w:hAnsi="Arial"/>
          <w:sz w:val="17"/>
          <w:szCs w:val="17"/>
          <w:color w:val="auto"/>
        </w:rPr>
        <w:t>The Company leases certain equipment under a capital lease obligation expiring in October 2020. The balance of the capital lease obligation was $25,000 and $31,000 at June 30, 2018 and December 31, 2017, respectively.</w:t>
      </w:r>
    </w:p>
    <w:p>
      <w:pPr>
        <w:spacing w:after="0" w:line="147" w:lineRule="exact"/>
        <w:rPr>
          <w:sz w:val="20"/>
          <w:szCs w:val="20"/>
          <w:color w:val="auto"/>
        </w:rPr>
      </w:pPr>
    </w:p>
    <w:p>
      <w:pPr>
        <w:ind w:right="39" w:firstLine="324"/>
        <w:spacing w:after="0" w:line="264" w:lineRule="auto"/>
        <w:rPr>
          <w:sz w:val="20"/>
          <w:szCs w:val="20"/>
          <w:color w:val="auto"/>
        </w:rPr>
      </w:pPr>
      <w:r>
        <w:rPr>
          <w:rFonts w:ascii="Arial" w:cs="Arial" w:eastAsia="Arial" w:hAnsi="Arial"/>
          <w:sz w:val="18"/>
          <w:szCs w:val="18"/>
          <w:color w:val="auto"/>
        </w:rPr>
        <w:t>Property and equipment under the capital lease amounted to $31,000 at June 30, 2018 and December 31, 2017. Accumulated depreciation and amortization on these assets was $7,000 and $2,000 at June 30, 2018 and December 31, 2017,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b w:val="1"/>
          <w:bCs w:val="1"/>
          <w:color w:val="auto"/>
        </w:rPr>
        <w:t>. Stockholders’ Equity</w:t>
      </w:r>
    </w:p>
    <w:p>
      <w:pPr>
        <w:spacing w:after="0" w:line="229" w:lineRule="exact"/>
        <w:rPr>
          <w:sz w:val="20"/>
          <w:szCs w:val="20"/>
          <w:color w:val="auto"/>
        </w:rPr>
      </w:pPr>
    </w:p>
    <w:p>
      <w:pPr>
        <w:ind w:right="219" w:firstLine="324"/>
        <w:spacing w:after="0" w:line="259" w:lineRule="auto"/>
        <w:rPr>
          <w:sz w:val="20"/>
          <w:szCs w:val="20"/>
          <w:color w:val="auto"/>
        </w:rPr>
      </w:pPr>
      <w:r>
        <w:rPr>
          <w:rFonts w:ascii="Arial" w:cs="Arial" w:eastAsia="Arial" w:hAnsi="Arial"/>
          <w:sz w:val="18"/>
          <w:szCs w:val="18"/>
          <w:color w:val="auto"/>
        </w:rPr>
        <w:t>In February 2018, the Company completed a follow-on underwritten public offering of its common stock under its Registration Statement filed in November 2017 (File No. 333-221331), selling 3,772,447 shares of its common stock at an offering price of $7.00 per share for proceeds of $24.6 million, net of $1.8 million of underwriting discounts and commissions and other offering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stock option activity for the six months ended June 30,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w w:val="97"/>
              </w:rPr>
              <w:t>Options Outstanding</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000" w:type="dxa"/>
            <w:vAlign w:val="bottom"/>
            <w:gridSpan w:val="2"/>
            <w:vMerge w:val="continue"/>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Price Per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Grant</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1,593,195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Prior period adjustment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(1,026)</w:t>
            </w:r>
          </w:p>
        </w:tc>
        <w:tc>
          <w:tcPr>
            <w:tcW w:w="840" w:type="dxa"/>
            <w:vAlign w:val="bottom"/>
          </w:tcPr>
          <w:p>
            <w:pPr>
              <w:jc w:val="right"/>
              <w:spacing w:after="0"/>
              <w:rPr>
                <w:sz w:val="20"/>
                <w:szCs w:val="20"/>
                <w:color w:val="auto"/>
              </w:rPr>
            </w:pPr>
            <w:r>
              <w:rPr>
                <w:rFonts w:ascii="Arial" w:cs="Arial" w:eastAsia="Arial" w:hAnsi="Arial"/>
                <w:sz w:val="18"/>
                <w:szCs w:val="18"/>
                <w:color w:val="auto"/>
              </w:rPr>
              <w:t>13,784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authorized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1,084,516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RSUs granted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(60,450)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cancelled/forfeited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(310,715)</w:t>
            </w:r>
          </w:p>
        </w:tc>
        <w:tc>
          <w:tcPr>
            <w:tcW w:w="840" w:type="dxa"/>
            <w:vAlign w:val="bottom"/>
          </w:tcPr>
          <w:p>
            <w:pPr>
              <w:jc w:val="right"/>
              <w:spacing w:after="0"/>
              <w:rPr>
                <w:sz w:val="20"/>
                <w:szCs w:val="20"/>
                <w:color w:val="auto"/>
              </w:rPr>
            </w:pPr>
            <w:r>
              <w:rPr>
                <w:rFonts w:ascii="Arial" w:cs="Arial" w:eastAsia="Arial" w:hAnsi="Arial"/>
                <w:sz w:val="18"/>
                <w:szCs w:val="18"/>
                <w:color w:val="auto"/>
              </w:rPr>
              <w:t>310,715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8.79</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Options cancelled/forfeited</w:t>
            </w:r>
          </w:p>
        </w:tc>
        <w:tc>
          <w:tcPr>
            <w:tcW w:w="840" w:type="dxa"/>
            <w:vAlign w:val="bottom"/>
          </w:tcPr>
          <w:p>
            <w:pPr>
              <w:jc w:val="right"/>
              <w:spacing w:after="0"/>
              <w:rPr>
                <w:sz w:val="20"/>
                <w:szCs w:val="20"/>
                <w:color w:val="auto"/>
              </w:rPr>
            </w:pPr>
            <w:r>
              <w:rPr>
                <w:rFonts w:ascii="Arial" w:cs="Arial" w:eastAsia="Arial" w:hAnsi="Arial"/>
                <w:sz w:val="18"/>
                <w:szCs w:val="18"/>
                <w:color w:val="auto"/>
              </w:rPr>
              <w:t>28,834</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(30,707)</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Balance—June 30, 2018</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826,988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1,696,187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7.2</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10"/>
        </w:trPr>
        <w:tc>
          <w:tcPr>
            <w:tcW w:w="4400" w:type="dxa"/>
            <w:vAlign w:val="bottom"/>
          </w:tcPr>
          <w:p>
            <w:pPr>
              <w:spacing w:after="0" w:line="203" w:lineRule="exact"/>
              <w:rPr>
                <w:sz w:val="20"/>
                <w:szCs w:val="20"/>
                <w:color w:val="auto"/>
              </w:rPr>
            </w:pPr>
            <w:r>
              <w:rPr>
                <w:rFonts w:ascii="Arial" w:cs="Arial" w:eastAsia="Arial" w:hAnsi="Arial"/>
                <w:sz w:val="18"/>
                <w:szCs w:val="18"/>
                <w:color w:val="auto"/>
              </w:rPr>
              <w:t>Options exercisable—June 30, 2018</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746,702</w:t>
            </w:r>
          </w:p>
        </w:tc>
        <w:tc>
          <w:tcPr>
            <w:tcW w:w="160" w:type="dxa"/>
            <w:vAlign w:val="bottom"/>
          </w:tcPr>
          <w:p>
            <w:pPr>
              <w:spacing w:after="0"/>
              <w:rPr>
                <w:sz w:val="18"/>
                <w:szCs w:val="18"/>
                <w:color w:val="auto"/>
              </w:rPr>
            </w:pPr>
          </w:p>
        </w:tc>
        <w:tc>
          <w:tcPr>
            <w:tcW w:w="100" w:type="dxa"/>
            <w:vAlign w:val="bottom"/>
          </w:tcPr>
          <w:p>
            <w:pPr>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5.85</w:t>
            </w:r>
          </w:p>
        </w:tc>
        <w:tc>
          <w:tcPr>
            <w:tcW w:w="140" w:type="dxa"/>
            <w:vAlign w:val="bottom"/>
          </w:tcPr>
          <w:p>
            <w:pPr>
              <w:spacing w:after="0"/>
              <w:rPr>
                <w:sz w:val="18"/>
                <w:szCs w:val="18"/>
                <w:color w:val="auto"/>
              </w:rPr>
            </w:pPr>
          </w:p>
        </w:tc>
        <w:tc>
          <w:tcPr>
            <w:tcW w:w="800" w:type="dxa"/>
            <w:vAlign w:val="bottom"/>
          </w:tcPr>
          <w:p>
            <w:pPr>
              <w:jc w:val="right"/>
              <w:ind w:right="2"/>
              <w:spacing w:after="0" w:line="203" w:lineRule="exact"/>
              <w:rPr>
                <w:sz w:val="20"/>
                <w:szCs w:val="20"/>
                <w:color w:val="auto"/>
              </w:rPr>
            </w:pPr>
            <w:r>
              <w:rPr>
                <w:rFonts w:ascii="Arial" w:cs="Arial" w:eastAsia="Arial" w:hAnsi="Arial"/>
                <w:sz w:val="18"/>
                <w:szCs w:val="18"/>
                <w:color w:val="auto"/>
              </w:rPr>
              <w:t>4.8</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total grant date fair value of options vested was $545,000 and $797,000 during the three months ended June 30, 2018 and 2017, respectively, and $922,000 and $904,000 during the six months ended June 30, 2018 and 2017, respectively.</w:t>
      </w:r>
    </w:p>
    <w:p>
      <w:pPr>
        <w:spacing w:after="0" w:line="124"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weighted-average grant date fair value of employee options granted during the three months ended June 30, 2018 and 2017 was $4.14 and $5.25 per share, respectively, and during the six months ended June 30, 2018 and 2017 was $4.56 and $4.67 per share,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In January 2018, there was an increase of 128,172 shares reserved for issuance under the Company’s Employee Stock Purchase Plan (ESPP). The Company had 291,659 shares available for future issuance under the Company’s ESPP as of June 30, 2018. Employees purchased 20,057 shares for $137,000 during the three and six months ended June 30, 2018. Employees purchased 17,924 shares for $122,000 during the three and six months ended June 30,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Stock Awards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February 2018, the Company modified the terms of 400,000 vested and unvested stock option awards granted to the Chief Executive Officer, by reducing their exercise price from $16.25 per share to $7.64 per share. There was no change to any of the other terms of the option awards. The modification resulted in an incremental value of $600,000 being allocated to the options, of which $63,000 was recognized to expense immediately based on options that were vested at the time of the modification. The remaining incremental value of $537,000 attributable to unvested options will be recognized over the remaining vesting term through September 2021.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Restricted Stock Units (RSUs) activity for the six months ended June 30, 2018:</w:t>
      </w:r>
    </w:p>
    <w:p>
      <w:pPr>
        <w:spacing w:after="0" w:line="242"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1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Units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2017</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60,450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Cancelled/forfeited</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7"/>
        </w:trPr>
        <w:tc>
          <w:tcPr>
            <w:tcW w:w="5500" w:type="dxa"/>
            <w:vAlign w:val="bottom"/>
          </w:tcPr>
          <w:p>
            <w:pPr>
              <w:spacing w:after="0"/>
              <w:rPr>
                <w:sz w:val="20"/>
                <w:szCs w:val="20"/>
                <w:color w:val="auto"/>
              </w:rPr>
            </w:pPr>
            <w:r>
              <w:rPr>
                <w:rFonts w:ascii="Arial" w:cs="Arial" w:eastAsia="Arial" w:hAnsi="Arial"/>
                <w:sz w:val="18"/>
                <w:szCs w:val="18"/>
                <w:color w:val="auto"/>
              </w:rPr>
              <w:t>Balance—June 30, 2018</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89,230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June 30, 2018, there was $625,000 of unrecognized stock-based compensation expense related to RSUs to be recognized over a weighted-average period of 2.9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The Company recognized stock-based compensation expense from awards granted to employees and non-employees under its equity incentive plans and from its ESPP as follows, excluding amounts related to GLOBALFOUNDRIES, Inc. (GF) (in thousands):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40" w:type="dxa"/>
            <w:vAlign w:val="bottom"/>
            <w:gridSpan w:val="7"/>
          </w:tcPr>
          <w:p>
            <w:pPr>
              <w:ind w:left="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2017</w:t>
            </w:r>
          </w:p>
        </w:tc>
        <w:tc>
          <w:tcPr>
            <w:tcW w:w="140" w:type="dxa"/>
            <w:vAlign w:val="bottom"/>
            <w:tcBorders>
              <w:bottom w:val="single" w:sz="8" w:color="CCEEFF"/>
            </w:tcBorders>
          </w:tcPr>
          <w:p>
            <w:pPr>
              <w:spacing w:after="0"/>
              <w:rPr>
                <w:sz w:val="12"/>
                <w:szCs w:val="12"/>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r>
      <w:tr>
        <w:trPr>
          <w:trHeight w:val="217"/>
        </w:trPr>
        <w:tc>
          <w:tcPr>
            <w:tcW w:w="4260" w:type="dxa"/>
            <w:vAlign w:val="bottom"/>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1,342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of June 30, 2018, there was $5.9 million of total unrecognized compensation expense related to unvested options which is expected to be recognized over a weighted-average period of 2.9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Stock-based compensation expense for employees was $688,000 and $319,000 for the three months ended June 30, 2018 and 2017, respectively, and $1.3 million and $740,000 for the six months ended June 30, 2018 and 2017, respectively.</w:t>
      </w:r>
    </w:p>
    <w:p>
      <w:pPr>
        <w:spacing w:after="0" w:line="124"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Company estimated the fair value of each option using the Black-Scholes option-pricing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20" w:type="dxa"/>
            <w:vAlign w:val="bottom"/>
            <w:gridSpan w:val="4"/>
          </w:tcPr>
          <w:p>
            <w:pPr>
              <w:jc w:val="center"/>
              <w:ind w:right="150"/>
              <w:spacing w:after="0"/>
              <w:rPr>
                <w:sz w:val="20"/>
                <w:szCs w:val="20"/>
                <w:color w:val="auto"/>
              </w:rPr>
            </w:pPr>
            <w:r>
              <w:rPr>
                <w:rFonts w:ascii="Arial" w:cs="Arial" w:eastAsia="Arial" w:hAnsi="Arial"/>
                <w:sz w:val="14"/>
                <w:szCs w:val="14"/>
                <w:b w:val="1"/>
                <w:bCs w:val="1"/>
                <w:color w:val="auto"/>
                <w:w w:val="94"/>
              </w:rPr>
              <w:t>Option Plan</w:t>
            </w:r>
          </w:p>
        </w:tc>
        <w:tc>
          <w:tcPr>
            <w:tcW w:w="1200" w:type="dxa"/>
            <w:vAlign w:val="bottom"/>
            <w:gridSpan w:val="4"/>
          </w:tcPr>
          <w:p>
            <w:pPr>
              <w:jc w:val="center"/>
              <w:ind w:left="499"/>
              <w:spacing w:after="0"/>
              <w:rPr>
                <w:sz w:val="20"/>
                <w:szCs w:val="20"/>
                <w:color w:val="auto"/>
              </w:rPr>
            </w:pPr>
            <w:r>
              <w:rPr>
                <w:rFonts w:ascii="Arial" w:cs="Arial" w:eastAsia="Arial" w:hAnsi="Arial"/>
                <w:sz w:val="14"/>
                <w:szCs w:val="14"/>
                <w:b w:val="1"/>
                <w:bCs w:val="1"/>
                <w:color w:val="auto"/>
                <w:w w:val="90"/>
              </w:rPr>
              <w:t>ESPP</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7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20" w:type="dxa"/>
            <w:vAlign w:val="bottom"/>
            <w:gridSpan w:val="4"/>
          </w:tcPr>
          <w:p>
            <w:pPr>
              <w:jc w:val="center"/>
              <w:ind w:right="15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17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1"/>
        </w:trPr>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2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89"/>
              </w:rPr>
              <w:t>June 30,</w:t>
            </w:r>
          </w:p>
        </w:tc>
        <w:tc>
          <w:tcPr>
            <w:tcW w:w="120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2"/>
        </w:trPr>
        <w:tc>
          <w:tcPr>
            <w:tcW w:w="760" w:type="dxa"/>
            <w:vAlign w:val="bottom"/>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60" w:type="dxa"/>
            <w:vAlign w:val="bottom"/>
          </w:tcPr>
          <w:p>
            <w:pPr>
              <w:spacing w:after="0"/>
              <w:rPr>
                <w:sz w:val="12"/>
                <w:szCs w:val="12"/>
                <w:color w:val="auto"/>
              </w:rPr>
            </w:pPr>
          </w:p>
        </w:tc>
      </w:tr>
      <w:tr>
        <w:trPr>
          <w:trHeight w:val="210"/>
        </w:trPr>
        <w:tc>
          <w:tcPr>
            <w:tcW w:w="7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51.9-53.1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47.2-59.3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59.5- 87.8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2.6-2.9 %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2.0-2.1 %</w:t>
            </w:r>
          </w:p>
        </w:tc>
        <w:tc>
          <w:tcPr>
            <w:tcW w:w="800" w:type="dxa"/>
            <w:vAlign w:val="bottom"/>
          </w:tcPr>
          <w:p>
            <w:pPr>
              <w:jc w:val="right"/>
              <w:spacing w:after="0"/>
              <w:rPr>
                <w:sz w:val="20"/>
                <w:szCs w:val="20"/>
                <w:color w:val="auto"/>
              </w:rPr>
            </w:pPr>
            <w:r>
              <w:rPr>
                <w:rFonts w:ascii="Arial" w:cs="Arial" w:eastAsia="Arial" w:hAnsi="Arial"/>
                <w:sz w:val="18"/>
                <w:szCs w:val="18"/>
                <w:color w:val="auto"/>
              </w:rPr>
              <w:t>0.9-2.1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Dividend yield</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spacing w:after="0"/>
              <w:rPr>
                <w:sz w:val="20"/>
                <w:szCs w:val="20"/>
                <w:color w:val="auto"/>
              </w:rPr>
            </w:pPr>
          </w:p>
        </w:tc>
      </w:tr>
      <w:tr>
        <w:trPr>
          <w:trHeight w:val="850"/>
        </w:trPr>
        <w:tc>
          <w:tcPr>
            <w:tcW w:w="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60" w:type="dxa"/>
            <w:vAlign w:val="bottom"/>
          </w:tcPr>
          <w:p>
            <w:pPr>
              <w:jc w:val="right"/>
              <w:ind w:right="358"/>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29"/>
        </w:trPr>
        <w:tc>
          <w:tcPr>
            <w:tcW w:w="76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Stock-based Compensation</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Stock-based compensation expense related to stock options granted to non-employees is recognized as the stock options vest. No stock options were granted to non-employees during the three months June 30, 2018. During the six months ended June 30, 2018, the Company granted stock options to non-employees to purchase 7,200 shares of common stock. No stock options were granted to non-employees during the three and six months June 30, 2017. As of June 30, 2018, options to purchase 45,072 shares of common stock were outstanding with a weighted-average exercise price of $9.15 per share. Stock-based compensation expense for non-employees was $29,000 and $89,000 for the three months ended June 30, 2018 and 2017, respectively, and $44,000 and $99,000 for the six months ended June 30, 2018 and 2017, respectively.</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Joint Development Agreement</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On October 17, 2014, the Company entered into a Joint Development Agreement (JDA) with GLOBALFOUNDRIES (GF), for the joint development of the Company’s Spin Transfer Torque MRAM (STT-MRAM) technology. The term of the agreement is the later of four years from the effective date or until the completion, termination or expiration of the last statement of work entered into pursuant to the JDA. The JDA also states that the specific terms and conditions for the production and supply of the developed STT-MRAM technology would be pursuant to a separate manufacturing agreement entered into between the parties.</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Under the JDA,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8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equally under the JDA. If GF manufactures, sells or transfers to customers wafers containing production quantified STT-MRAM devices that utilize certain design information, GF will be required to pay the Company a royalty. The term of the agreement is four years and is extended until the completion of any development work, if later.</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incurred project costs, recognized as research and development expense, of $2.3 million and $1.4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2018 and 2017 respectively, and $4.4 million and $3.2 million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2018 and 2017 respectively. The Company entered into Statement of Work 4B (SOW 4B) and an Amendment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SOW 4B, under the JDA with GF effective August 2016 and June 2018, respectively. The Company was eligible to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payments from SOW 4B and its Amendment for an aggregate of $1.6 million and $1.0 million, respectively.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 was accounted for as a separate contract rather than a modification of SOW 4B, as the Company had completed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its performance obligations under SOW 4B as of December 31, 2017. The Company recognized revenue from GF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 and $650,000 in the three months ended June 30, 2018 and 2017, respectively, and $500,000 and $1.2 million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2018 and 2017, respectively.</w:t>
      </w:r>
    </w:p>
    <w:p>
      <w:pPr>
        <w:spacing w:after="0" w:line="21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October 21, 2014, GF participated, along with other investors, in the Company’s Series B redeemable convertible preferred stock financing and purchased 192,307 shares at $26.00 per share. Contemporaneously, the Company sold 461,538 shares of its common stock to GF at a discounted price of $0.00026 per share. The common shares vest upon the achievement of a goal as set forth in the Statement of Work #1 (the SOW) under the JDA. The unvested common shares are subject to repurchase by the Company, if the JDA is terminated for any reason, for a one-year period after such termination, at a price that is the lower of the original price paid by GF or the fair value of the Company’s common stock as of the date of repurchase. The Company has determined that the issuance of these shares of common stock to GF represents compensation for services to be provided under the JDA. Accordingly, the shares are accounted for similar to a stock award granted to a non-employee of the Company and are remeasured to their fair value as they vest. A total of 211,538 shares of common stock became vested on August 21, 2016, the designated Initial Measurement Date. The remaining shares vest on a monthly basis thereafter. Subsequent to the Initial Measurement Date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through June 30, 2018, an additional 211,538 shares of common stock became vested. As of June 30, 2018, there were 38,462 shares unvested that were subject to repurchase.</w:t>
      </w:r>
    </w:p>
    <w:p>
      <w:pPr>
        <w:spacing w:after="0" w:line="17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Company recognized non-cash compensation expense of $225,000 and $461,000 during the three months ended June 30, 2018 and 2017, respectively, and $462,000 and $716,000 during the six months ended June 30, 2018 and 2017, respectively, in research and development expense related to the vesting of the shares of common stock. The Company recognizes compensation expense based on the estimated fair value of the common stock at each reporting period, which was $8.92 and $7.50 per share as of June 30, 2018 and December 31, 2017, respectively.</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Common Share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amounts):</w:t>
      </w:r>
    </w:p>
    <w:p>
      <w:pPr>
        <w:sectPr>
          <w:pgSz w:w="11900" w:h="16838" w:orient="portrait"/>
          <w:cols w:equalWidth="0" w:num="1">
            <w:col w:w="9100"/>
          </w:cols>
          <w:pgMar w:left="1420" w:top="125"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3" w:lineRule="exact"/>
        <w:rPr>
          <w:sz w:val="20"/>
          <w:szCs w:val="20"/>
          <w:color w:val="auto"/>
        </w:rPr>
      </w:pPr>
    </w:p>
    <w:p>
      <w:pPr>
        <w:ind w:left="120" w:right="380"/>
        <w:spacing w:after="0" w:line="265" w:lineRule="auto"/>
        <w:rPr>
          <w:sz w:val="20"/>
          <w:szCs w:val="20"/>
          <w:color w:val="auto"/>
        </w:rPr>
      </w:pPr>
      <w:r>
        <w:rPr>
          <w:rFonts w:ascii="Arial" w:cs="Arial" w:eastAsia="Arial" w:hAnsi="Arial"/>
          <w:sz w:val="17"/>
          <w:szCs w:val="17"/>
          <w:color w:val="auto"/>
        </w:rPr>
        <w:t>Weighted-average common shares outstanding Less: weighted-average unvested common shares subjected to repurchase</w:t>
      </w:r>
    </w:p>
    <w:p>
      <w:pPr>
        <w:spacing w:after="0" w:line="1" w:lineRule="exact"/>
        <w:rPr>
          <w:sz w:val="20"/>
          <w:szCs w:val="20"/>
          <w:color w:val="auto"/>
        </w:rPr>
      </w:pPr>
    </w:p>
    <w:p>
      <w:pPr>
        <w:ind w:left="120"/>
        <w:spacing w:after="0" w:line="306" w:lineRule="auto"/>
        <w:rPr>
          <w:sz w:val="20"/>
          <w:szCs w:val="20"/>
          <w:color w:val="auto"/>
        </w:rPr>
      </w:pPr>
      <w:r>
        <w:rPr>
          <w:rFonts w:ascii="Arial" w:cs="Arial" w:eastAsia="Arial" w:hAnsi="Arial"/>
          <w:sz w:val="15"/>
          <w:szCs w:val="15"/>
          <w:color w:val="auto"/>
        </w:rPr>
        <w:t>Weighted-average common shares outstanding used to calculate net loss per common share, basic and diluted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 basic and diluted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1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r>
      <w:tr>
        <w:trPr>
          <w:trHeight w:val="433"/>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(6,599)</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(5,187)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(7,876)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(11,273)</w:t>
            </w:r>
          </w:p>
        </w:tc>
      </w:tr>
      <w:tr>
        <w:trPr>
          <w:trHeight w:val="432"/>
        </w:trPr>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16,689,677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12,583,325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15,786,043</w:t>
            </w: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12,541,245</w:t>
            </w:r>
          </w:p>
        </w:tc>
        <w:tc>
          <w:tcPr>
            <w:tcW w:w="20" w:type="dxa"/>
            <w:vAlign w:val="bottom"/>
          </w:tcPr>
          <w:p>
            <w:pPr>
              <w:spacing w:after="0"/>
              <w:rPr>
                <w:sz w:val="24"/>
                <w:szCs w:val="24"/>
                <w:color w:val="auto"/>
              </w:rPr>
            </w:pPr>
          </w:p>
        </w:tc>
      </w:tr>
      <w:tr>
        <w:trPr>
          <w:trHeight w:val="432"/>
        </w:trPr>
        <w:tc>
          <w:tcPr>
            <w:tcW w:w="1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(54,416)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(169,801)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(68,795)</w:t>
            </w: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(184,179)</w:t>
            </w:r>
          </w:p>
        </w:tc>
      </w:tr>
      <w:tr>
        <w:trPr>
          <w:trHeight w:val="406"/>
        </w:trPr>
        <w:tc>
          <w:tcPr>
            <w:tcW w:w="1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16,635,261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12,413,524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15,717,248</w:t>
            </w:r>
          </w:p>
        </w:tc>
        <w:tc>
          <w:tcPr>
            <w:tcW w:w="14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12,357,066</w:t>
            </w:r>
          </w:p>
        </w:tc>
        <w:tc>
          <w:tcPr>
            <w:tcW w:w="20" w:type="dxa"/>
            <w:vAlign w:val="bottom"/>
          </w:tcPr>
          <w:p>
            <w:pPr>
              <w:spacing w:after="0"/>
              <w:rPr>
                <w:sz w:val="24"/>
                <w:szCs w:val="24"/>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-1285875</wp:posOffset>
            </wp:positionV>
            <wp:extent cx="575437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-994410</wp:posOffset>
            </wp:positionV>
            <wp:extent cx="575437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-711200</wp:posOffset>
            </wp:positionV>
            <wp:extent cx="575437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-162560</wp:posOffset>
            </wp:positionV>
            <wp:extent cx="575437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40" w:space="240"/>
            <w:col w:w="4820"/>
          </w:cols>
          <w:pgMar w:left="1420" w:top="125" w:right="1379" w:bottom="1440" w:gutter="0" w:footer="0" w:header="0"/>
          <w:type w:val="continuous"/>
        </w:sectPr>
      </w:pPr>
    </w:p>
    <w:p>
      <w:pPr>
        <w:spacing w:after="0" w:line="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b w:val="1"/>
                <w:bCs w:val="1"/>
                <w:color w:val="auto"/>
              </w:rPr>
              <w:t>June 30,</w:t>
            </w:r>
          </w:p>
        </w:tc>
        <w:tc>
          <w:tcPr>
            <w:tcW w:w="60" w:type="dxa"/>
            <w:vAlign w:val="bottom"/>
            <w:gridSpan w:val="2"/>
          </w:tcPr>
          <w:p>
            <w:pPr>
              <w:spacing w:after="0"/>
              <w:rPr>
                <w:sz w:val="14"/>
                <w:szCs w:val="14"/>
                <w:color w:val="auto"/>
              </w:rPr>
            </w:pPr>
          </w:p>
        </w:tc>
      </w:tr>
      <w:tr>
        <w:trPr>
          <w:trHeight w:val="196"/>
        </w:trPr>
        <w:tc>
          <w:tcPr>
            <w:tcW w:w="3560" w:type="dxa"/>
            <w:vAlign w:val="bottom"/>
          </w:tcPr>
          <w:p>
            <w:pPr>
              <w:spacing w:after="0"/>
              <w:rPr>
                <w:sz w:val="17"/>
                <w:szCs w:val="17"/>
                <w:color w:val="auto"/>
              </w:rPr>
            </w:pPr>
          </w:p>
        </w:tc>
        <w:tc>
          <w:tcPr>
            <w:tcW w:w="248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7"/>
                <w:szCs w:val="17"/>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7"/>
                <w:szCs w:val="17"/>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7"/>
                <w:szCs w:val="17"/>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1,696,187</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1,268,665</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1,696,187</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1,268,665</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89,230</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89,230</w:t>
            </w:r>
          </w:p>
        </w:tc>
        <w:tc>
          <w:tcPr>
            <w:tcW w:w="14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38,462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Common stock warrants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27,690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27,690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27,690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27,690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5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1,851,569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1,450,201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1,851,569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1,450,201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878"/>
        </w:trPr>
        <w:tc>
          <w:tcPr>
            <w:tcW w:w="3560" w:type="dxa"/>
            <w:vAlign w:val="bottom"/>
          </w:tcPr>
          <w:p>
            <w:pPr>
              <w:spacing w:after="0"/>
              <w:rPr>
                <w:sz w:val="24"/>
                <w:szCs w:val="24"/>
                <w:color w:val="auto"/>
              </w:rPr>
            </w:pPr>
          </w:p>
        </w:tc>
        <w:tc>
          <w:tcPr>
            <w:tcW w:w="1620" w:type="dxa"/>
            <w:vAlign w:val="bottom"/>
          </w:tcPr>
          <w:p>
            <w:pPr>
              <w:jc w:val="right"/>
              <w:ind w:right="474"/>
              <w:spacing w:after="0"/>
              <w:rPr>
                <w:sz w:val="20"/>
                <w:szCs w:val="20"/>
                <w:color w:val="auto"/>
              </w:rPr>
            </w:pPr>
            <w:r>
              <w:rPr>
                <w:rFonts w:ascii="Arial" w:cs="Arial" w:eastAsia="Arial" w:hAnsi="Arial"/>
                <w:sz w:val="18"/>
                <w:szCs w:val="18"/>
                <w:color w:val="auto"/>
              </w:rPr>
              <w:t>20</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35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bl>
    <w:p>
      <w:pPr>
        <w:sectPr>
          <w:pgSz w:w="11900" w:h="16838" w:orient="portrait"/>
          <w:cols w:equalWidth="0" w:num="1">
            <w:col w:w="9100"/>
          </w:cols>
          <w:pgMar w:left="1420" w:top="125" w:right="1379" w:bottom="1440" w:gutter="0" w:footer="0" w:header="0"/>
          <w:type w:val="continuous"/>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License Agreements</w:t>
      </w:r>
    </w:p>
    <w:p>
      <w:pPr>
        <w:spacing w:after="0" w:line="229" w:lineRule="exact"/>
        <w:rPr>
          <w:sz w:val="20"/>
          <w:szCs w:val="20"/>
          <w:color w:val="auto"/>
        </w:rPr>
      </w:pPr>
    </w:p>
    <w:p>
      <w:pPr>
        <w:ind w:right="139" w:firstLine="405"/>
        <w:spacing w:after="0" w:line="291" w:lineRule="auto"/>
        <w:rPr>
          <w:sz w:val="20"/>
          <w:szCs w:val="20"/>
          <w:color w:val="auto"/>
        </w:rPr>
      </w:pPr>
      <w:r>
        <w:rPr>
          <w:rFonts w:ascii="Arial" w:cs="Arial" w:eastAsia="Arial" w:hAnsi="Arial"/>
          <w:sz w:val="16"/>
          <w:szCs w:val="16"/>
          <w:color w:val="auto"/>
        </w:rPr>
        <w:t>In March 2018, the Company entered into a global cross-license agreement with a customer pursuant to which the Company granted a worldwide, non-exclusive, non-transferable, irrevocable, royalty-bearing license under the Company’s patents to use, sell, import and export the Company’s products. Under the cross-license agreement, the Company received a non-refundable license fee and is entitled to quarterly royalty payments based upon low single digits of the average selling price of products covered under the license agreement. The license was transferred to the customer and the Company recognized the non-refundable license fee during the six months ended June 30, 2018. The cross-license agreement will remain in effect until the licensed patents have expired, been abandoned, or ruled invalid.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59" w:firstLine="405"/>
        <w:spacing w:after="0" w:line="270" w:lineRule="auto"/>
        <w:rPr>
          <w:sz w:val="20"/>
          <w:szCs w:val="20"/>
          <w:color w:val="auto"/>
        </w:rPr>
      </w:pPr>
      <w:r>
        <w:rPr>
          <w:rFonts w:ascii="Arial" w:cs="Arial" w:eastAsia="Arial" w:hAnsi="Arial"/>
          <w:sz w:val="17"/>
          <w:szCs w:val="17"/>
          <w:color w:val="auto"/>
        </w:rPr>
        <w:t>In July 2018, the Company entered into the First Amendment to its 2017 Credit Facility (the “Amended Credit Facility”). The Amended Credit Facility extends the period of interest-only payments through December 31, 2018, followed by fixed principal and interest payments based on a 24-month amortization schedule. If the Company achieves certain milestones, the loan will be based on a 36-month amortization schedule. The terms of the Amended Credit Facility include the return by Silicon Valley Bank of principal payments previously made by the Company. The Company is required to comply with certain covenants under the Amended Credit Facility, including requirements to maintain a minimum liquidity ratio, meet certain revenue targets, and restrictions on certain actions without the consent of the lender, such as the disposal and acquisition of its business or property, changes in business, and mergers or acquisitions. An end of term fee of 7% of the amount borrowed must be made when the loan is prepaid or repaid, whether at maturity or as a result of a prepayment or acceleration or otherwise.</w:t>
      </w:r>
    </w:p>
    <w:p>
      <w:pPr>
        <w:spacing w:after="0" w:line="178" w:lineRule="exact"/>
        <w:rPr>
          <w:sz w:val="20"/>
          <w:szCs w:val="20"/>
          <w:color w:val="auto"/>
        </w:rPr>
      </w:pPr>
    </w:p>
    <w:p>
      <w:pPr>
        <w:ind w:right="39" w:firstLine="405"/>
        <w:spacing w:after="0" w:line="259" w:lineRule="auto"/>
        <w:rPr>
          <w:sz w:val="20"/>
          <w:szCs w:val="20"/>
          <w:color w:val="auto"/>
        </w:rPr>
      </w:pPr>
      <w:r>
        <w:rPr>
          <w:rFonts w:ascii="Arial" w:cs="Arial" w:eastAsia="Arial" w:hAnsi="Arial"/>
          <w:sz w:val="18"/>
          <w:szCs w:val="18"/>
          <w:color w:val="auto"/>
        </w:rPr>
        <w:t>In conjunction with the Amended Credit Facility, outstanding warrants held by SVB to purchase 9,229 shares of the Company’s common stock were cancelled. The Company subsequently issued a warrant to SVB for the purchase of 9,375 shares of the Company’s common stock at an exercise price of $8.91 per share. The warrant can be exercised at any time and expires five years after the date of issuance.</w:t>
      </w:r>
    </w:p>
    <w:p>
      <w:pPr>
        <w:spacing w:after="0" w:line="187" w:lineRule="exact"/>
        <w:rPr>
          <w:sz w:val="20"/>
          <w:szCs w:val="20"/>
          <w:color w:val="auto"/>
        </w:rPr>
      </w:pPr>
    </w:p>
    <w:p>
      <w:pPr>
        <w:jc w:val="both"/>
        <w:ind w:right="199" w:firstLine="405"/>
        <w:spacing w:after="0" w:line="342" w:lineRule="auto"/>
        <w:rPr>
          <w:sz w:val="20"/>
          <w:szCs w:val="20"/>
          <w:color w:val="auto"/>
        </w:rPr>
      </w:pPr>
      <w:r>
        <w:rPr>
          <w:rFonts w:ascii="Arial" w:cs="Arial" w:eastAsia="Arial" w:hAnsi="Arial"/>
          <w:sz w:val="16"/>
          <w:szCs w:val="16"/>
          <w:color w:val="auto"/>
        </w:rPr>
        <w:t>In August 2018, the Company amended its lease agreement for its Arizona manufacturing facility to extend the lease term through January 2021. The aggregate rent expense be recognized over the remaining term of the lease is $2.4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This discussion contains certain forward-looking statements within the meaning of Section 27A of the Securities Act of 1933, as amended, and Section 21E of the Securities Exchange Act of 1934, as amended.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are the leading provider of MRAM solutions. Our MRAM solutions offer the persistence of non-volatile memory, a type of memory that retains information even in the absence of power, with the speed and endurance of random access memory (RAM). This enables the protection of mission critical data particularly in the event of power interruption or failure. Our MRAM solutions allow our customers in the industrial, automotive, transportation, and enterprise storage markets to design high performance, power efficient and reliable systems without the need for bulky batteries or capacitors.</w:t>
      </w:r>
    </w:p>
    <w:p>
      <w:pPr>
        <w:spacing w:after="0" w:line="15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derive our revenue from the sale of MRAM-based products in discrete unit form, the sale of services, licenses of and royalties on our MRAM and magnetic sensor technology, the sale of backend foundry services and design services to third parties.</w:t>
      </w:r>
    </w:p>
    <w:p>
      <w:pPr>
        <w:spacing w:after="0" w:line="181"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We work directly with our distributors and customers to have our MRAM devices designed into and qualified for their products. Although we maintain direct sales, support, and development relationships with our customers, once our products are designed into a customer’s product, we sell a majority of our products to those customers through distributors. We generated 78% and 68% for the three months ended June 30, 2018 and 2017, respectively, and 65% and 73% for the six months ended June 30, 2018 and 2017, respectively, of our revenue from products sold through distributors.</w:t>
      </w:r>
    </w:p>
    <w:p>
      <w:pPr>
        <w:spacing w:after="0" w:line="1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sales team and representatives are organized into three primary regions: North America; Europe, Middle East and Africa (EMEA); and Asia-Pacific and Japan (APJ). We recognize revenue by geography based on the region in which our products are sold, and not to where the end products in which they are assembled are shipped. Our revenue by region for the periods indicated was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w w:val="97"/>
              </w:rPr>
              <w:t>Six Months Ended</w:t>
            </w:r>
          </w:p>
        </w:tc>
        <w:tc>
          <w:tcPr>
            <w:tcW w:w="9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7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9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900" w:type="dxa"/>
            <w:vAlign w:val="bottom"/>
          </w:tcPr>
          <w:p>
            <w:pPr>
              <w:spacing w:after="0"/>
              <w:rPr>
                <w:sz w:val="17"/>
                <w:szCs w:val="17"/>
                <w:color w:val="auto"/>
              </w:rPr>
            </w:pPr>
          </w:p>
        </w:tc>
      </w:tr>
      <w:tr>
        <w:trPr>
          <w:trHeight w:val="210"/>
        </w:trPr>
        <w:tc>
          <w:tcPr>
            <w:tcW w:w="920" w:type="dxa"/>
            <w:vAlign w:val="bottom"/>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$ 1,645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EMEA</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APJ</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10,553</w:t>
            </w:r>
          </w:p>
        </w:tc>
        <w:tc>
          <w:tcPr>
            <w:tcW w:w="900" w:type="dxa"/>
            <w:vAlign w:val="bottom"/>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10,765</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$ 8,925</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25,618</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16,805</w:t>
            </w:r>
          </w:p>
        </w:tc>
        <w:tc>
          <w:tcPr>
            <w:tcW w:w="900" w:type="dxa"/>
            <w:vAlign w:val="bottom"/>
          </w:tcPr>
          <w:p>
            <w:pPr>
              <w:spacing w:after="0"/>
              <w:rPr>
                <w:sz w:val="18"/>
                <w:szCs w:val="18"/>
                <w:color w:val="auto"/>
              </w:rPr>
            </w:pPr>
          </w:p>
        </w:tc>
      </w:tr>
      <w:tr>
        <w:trPr>
          <w:trHeight w:val="864"/>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leverage both internal and outsourced capabilities to manufacture our MRAM products. We purchase industry-standard complementary metal-oxide semiconductor (CMOS) wafers from semiconductor foundries and complete the fabrication by inserting our magnetic-bit technology at our 200mm fabrication facility in Chandler, Arizona. We believe this allows us to streamline research and development, rapidly prototype new products, and bring new products to market quickly and cost effectively. This strategy significantly reduces the capital investment that would otherwise be required to operate manufacturing facilities of our own. We utilize leading semiconductor foundry GLOBALFOUNDRIES to support full turnkey high-volume production of our high density MRAM products on 300mm wafers at advanced process nodes.</w:t>
      </w:r>
    </w:p>
    <w:p>
      <w:pPr>
        <w:spacing w:after="0" w:line="16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During the three and six months ended June 30, 2018, we continued to invest in research and development to support the development and production of our Spin Transfer Torque MRAM (STT-MRAM) technology. We believe our continued investment will allow us to continue to develop and deploy products based on our STT-MRAM technology. Our research and development expenses were $6.8 million and $6.4 million for the three months ended June 30, 2018 and 2017, respectively, and $13.3 million and $12.8 million for the six months ended June 30, 2018 and 2017, respectively. We expect that our research and development expenses will increase in the future as we continue to develop our MRAM technology internally and through our joint development agreement with GLOBALFOUNDRIES.</w:t>
      </w:r>
    </w:p>
    <w:p>
      <w:pPr>
        <w:spacing w:after="0" w:line="17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recorded revenue of $10.8 million and $8.9 million for the three months ended June 30, 2018 and 2017, respectively, and $25.6 million and $16.8 million for the six months ended June 30, 2018 and 2017, respectively; gross margin was 49.3% and 64.9% for the three months ended June, 2018 and 2017, respectively and 59.6% for the six months ended June 30, 2018 and 2017; and our net loss was $6.6 million and $5.2 million for the three months ended June 30, 2018 and 2017, respectively, and $7.9 million and $11.3 million for the six months ended June 30, 2018 and 2017, respectively. As of June 30, 2018, we had 96 employees, approximately half of whom are engaged in research and development.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We define Adjusted EBITDA as net income or loss adjusted for interest expense, tax, depreciation and amortization, stock-based compensation expense, and compensation expense related to the vesting of common stock held by GLOBALFOUNDRIES resulting from our joint development agreement.</w:t>
      </w:r>
    </w:p>
    <w:p>
      <w:pPr>
        <w:spacing w:after="0" w:line="17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presents a reconciliation of net loss, the most directly comparable GAAP measure, to Adjusted EBITDA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6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(6,599)</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(5,187)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(7,876)</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(11,273)</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839</w:t>
            </w:r>
          </w:p>
        </w:tc>
        <w:tc>
          <w:tcPr>
            <w:tcW w:w="160" w:type="dxa"/>
            <w:vAlign w:val="bottom"/>
          </w:tcPr>
          <w:p>
            <w:pPr>
              <w:spacing w:after="0"/>
              <w:rPr>
                <w:sz w:val="18"/>
                <w:szCs w:val="18"/>
                <w:color w:val="auto"/>
              </w:rPr>
            </w:pPr>
          </w:p>
        </w:tc>
      </w:tr>
      <w:tr>
        <w:trPr>
          <w:trHeight w:val="202"/>
        </w:trPr>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Compensation expense related to vesting of GLOBALFOUNDRIES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60" w:type="dxa"/>
            <w:vAlign w:val="bottom"/>
            <w:shd w:val="clear" w:color="auto" w:fill="CCEEFF"/>
          </w:tcPr>
          <w:p>
            <w:pPr>
              <w:spacing w:after="0"/>
              <w:rPr>
                <w:sz w:val="20"/>
                <w:szCs w:val="20"/>
                <w:color w:val="auto"/>
              </w:rPr>
            </w:pP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Borders>
              <w:bottom w:val="single" w:sz="8" w:color="CCEEFF"/>
            </w:tcBorders>
          </w:tcPr>
          <w:p>
            <w:pPr>
              <w:spacing w:after="0"/>
              <w:rPr>
                <w:sz w:val="18"/>
                <w:szCs w:val="18"/>
                <w:color w:val="auto"/>
              </w:rPr>
            </w:pPr>
          </w:p>
        </w:tc>
      </w:tr>
      <w:tr>
        <w:trPr>
          <w:trHeight w:val="217"/>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(3,864)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6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i w:val="1"/>
          <w:iCs w:val="1"/>
          <w:color w:val="auto"/>
        </w:rPr>
        <w:t xml:space="preserve">Design wins. </w:t>
      </w:r>
      <w:r>
        <w:rPr>
          <w:rFonts w:ascii="Arial" w:cs="Arial" w:eastAsia="Arial" w:hAnsi="Arial"/>
          <w:sz w:val="17"/>
          <w:szCs w:val="17"/>
          <w:color w:val="auto"/>
        </w:rPr>
        <w:t>To continue to grow our revenue, we must continue to achieve design wins for our MRAM products. We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 a design win to occur when an original equipment manufacturer (OEM) or contract manufacturer notifies us that it has qualified one of our products as a component in a product or system for production. We are dependent on the adoption of our 256Mb and 1Gb MRAM products by our customers to secure design wins. Because the life cycles for our customers’ products can last for many years, if these products have successful commercial introductions, we expect to continue to generate revenues over an extended period of time for each successful design win. Any delay in the development of our 1Gb MRAM product, or failure of our customers to adopt our 1Gb MRAM products, could inhibit revenue growth or cause declines, which would significantly harm our business and prevent us from becoming profitable. In the fourth quarter of 2017, we recorded revenue for our first sale of 40nm 256Mb STT-MRAM products and we are in process of ramping up production in 2018.</w:t>
      </w:r>
    </w:p>
    <w:p>
      <w:pPr>
        <w:spacing w:after="0" w:line="17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i w:val="1"/>
          <w:iCs w:val="1"/>
          <w:color w:val="auto"/>
        </w:rPr>
        <w:t>Customer acceptance of our technology and customer product success</w:t>
      </w:r>
      <w:r>
        <w:rPr>
          <w:rFonts w:ascii="Arial" w:cs="Arial" w:eastAsia="Arial" w:hAnsi="Arial"/>
          <w:sz w:val="16"/>
          <w:szCs w:val="16"/>
          <w:color w:val="auto"/>
        </w:rPr>
        <w:t>. For our customers to use our products, they may</w:t>
      </w:r>
      <w:r>
        <w:rPr>
          <w:rFonts w:ascii="Arial" w:cs="Arial" w:eastAsia="Arial" w:hAnsi="Arial"/>
          <w:sz w:val="16"/>
          <w:szCs w:val="16"/>
          <w:i w:val="1"/>
          <w:iCs w:val="1"/>
          <w:color w:val="auto"/>
        </w:rPr>
        <w:t xml:space="preserve"> </w:t>
      </w:r>
      <w:r>
        <w:rPr>
          <w:rFonts w:ascii="Arial" w:cs="Arial" w:eastAsia="Arial" w:hAnsi="Arial"/>
          <w:sz w:val="16"/>
          <w:szCs w:val="16"/>
          <w:color w:val="auto"/>
        </w:rPr>
        <w:t>have to redesign certain components of their existing designs. We have established relationships with several storage controller and Field Programmable Gate Array (FPGA) companies as well as IP core companies, including Cadence, Synopsys, and Northwest Logic, to facilitate the integration of our MRAM solutions into our customers end products. Delays in our customers’ design cycles may have adverse effects on the demand, and therefore sales, of our products.</w:t>
      </w:r>
    </w:p>
    <w:p>
      <w:pPr>
        <w:spacing w:after="0" w:line="15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Customer concentration</w:t>
      </w:r>
      <w:r>
        <w:rPr>
          <w:rFonts w:ascii="Arial" w:cs="Arial" w:eastAsia="Arial" w:hAnsi="Arial"/>
          <w:sz w:val="16"/>
          <w:szCs w:val="16"/>
          <w:color w:val="auto"/>
        </w:rPr>
        <w:t>. A relatively small number of end customers have historically accounted for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our revenue. Revenue, including through distributors, from six of our customers collectively, accounted for approximately 47% and 60% of our total revenue in the three and six months ended June 30, 2018, respectively. Two of these customers accounted for in excess of 10% of our total revenue in the three months ended June 30, 2018. Three of these customers accounted for in excess of 10% of our total revenue in the six months ended June 30, 2018. Revenue, including through distributors, from five of our customers collectively, accounted for 38% and 35% of our total revenue in the three and six months ended June 30, 2017, respectively. None of these customers accounted for in excess of 10% of our total revenue in the three and six months ended June 30, 2017. It would be difficult to replace lost revenue resulting from the loss, reduction, cancellation or delay in purchase orders by any one of these customers. Consolidation among our customers may further concentrate our customer base and expose us to increased risks relating to increased customer concentration. In addition, any significant pricing pressure exerted by a significant customer could adversely affect our operating results.</w:t>
      </w:r>
    </w:p>
    <w:p>
      <w:pPr>
        <w:spacing w:after="0" w:line="17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i w:val="1"/>
          <w:iCs w:val="1"/>
          <w:color w:val="auto"/>
        </w:rPr>
        <w:t xml:space="preserve">Pricing, product cost and gross margins of our products. </w:t>
      </w:r>
      <w:r>
        <w:rPr>
          <w:rFonts w:ascii="Arial" w:cs="Arial" w:eastAsia="Arial" w:hAnsi="Arial"/>
          <w:sz w:val="17"/>
          <w:szCs w:val="17"/>
          <w:color w:val="auto"/>
        </w:rPr>
        <w:t>Our gross margin has been, and will continue to be, affected by</w:t>
      </w:r>
      <w:r>
        <w:rPr>
          <w:rFonts w:ascii="Arial" w:cs="Arial" w:eastAsia="Arial" w:hAnsi="Arial"/>
          <w:sz w:val="17"/>
          <w:szCs w:val="17"/>
          <w:i w:val="1"/>
          <w:iCs w:val="1"/>
          <w:color w:val="auto"/>
        </w:rPr>
        <w:t xml:space="preserve"> </w:t>
      </w:r>
      <w:r>
        <w:rPr>
          <w:rFonts w:ascii="Arial" w:cs="Arial" w:eastAsia="Arial" w:hAnsi="Arial"/>
          <w:sz w:val="17"/>
          <w:szCs w:val="17"/>
          <w:color w:val="auto"/>
        </w:rPr>
        <w:t>a variety of factors, including the timing of changes in pricing, shipment volumes, new product introductions, changes in product mix, changes in our purchase price of fabricated wafers, assembly and test service expenses, manufacturing yields and inventory write downs, if any. In general, newly introduced products, and products with higher densities and performance,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seek to offset the effect of declining average selling prices on existing products by reducing manufacturing expenses and introducing newer, higher value-added products. If we are unable to maintain overall average selling prices or to offset any declines in average selling prices with savings on product costs, our gross margin will decline.</w:t>
      </w:r>
    </w:p>
    <w:p>
      <w:pPr>
        <w:spacing w:after="0" w:line="17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i w:val="1"/>
          <w:iCs w:val="1"/>
          <w:color w:val="auto"/>
        </w:rPr>
        <w:t xml:space="preserve">Gross margin impact of licensing revenue. </w:t>
      </w:r>
      <w:r>
        <w:rPr>
          <w:rFonts w:ascii="Arial" w:cs="Arial" w:eastAsia="Arial" w:hAnsi="Arial"/>
          <w:sz w:val="16"/>
          <w:szCs w:val="16"/>
          <w:color w:val="auto"/>
        </w:rPr>
        <w:t>Our licensing revenue, which we collect as licensing fees and royalty</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generates significantly higher gross margin than product revenue. Due to the high gross margin profile of this revenue stream, fluctuations in licensing revenue may have a greater impact on gross margin than a corresponding change in the demand for our products. Therefore, as licensing revenue fluctuates, we may see significant variations in gross margin.</w:t>
      </w:r>
    </w:p>
    <w:p>
      <w:pPr>
        <w:spacing w:after="0" w:line="15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i w:val="1"/>
          <w:iCs w:val="1"/>
          <w:color w:val="auto"/>
        </w:rPr>
        <w:t xml:space="preserve">Technology, process, and product development investment. </w:t>
      </w:r>
      <w:r>
        <w:rPr>
          <w:rFonts w:ascii="Arial" w:cs="Arial" w:eastAsia="Arial" w:hAnsi="Arial"/>
          <w:sz w:val="17"/>
          <w:szCs w:val="17"/>
          <w:color w:val="auto"/>
        </w:rPr>
        <w:t>We invest heavily to develop our MRAM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core MRAM technology, the joint development agreement with GLOBALFOUNDRIES, and the design of new and innovative products based on MRAM, to provide solutions to our current and future customers. We anticipate that we will continue to invest in our research and development to achieve our technology and product roadmaps. Our product development is targeted to specific segments of the market where we believe the densities and performance of our products can provide the most benefit. We believe our close coordination with our customers regarding their future product requirements enhances the efficiency of our research and development expenditures.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derive our revenue from the sale of our MRAM-based products in discrete unit form, the licensing of our MRAM and magnetic sensor technology and related royalties, the sale backend foundry services and design services to third parties. We recognize sales of products in discrete unit form at a point in time, we recognize revenue related to licensing agreements when we have delivered rights to the technology, we recognize revenue related to royalty agreements in the period in which sales generated from products sold using our technology occurs, and we recognize sales of backend foundry services and design services to third parties over time.</w:t>
      </w:r>
    </w:p>
    <w:p>
      <w:pPr>
        <w:spacing w:after="0" w:line="17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For some of our products, we provide price protection and product return rights. As such, for sales through distributors of our discrete MRAM products, at the time of revenue recognition, which occurs when control of the products has been transferred to the distributor, we estimate product returns and the expected price concessions that will be provided to the distributor, which is included in the transaction price. We estimate the credits to the distributors based on the historical rate of credits provided to distributors relative to sales or, for some customers the credit is based on a previously negotiated fixed rate. Our licensing revenue is largely dependent on a small number of transactions during a given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Cost of sales primarily includes the cost of our products including costs to purchase wafers, costs paid for wafer fabrication, costs associated with the assembly and testing of our products, shipping costs and costs of our manufacturing personnel. Cost of sales also includes indirect costs, such as warranty, inventory valuation reserves and overhead costs.</w:t>
      </w:r>
    </w:p>
    <w:p>
      <w:pPr>
        <w:spacing w:after="0" w:line="14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Gross profit is revenue less cost of sales. Gross margin is gross profit expressed as a percentage of total revenue. We expect that our gross margin may fluctuate from period to period, primarily as a result of changes in average selling price, revenue mix among our products, product yields and manufacturing costs. In addition, we may reserve against the value at which we carry our inventory based upon the product’s life cycle and conditions in the markets in which we sell. Declines in average selling prices may be paired with improvements in our cost of sales, which may offset some of the gross margin reduction that could result from lower selling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research and development expenses consist primarily of personnel-related expenses for the design and development of our products and technologies, development wafers required to validate and characterize our technology, and expenses associated with our joint development agreement with GLOBALFOUNDRIES.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 We expect our research and development expenses to increase in connection with our joint development agreement with GLOBALFOUNDRIES.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general and administrative expenses consist primarily of personnel expenses, allocated facilities costs, expenses for outside professional services, and expenses for personnel and consultants engaged in executive, finance, legal, information technology and administrative activities. We expect our general and administrative expenses to increase as we continue to hire personnel and expand our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Our sales and marketing expenses consist primarily of compensation for our sales, marketing, and business development personnel, including bonuses and commissions for our sales representatives. We expect our sales and marketing expenses to increase as we hire additional sales personnel and representatives and increase our marketing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firstLine="324"/>
        <w:spacing w:after="0" w:line="340" w:lineRule="auto"/>
        <w:rPr>
          <w:sz w:val="20"/>
          <w:szCs w:val="20"/>
          <w:color w:val="auto"/>
        </w:rPr>
      </w:pPr>
      <w:r>
        <w:rPr>
          <w:rFonts w:ascii="Arial" w:cs="Arial" w:eastAsia="Arial" w:hAnsi="Arial"/>
          <w:sz w:val="15"/>
          <w:szCs w:val="15"/>
          <w:color w:val="auto"/>
        </w:rPr>
        <w:t>Interest expense consists of cash and non-cash components. The non-cash component consists of interest expense recognized from the amortization of debt discounts derived from the issuance of warrants and debt issuance costs capitalized on our balance sheets as a reduction of the debt balance. Interest expense is due to our borrowings under our loan agreements.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Other income, net consists primarily of the interest income earned on our cash equivalents and foreign currency exchange gains and losses. Our foreign currency exchange gains and losses relate to transactions and asset and liability balances denominated in currencies other than the U.S. dollar.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the second quarter of 2017, we repaid the outstanding balance of our revolving loan and term loan at which time we recognized the unamortized balance of the debt discount and a prepayment penalty for the term loan as a loss on extinguishment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w w:val="96"/>
              </w:rPr>
              <w:t>Three Months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w w:val="93"/>
              </w:rPr>
              <w:t>Six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300" w:type="dxa"/>
            <w:vAlign w:val="bottom"/>
            <w:gridSpan w:val="4"/>
          </w:tcPr>
          <w:p>
            <w:pPr>
              <w:jc w:val="center"/>
              <w:ind w:right="110"/>
              <w:spacing w:after="0"/>
              <w:rPr>
                <w:sz w:val="20"/>
                <w:szCs w:val="20"/>
                <w:color w:val="auto"/>
              </w:rPr>
            </w:pPr>
            <w:r>
              <w:rPr>
                <w:rFonts w:ascii="Arial" w:cs="Arial" w:eastAsia="Arial" w:hAnsi="Arial"/>
                <w:sz w:val="14"/>
                <w:szCs w:val="14"/>
                <w:b w:val="1"/>
                <w:bCs w:val="1"/>
                <w:color w:val="auto"/>
                <w:w w:val="89"/>
              </w:rPr>
              <w:t>June 30,</w:t>
            </w:r>
          </w:p>
        </w:tc>
        <w:tc>
          <w:tcPr>
            <w:tcW w:w="16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c>
          <w:tcPr>
            <w:tcW w:w="1300" w:type="dxa"/>
            <w:vAlign w:val="bottom"/>
            <w:gridSpan w:val="4"/>
          </w:tcPr>
          <w:p>
            <w:pPr>
              <w:jc w:val="center"/>
              <w:ind w:right="13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top w:val="single" w:sz="8" w:color="auto"/>
              <w:bottom w:val="single" w:sz="8" w:color="auto"/>
            </w:tcBorders>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1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(As a percentage</w:t>
            </w:r>
          </w:p>
        </w:tc>
        <w:tc>
          <w:tcPr>
            <w:tcW w:w="160" w:type="dxa"/>
            <w:vAlign w:val="bottom"/>
          </w:tcPr>
          <w:p>
            <w:pPr>
              <w:spacing w:after="0"/>
              <w:rPr>
                <w:sz w:val="10"/>
                <w:szCs w:val="10"/>
                <w:color w:val="auto"/>
              </w:rPr>
            </w:pPr>
          </w:p>
        </w:tc>
        <w:tc>
          <w:tcPr>
            <w:tcW w:w="16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11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(As a 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1300" w:type="dxa"/>
            <w:vAlign w:val="bottom"/>
            <w:gridSpan w:val="4"/>
          </w:tcPr>
          <w:p>
            <w:pPr>
              <w:jc w:val="center"/>
              <w:ind w:right="70"/>
              <w:spacing w:after="0"/>
              <w:rPr>
                <w:sz w:val="20"/>
                <w:szCs w:val="20"/>
                <w:color w:val="auto"/>
              </w:rPr>
            </w:pPr>
            <w:r>
              <w:rPr>
                <w:rFonts w:ascii="Arial" w:cs="Arial" w:eastAsia="Arial" w:hAnsi="Arial"/>
                <w:sz w:val="14"/>
                <w:szCs w:val="14"/>
                <w:b w:val="1"/>
                <w:bCs w:val="1"/>
                <w:color w:val="auto"/>
                <w:w w:val="92"/>
              </w:rPr>
              <w:t>of revenue)</w:t>
            </w:r>
          </w:p>
        </w:tc>
        <w:tc>
          <w:tcPr>
            <w:tcW w:w="1680" w:type="dxa"/>
            <w:vAlign w:val="bottom"/>
            <w:gridSpan w:val="4"/>
            <w:vMerge w:val="continue"/>
          </w:tcPr>
          <w:p>
            <w:pPr>
              <w:spacing w:after="0"/>
              <w:rPr>
                <w:sz w:val="14"/>
                <w:szCs w:val="14"/>
                <w:color w:val="auto"/>
              </w:rPr>
            </w:pPr>
          </w:p>
        </w:tc>
        <w:tc>
          <w:tcPr>
            <w:tcW w:w="1300" w:type="dxa"/>
            <w:vAlign w:val="bottom"/>
            <w:gridSpan w:val="4"/>
          </w:tcPr>
          <w:p>
            <w:pPr>
              <w:jc w:val="center"/>
              <w:ind w:right="90"/>
              <w:spacing w:after="0"/>
              <w:rPr>
                <w:sz w:val="20"/>
                <w:szCs w:val="20"/>
                <w:color w:val="auto"/>
              </w:rPr>
            </w:pPr>
            <w:r>
              <w:rPr>
                <w:rFonts w:ascii="Arial" w:cs="Arial" w:eastAsia="Arial" w:hAnsi="Arial"/>
                <w:sz w:val="14"/>
                <w:szCs w:val="14"/>
                <w:b w:val="1"/>
                <w:bCs w:val="1"/>
                <w:color w:val="auto"/>
                <w:w w:val="90"/>
              </w:rPr>
              <w:t>of revenue)</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81 %$18,814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$ 13,848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w w:val="95"/>
              </w:rPr>
              <w:t>Licensing, royalty, and other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6,804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2,957</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25,618</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16,805</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3,133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10,357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6,796</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6,548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5,638</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11,815</w:t>
            </w: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10,581</w:t>
            </w:r>
          </w:p>
        </w:tc>
        <w:tc>
          <w:tcPr>
            <w:tcW w:w="1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22,880</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20,673</w:t>
            </w: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(4,789)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(6,599)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(7,876)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(11,273)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20" w:type="dxa"/>
            <w:vAlign w:val="bottom"/>
            <w:gridSpan w:val="4"/>
          </w:tcPr>
          <w:p>
            <w:pPr>
              <w:jc w:val="right"/>
              <w:ind w:right="2"/>
              <w:spacing w:after="0" w:line="142" w:lineRule="exact"/>
              <w:rPr>
                <w:sz w:val="20"/>
                <w:szCs w:val="20"/>
                <w:color w:val="auto"/>
              </w:rPr>
            </w:pPr>
            <w:r>
              <w:rPr>
                <w:rFonts w:ascii="Arial" w:cs="Arial" w:eastAsia="Arial" w:hAnsi="Arial"/>
                <w:sz w:val="14"/>
                <w:szCs w:val="14"/>
                <w:b w:val="1"/>
                <w:bCs w:val="1"/>
                <w:color w:val="auto"/>
                <w:w w:val="96"/>
              </w:rPr>
              <w:t>(Dollars in thousands)</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$ 7,200</w:t>
            </w:r>
          </w:p>
        </w:tc>
        <w:tc>
          <w:tcPr>
            <w:tcW w:w="7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$ 2,249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1,725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7"/>
        </w:trPr>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$ 8,925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86"/>
              </w:rPr>
              <w:t>$ 1,840</w:t>
            </w: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Product sales increased by $2.2 million or 31.2%, from $7.2 million during the three months ended June 30, 2017,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$9.4 million during the three months ended June 30, 2018. The increase was primarily due to $2.5 million in increased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volume and mix in our MRAM products offset by a $0.3 million decrease in sales of our legacy products as a result of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decrease in demand for our legacy products.</w:t>
      </w:r>
    </w:p>
    <w:p>
      <w:pPr>
        <w:spacing w:after="0" w:line="211" w:lineRule="exact"/>
        <w:rPr>
          <w:sz w:val="20"/>
          <w:szCs w:val="20"/>
          <w:color w:val="auto"/>
        </w:rPr>
      </w:pPr>
    </w:p>
    <w:p>
      <w:pPr>
        <w:jc w:val="both"/>
        <w:ind w:right="119" w:firstLine="324"/>
        <w:spacing w:after="0" w:line="302" w:lineRule="auto"/>
        <w:rPr>
          <w:sz w:val="20"/>
          <w:szCs w:val="20"/>
          <w:color w:val="auto"/>
        </w:rPr>
      </w:pPr>
      <w:r>
        <w:rPr>
          <w:rFonts w:ascii="Arial" w:cs="Arial" w:eastAsia="Arial" w:hAnsi="Arial"/>
          <w:sz w:val="16"/>
          <w:szCs w:val="16"/>
          <w:color w:val="auto"/>
        </w:rPr>
        <w:t>Licensing, royalty, and other revenue is a highly variable revenue item characterized by a small number of transactions annually with revenue based on size and terms of each transaction. Licensing, royalty, and other revenue decreased by $0.4 million from $1.7 million during the three months ended June 30, 2017, to $1.3 million during the three months ended June 30, 2018. The decrease was primarily due to a $0.4 million decrease in sales of our backend foundry services.</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w w:val="98"/>
              </w:rPr>
              <w:t>Amount</w:t>
            </w:r>
          </w:p>
        </w:tc>
        <w:tc>
          <w:tcPr>
            <w:tcW w:w="40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40" w:type="dxa"/>
            <w:vAlign w:val="bottom"/>
            <w:gridSpan w:val="4"/>
          </w:tcPr>
          <w:p>
            <w:pPr>
              <w:jc w:val="right"/>
              <w:ind w:right="28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$5,459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$3,133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3"/>
              </w:rPr>
              <w:t>$ 2,326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74.2 %</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Gross margin</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49.3 %</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64.9 %</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Cost of sales increased by $2.3 million or 74.2%, from $3.1 million during the three months ended June 30, 2017, to</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$5.5 million during the three months ended June 30, 2018. The increase was primarily due to increased sales volume, product mix, and lower yields on our MRAM products, partially offset by lower sales volume of backend foundry services and legacy products.</w:t>
      </w:r>
    </w:p>
    <w:p>
      <w:pPr>
        <w:spacing w:after="0" w:line="190"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Gross margin decreased from 64.9% during the three months ended June 30, 2017, to 49.3% during the three months ended June 30, 2018. The decrease was primarily due to product mix and lower yields on our Toggle and MRAM products.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00" w:lineRule="exact"/>
        <w:rPr>
          <w:sz w:val="20"/>
          <w:szCs w:val="20"/>
          <w:color w:val="auto"/>
        </w:rPr>
      </w:pP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82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40" w:type="dxa"/>
            <w:vAlign w:val="bottom"/>
            <w:gridSpan w:val="5"/>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$6,773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$6,427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346</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5.4 %</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Research and development as a % of revenue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72 %</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increased by $0.3 million or 5.4%, from $6.4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during the three months ended June 30, 2017, to $6.8 million during the three months ended June 30, 2018. The increase was due to a $0.9 million increase in expenses incurred in our joint development agreement with GLOBALFOUNDRIES due to the use of more technologically advanced materials. The increase was partially offset by a decrease of $0.1 million in employee labor costs due to a decrease in headcount and bonuses, a decrease of $0.3 million in the amount attributable to the vesting of shares of common stock issued to GLOBALFOUNDRIES due to revaluing shares, and a decrease of $0.1 million in the allocation of supply costs to cost of goods sold due to an increase in production in 2018. Research and development expenses during the three months ended June 30, 2018 decreased as a percentage of revenue when compared with the corresponding period in 2017 primarily due to the increase in revenue from product sales being offset by the increase in research and development expenses.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60" w:type="dxa"/>
            <w:vAlign w:val="bottom"/>
            <w:gridSpan w:val="5"/>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$3,329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$2,793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536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31 %</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spending increased by $0.5 million or 19.2%, from</w:t>
      </w:r>
      <w:r>
        <w:rPr>
          <w:rFonts w:ascii="Arial" w:cs="Arial" w:eastAsia="Arial" w:hAnsi="Arial"/>
          <w:sz w:val="18"/>
          <w:szCs w:val="18"/>
          <w:i w:val="1"/>
          <w:iCs w:val="1"/>
          <w:color w:val="auto"/>
        </w:rPr>
        <w:t xml:space="preserve"> </w:t>
      </w:r>
      <w:r>
        <w:rPr>
          <w:rFonts w:ascii="Arial" w:cs="Arial" w:eastAsia="Arial" w:hAnsi="Arial"/>
          <w:sz w:val="18"/>
          <w:szCs w:val="18"/>
          <w:color w:val="auto"/>
        </w:rPr>
        <w:t>$2.8 million during the three months ended June 30, 2017, to $3.3 million during the three months ended June 30, 2018. The increase was primarily due to a $0.6 million increase in employee and contract labor costs due to an increase in headcount, bonuses and stock-based compensation expense. The increase was partially offset by a decrease of $0.1 million in professional services due to costs incurred in 2017 related to becoming a recent public company. General and administrative expense for the three months ended June 30, 2018 remained unchanged as a percentage of revenue when compared with the corresponding period in 2017.</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60" w:type="dxa"/>
            <w:vAlign w:val="bottom"/>
            <w:gridSpan w:val="5"/>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$1,713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352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15 %</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9" w:firstLine="324"/>
        <w:spacing w:after="0" w:line="293"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increased by $0.4 million or 25.9%, from $1.4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three months ended June 30, 2017, to $1.7 million during the three months ended June 30, 2018. The increase was primarily due to a $0.4 million increase in employee and contract labor costs as a result of higher headcount and an increase in salaries, commissions, bonuses and stock-based compensation expense. Sales and marketing expense for the three months ended June 30, 2018 slightly increased as a percentage of revenue when compared with the corresponding period in 2017 primarily due to the increase in revenue from product sales not fully offsetting the increase in sales and marketing expense.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222</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176</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46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59" w:firstLine="324"/>
        <w:spacing w:after="0" w:line="312" w:lineRule="auto"/>
        <w:rPr>
          <w:sz w:val="20"/>
          <w:szCs w:val="20"/>
          <w:color w:val="auto"/>
        </w:rPr>
      </w:pPr>
      <w:r>
        <w:rPr>
          <w:rFonts w:ascii="Arial" w:cs="Arial" w:eastAsia="Arial" w:hAnsi="Arial"/>
          <w:sz w:val="16"/>
          <w:szCs w:val="16"/>
          <w:color w:val="auto"/>
        </w:rPr>
        <w:t>Interest expense remained relatively flat during the three months ended June 30, 2017 compared to the three months ended June 30, 2018. The small increase was primarily due to higher interest expense on our 2017 Credit Facility with Silicon Valley Bank, compared to our prior facility with Ares Venture Finance, due to an increase in the prime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3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1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132</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24</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108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450.0 %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19" w:firstLine="324"/>
        <w:spacing w:after="0" w:line="286" w:lineRule="auto"/>
        <w:rPr>
          <w:sz w:val="20"/>
          <w:szCs w:val="20"/>
          <w:color w:val="auto"/>
        </w:rPr>
      </w:pPr>
      <w:r>
        <w:rPr>
          <w:rFonts w:ascii="Arial" w:cs="Arial" w:eastAsia="Arial" w:hAnsi="Arial"/>
          <w:sz w:val="17"/>
          <w:szCs w:val="17"/>
          <w:color w:val="auto"/>
        </w:rPr>
        <w:t>Other income, net was $0.1 million during the three months ended June 30, 2018 compared to $24,000 during the three months ended June 30, 2017. The increase was primarily related to an increase in interest income earned on our cash balances as a result of the increase in our cash balances from the follow-on public offering in February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84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228"/>
              <w:spacing w:after="0" w:line="142"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246</w:t>
            </w:r>
          </w:p>
        </w:tc>
        <w:tc>
          <w:tcPr>
            <w:tcW w:w="9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(246)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right="159" w:firstLine="324"/>
        <w:spacing w:after="0" w:line="308" w:lineRule="auto"/>
        <w:rPr>
          <w:sz w:val="20"/>
          <w:szCs w:val="20"/>
          <w:color w:val="auto"/>
        </w:rPr>
      </w:pPr>
      <w:r>
        <w:rPr>
          <w:rFonts w:ascii="Arial" w:cs="Arial" w:eastAsia="Arial" w:hAnsi="Arial"/>
          <w:sz w:val="17"/>
          <w:szCs w:val="17"/>
          <w:color w:val="auto"/>
        </w:rPr>
        <w:t>Loss on extinguishment of debt was $0.2 million during the three months ended June 30, 2017 due to the payoff of our prior facility with Ares Venture Finance. There was no such loss during the three months ended June 30, 2018.</w:t>
      </w: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00" w:type="dxa"/>
            <w:vAlign w:val="bottom"/>
            <w:gridSpan w:val="5"/>
          </w:tcPr>
          <w:p>
            <w:pPr>
              <w:ind w:left="1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$ 4,966</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Licensing, royalty, and other revenue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6,804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2,957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3,847</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25,618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16,805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$ 8,813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52.4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08"/>
        </w:trPr>
        <w:tc>
          <w:tcPr>
            <w:tcW w:w="8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Product sales increased by $5.0 million or 35.9%, from $13.9 million during the six months ended June 30, 2017,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$18.8 million during the six months ended June 30, 2018. The increase was primarily due to $5.9 million in increased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volume and mix in our MRAM products offset by a $0.9 million decrease in sales of our legacy products as a result of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decrease in demand of our legacy products.</w:t>
      </w:r>
    </w:p>
    <w:p>
      <w:pPr>
        <w:spacing w:after="0" w:line="211" w:lineRule="exact"/>
        <w:rPr>
          <w:sz w:val="20"/>
          <w:szCs w:val="20"/>
          <w:color w:val="auto"/>
        </w:rPr>
      </w:pPr>
    </w:p>
    <w:p>
      <w:pPr>
        <w:ind w:right="59" w:firstLine="324"/>
        <w:spacing w:after="0" w:line="255" w:lineRule="auto"/>
        <w:rPr>
          <w:sz w:val="20"/>
          <w:szCs w:val="20"/>
          <w:color w:val="auto"/>
        </w:rPr>
      </w:pPr>
      <w:r>
        <w:rPr>
          <w:rFonts w:ascii="Arial" w:cs="Arial" w:eastAsia="Arial" w:hAnsi="Arial"/>
          <w:sz w:val="18"/>
          <w:szCs w:val="18"/>
          <w:color w:val="auto"/>
        </w:rPr>
        <w:t>Licensing, royalty, and other revenue is a highly variable revenue item characterized by a small number of transactions annually with revenue based on size and terms of each transaction. Licensing, royalty, and other revenue increased by $3.8 million from $3.0 million during the six months ended June 30, 2017, to $6.8 million during the six months ended June 30, 2018. The increase was primarily due to a non-refundable license fee related to a cross-license agreement entered into with a customer in March 2018, partially offset by a $0.7 million decrease in milestone payments earned for research and development activity performed on behalf of GLOBALFOUNDRIES and a $0.6 million decrease in sales of our backend foundry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w w:val="98"/>
              </w:rPr>
              <w:t>Amount</w:t>
            </w:r>
          </w:p>
        </w:tc>
        <w:tc>
          <w:tcPr>
            <w:tcW w:w="3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580" w:type="dxa"/>
            <w:vAlign w:val="bottom"/>
            <w:gridSpan w:val="5"/>
          </w:tcPr>
          <w:p>
            <w:pPr>
              <w:jc w:val="right"/>
              <w:ind w:right="348"/>
              <w:spacing w:after="0" w:line="142" w:lineRule="exact"/>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5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$10,357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$6,796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9"/>
              </w:rPr>
              <w:t>$ 3,561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52.4 %</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Gross margin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59.6 %</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59.6 %</w:t>
            </w: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9" w:firstLine="324"/>
        <w:spacing w:after="0" w:line="312" w:lineRule="auto"/>
        <w:rPr>
          <w:sz w:val="20"/>
          <w:szCs w:val="20"/>
          <w:color w:val="auto"/>
        </w:rPr>
      </w:pPr>
      <w:r>
        <w:rPr>
          <w:rFonts w:ascii="Arial" w:cs="Arial" w:eastAsia="Arial" w:hAnsi="Arial"/>
          <w:sz w:val="16"/>
          <w:szCs w:val="16"/>
          <w:color w:val="auto"/>
        </w:rPr>
        <w:t>Cost of sales increased by $3.6 million or 52.4%, from $6.8 million during the six months ended June 30, 2017, to $10.4 million during the six months ended June 30, 2018. The increase was primarily due to increased sales volume and lower yields on our MRAM products, partially offset by lower sales volume of backend foundry services and legacy products.</w:t>
      </w:r>
    </w:p>
    <w:p>
      <w:pPr>
        <w:spacing w:after="0" w:line="147" w:lineRule="exact"/>
        <w:rPr>
          <w:sz w:val="20"/>
          <w:szCs w:val="20"/>
          <w:color w:val="auto"/>
        </w:rPr>
      </w:pPr>
    </w:p>
    <w:p>
      <w:pPr>
        <w:ind w:right="159" w:firstLine="324"/>
        <w:spacing w:after="0" w:line="308" w:lineRule="auto"/>
        <w:rPr>
          <w:sz w:val="20"/>
          <w:szCs w:val="20"/>
          <w:color w:val="auto"/>
        </w:rPr>
      </w:pPr>
      <w:r>
        <w:rPr>
          <w:rFonts w:ascii="Arial" w:cs="Arial" w:eastAsia="Arial" w:hAnsi="Arial"/>
          <w:sz w:val="17"/>
          <w:szCs w:val="17"/>
          <w:color w:val="auto"/>
        </w:rPr>
        <w:t>Gross margin remained flat at 59.6% during the six months ended June 30, 2018 and 2017. There were lower yields on our MRAM products that were partially offset by a onetime licensing event in the first quarter of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80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20" w:type="dxa"/>
            <w:vAlign w:val="bottom"/>
            <w:gridSpan w:val="5"/>
          </w:tcPr>
          <w:p>
            <w:pPr>
              <w:ind w:left="7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$13,253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$12,816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437</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3.4 %</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w w:val="99"/>
              </w:rPr>
              <w:t>Research and development as a % of revenue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76 %</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increased by $0.4 million or 3.4%,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$12.8 million during the six months ended June 30, 2017, to $13.3 million during the six months ended June 30, 2018.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was due to a $1.1 million increase in expenses incurred in our joint development agreement with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GLOBALFOUNDRIES due to the use of more technologically advanced materials and a $0.3 million increase in software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due to the purchase of software to improve simulations. The increases were partially offset by a decrease of $0.5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in employee labor costs due to a decrease in headcount and bonuses, a $0.3 million decrease in</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39"/>
        <w:spacing w:after="0" w:line="257" w:lineRule="auto"/>
        <w:rPr>
          <w:sz w:val="20"/>
          <w:szCs w:val="20"/>
          <w:color w:val="auto"/>
        </w:rPr>
      </w:pPr>
      <w:r>
        <w:rPr>
          <w:rFonts w:ascii="Arial" w:cs="Arial" w:eastAsia="Arial" w:hAnsi="Arial"/>
          <w:sz w:val="18"/>
          <w:szCs w:val="18"/>
          <w:color w:val="auto"/>
        </w:rPr>
        <w:t>the amount attributable to the vesting of shares of common stock issued to GLOBALFOUNDRIES due to revaluing shares, and a $0.2 million decrease in the allocation of supply costs to cost of goods sold due to an increase in production in 2018. Research and development expense during the three months ended June 30, 2018 decreased as a percentage of revenue when compared with the corresponding period in 2017 primarily due to the increase in revenue from product sales and to the non-refundable license fee.</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60" w:type="dxa"/>
            <w:vAlign w:val="bottom"/>
            <w:gridSpan w:val="5"/>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$6,548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$5,638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910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34 %</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19" w:firstLine="324"/>
        <w:spacing w:after="0" w:line="290"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spending increased by $0.9 million or 16.1%, from</w:t>
      </w:r>
      <w:r>
        <w:rPr>
          <w:rFonts w:ascii="Arial" w:cs="Arial" w:eastAsia="Arial" w:hAnsi="Arial"/>
          <w:sz w:val="16"/>
          <w:szCs w:val="16"/>
          <w:i w:val="1"/>
          <w:iCs w:val="1"/>
          <w:color w:val="auto"/>
        </w:rPr>
        <w:t xml:space="preserve"> </w:t>
      </w:r>
      <w:r>
        <w:rPr>
          <w:rFonts w:ascii="Arial" w:cs="Arial" w:eastAsia="Arial" w:hAnsi="Arial"/>
          <w:sz w:val="16"/>
          <w:szCs w:val="16"/>
          <w:color w:val="auto"/>
        </w:rPr>
        <w:t>$5.6 million during the six months ended June 30, 2017, to $6.5 million during the six months ended June 30, 2018. The increase was primarily due a $1.2 million increase in employee and contract labor costs due to an increase in headcount, of which $0.1 million was due to increased stock-based compensation expense and the repricing of certain stock options in the six months ended June 30, 2018. The increase was partially offset by a decrease of $0.3 million in professional services due to costs incurred in 2017 related to becoming a recent public company. General and administrative expense for the three months ended June 30, 2018 decreased as a percentage of revenue when compared with the corresponding period in 2017 primarily due to the increase in revenue from product sales and the non-refundable license fee.</w:t>
      </w:r>
    </w:p>
    <w:p>
      <w:pPr>
        <w:spacing w:after="0" w:line="15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12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60" w:type="dxa"/>
            <w:vAlign w:val="bottom"/>
            <w:gridSpan w:val="5"/>
          </w:tcPr>
          <w:p>
            <w:pPr>
              <w:ind w:left="6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$3,079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860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38.8 %</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19" w:firstLine="324"/>
        <w:spacing w:after="0" w:line="276"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increased by $0.9 million or 38.8%, from $2.2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six months ended June 30, 2017, to $3.1 million during the six months ended June 30, 2018. The increase was primarily due to a $0.6 million increase in employee and contract labor costs as a result of higher headcount and an increase in salaries, commissions, bonuses and stock-based compensation expense, a $0.1 million increase in commissions to sales representatives and a $0.1 million increase in expenditures on marketing materials.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82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433</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406</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27</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6.7 %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79" w:firstLine="324"/>
        <w:spacing w:after="0" w:line="312" w:lineRule="auto"/>
        <w:rPr>
          <w:sz w:val="20"/>
          <w:szCs w:val="20"/>
          <w:color w:val="auto"/>
        </w:rPr>
      </w:pPr>
      <w:r>
        <w:rPr>
          <w:rFonts w:ascii="Arial" w:cs="Arial" w:eastAsia="Arial" w:hAnsi="Arial"/>
          <w:sz w:val="16"/>
          <w:szCs w:val="16"/>
          <w:color w:val="auto"/>
        </w:rPr>
        <w:t>Interest expense remained relatively flat during the six months ended June 30, 2017 compared to the six months ended June 30, 2018. The small increase was primarily due to higher interest expense on our 2017 Credit Facility with Silicon Valley Bank, compared to our prior facility with Ares Venture Finance, due to an increase in the prime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1"/>
        </w:trPr>
        <w:tc>
          <w:tcPr>
            <w:tcW w:w="2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7"/>
                <w:szCs w:val="17"/>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b w:val="1"/>
                <w:bCs w:val="1"/>
                <w:color w:val="auto"/>
              </w:rPr>
              <w:t>Change</w:t>
            </w:r>
          </w:p>
        </w:tc>
      </w:tr>
      <w:tr>
        <w:trPr>
          <w:trHeight w:val="142"/>
        </w:trPr>
        <w:tc>
          <w:tcPr>
            <w:tcW w:w="2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1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176</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43</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133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309.3 %</w:t>
            </w:r>
          </w:p>
        </w:tc>
      </w:tr>
    </w:tbl>
    <w:p>
      <w:pPr>
        <w:spacing w:after="0" w:line="202" w:lineRule="exact"/>
        <w:rPr>
          <w:sz w:val="20"/>
          <w:szCs w:val="20"/>
          <w:color w:val="auto"/>
        </w:rPr>
      </w:pPr>
    </w:p>
    <w:p>
      <w:pPr>
        <w:ind w:right="419" w:firstLine="324"/>
        <w:spacing w:after="0" w:line="312" w:lineRule="auto"/>
        <w:rPr>
          <w:sz w:val="20"/>
          <w:szCs w:val="20"/>
          <w:color w:val="auto"/>
        </w:rPr>
      </w:pPr>
      <w:r>
        <w:rPr>
          <w:rFonts w:ascii="Arial" w:cs="Arial" w:eastAsia="Arial" w:hAnsi="Arial"/>
          <w:sz w:val="16"/>
          <w:szCs w:val="16"/>
          <w:color w:val="auto"/>
        </w:rPr>
        <w:t>Other income, net was $0.2 million during the six months ended June 30, 2018 compared to $43,000 during the six months ended June 30, 2017. The increase was primarily related to an increase in interest income earned on our cash balances as a result of the increase in our cash balances from the follow-on public offering in February 2018.</w:t>
      </w: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w w:val="95"/>
              </w:rPr>
              <w:t>Six Months Ended</w:t>
            </w:r>
          </w:p>
        </w:tc>
        <w:tc>
          <w:tcPr>
            <w:tcW w:w="140" w:type="dxa"/>
            <w:vAlign w:val="bottom"/>
          </w:tcPr>
          <w:p>
            <w:pPr>
              <w:spacing w:after="0"/>
              <w:rPr>
                <w:sz w:val="14"/>
                <w:szCs w:val="14"/>
                <w:color w:val="auto"/>
              </w:rPr>
            </w:pPr>
          </w:p>
        </w:tc>
        <w:tc>
          <w:tcPr>
            <w:tcW w:w="84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228"/>
              <w:spacing w:after="0" w:line="142"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246</w:t>
            </w:r>
          </w:p>
        </w:tc>
        <w:tc>
          <w:tcPr>
            <w:tcW w:w="9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(246)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Loss on extinguishment of debt was $0.2 million during the six months ended June 30, 2017 due to the payoff of our prior facility with Ares Venture Finance. There was no such loss during the six months ended June 30,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have generated significant losses since our inception and had an accumulated deficit of $124.1 million as of June 30, 2018, compared to $117.5 million as of December 31, 2017. As of June 30, 2018, we had $32.7 million of cash and cash equivalents, compared to $13.0 million as of December 31, 2017.</w:t>
      </w:r>
    </w:p>
    <w:p>
      <w:pPr>
        <w:spacing w:after="0" w:line="18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May 2017, we executed a Loan and Security Agreement with Silicon Valley Bank for a $12.0 million term loan. The term of the loan is three years, which would be extended by one year if we achieve a revenue target of $4.0 million for our Spin Transfer Torque product. The loan bears interest at a floating rate equal to the prime rate minus 0.75% and is payable monthly. The outstanding balance of the loan is to be repaid monthly beginning on May 1, 2018 over the remaining two-year term of the loan. The loan is secured by a first priority perfected security interest in our assets excluding any intellectual property.</w:t>
      </w:r>
    </w:p>
    <w:p>
      <w:pPr>
        <w:spacing w:after="0" w:line="19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February 2018, we completed a follow-on underwritten public offering of our common stock under our Registration Statement filed in November 2017 (File No. 333-221331), selling 3,772,447 shares of our common stock at an offering price of $7.00 per share for proceeds of $24.6 million, net of $1.8 million of underwriting discounts and commissions and other offering costs.</w:t>
      </w:r>
    </w:p>
    <w:p>
      <w:pPr>
        <w:spacing w:after="0" w:line="18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believe that our existing cash and cash equivalents as of June 30, 2018, coupled with our anticipated growth and sales levels will be sufficient to meet our anticipated cash requirements for at least the next twelve months.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If we need to raise additional capital to fund our operations, we may be required to seek additional equity or debt financing, and such additional financing may not be available to us on acceptable terms or at all. If we are unable to raise additional capital or generate sufficient cash from operations to adequately fund our operations, we will need to curtail planned activities to reduce costs and extend the time period over which our current resources will be able to fund operations. Doing so will likely harm our ability to execute on our business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Six Months Ended</w:t>
      </w:r>
    </w:p>
    <w:p>
      <w:pPr>
        <w:ind w:left="71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4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r>
      <w:tr>
        <w:trPr>
          <w:trHeight w:val="142"/>
        </w:trPr>
        <w:tc>
          <w:tcPr>
            <w:tcW w:w="4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60" w:type="dxa"/>
            <w:vAlign w:val="bottom"/>
            <w:gridSpan w:val="2"/>
          </w:tcPr>
          <w:p>
            <w:pPr>
              <w:jc w:val="right"/>
              <w:ind w:right="254"/>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(4,513)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(11,290)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240" w:type="dxa"/>
            <w:vAlign w:val="bottom"/>
            <w:gridSpan w:val="2"/>
          </w:tcPr>
          <w:p>
            <w:pPr>
              <w:jc w:val="right"/>
              <w:ind w:right="8"/>
              <w:spacing w:after="0"/>
              <w:rPr>
                <w:sz w:val="20"/>
                <w:szCs w:val="20"/>
                <w:color w:val="auto"/>
              </w:rPr>
            </w:pPr>
            <w:r>
              <w:rPr>
                <w:rFonts w:ascii="Arial" w:cs="Arial" w:eastAsia="Arial" w:hAnsi="Arial"/>
                <w:sz w:val="18"/>
                <w:szCs w:val="18"/>
                <w:color w:val="auto"/>
              </w:rPr>
              <w:t>(347)</w:t>
            </w:r>
          </w:p>
        </w:tc>
        <w:tc>
          <w:tcPr>
            <w:tcW w:w="820" w:type="dxa"/>
            <w:vAlign w:val="bottom"/>
          </w:tcPr>
          <w:p>
            <w:pPr>
              <w:jc w:val="right"/>
              <w:spacing w:after="0"/>
              <w:rPr>
                <w:sz w:val="20"/>
                <w:szCs w:val="20"/>
                <w:color w:val="auto"/>
              </w:rPr>
            </w:pPr>
            <w:r>
              <w:rPr>
                <w:rFonts w:ascii="Arial" w:cs="Arial" w:eastAsia="Arial" w:hAnsi="Arial"/>
                <w:sz w:val="18"/>
                <w:szCs w:val="18"/>
                <w:color w:val="auto"/>
              </w:rPr>
              <w:t>(1,704)</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2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24,635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During the six months ended June 30, 2018, cash used in operating activities was $4.5 million, which consisted of a net loss of $7.9 million, adjusted by non-cash charges of $2.8 million and a change of $0.6 million in our net operating assets and liabilities. The non-cash charges primarily consisted of stock-based compensation of $1.3 million,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depreciation and amortization of $0.7 million, compensation expense related to vesting of common stock issued to GLOBALFOUNDRIES under our joint development agreement of $0.5 million, and interest expense related to the amortization of debt issuance costs of $0.2 million. The change in our net operating assets and liabilities was primarily due to an increase in accounts receivable of $1.4 million due to timing of cash receipts for outstanding balances and an increase of $0.8 million in prepaid expenses and other current assets and other assets due to the timing of payments. These changes were partially offset by an increase of $2.6 million in accounts payable and accrued liabilities due to the timing of payments and an increase in inventory purchases in connection with the joint development agreement with GLOBALFOUNDRIES, and a decrease of $0.2 million in inventory due to increased sales.</w:t>
      </w:r>
    </w:p>
    <w:p>
      <w:pPr>
        <w:spacing w:after="0" w:line="17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During the six months ended June 30, 2017, cash used in operating activities was $11.3 million, which consisted of a net loss of $11.3 million, adjusted by non-cash charges of $2.4 million and a change of $2.4 million in our net operating assets and liabilities. The non-cash charges primarily consisted of stock-based compensation of $0.8 million, compensation expense related to vesting of common stock issued to GLOBALFOUNDRIES under our joint development agreement of $0.7 million, depreciation and amortization of $0.5 million, loss on extinguishment of debt of $0.2 million, and interest expense related to the amortization of debt issuance costs of $0.1 million. The change in our net operating assets and liabilities was primarily due to an increase in inventory of $1.6 million to meet demands of future sales and growing backlog, an increase of $0.5 million in accounts receivable due to timing of cash receipts for outstanding balances, a decrease of $0.2 million in deferred income on shipments to distributors, and a decrease in accounts payable and accrued liabilities of $0.1 million due to the timing of payments.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Cash used in investing activities during six months ended June 30, 2018, was $0.3 million for the purchase of manufacturing and computer equipment.</w:t>
      </w:r>
    </w:p>
    <w:p>
      <w:pPr>
        <w:spacing w:after="0" w:line="170" w:lineRule="exact"/>
        <w:rPr>
          <w:sz w:val="20"/>
          <w:szCs w:val="20"/>
          <w:color w:val="auto"/>
        </w:rPr>
      </w:pPr>
    </w:p>
    <w:p>
      <w:pPr>
        <w:jc w:val="both"/>
        <w:ind w:right="500" w:firstLine="324"/>
        <w:spacing w:after="0" w:line="264" w:lineRule="auto"/>
        <w:rPr>
          <w:sz w:val="20"/>
          <w:szCs w:val="20"/>
          <w:color w:val="auto"/>
        </w:rPr>
      </w:pPr>
      <w:r>
        <w:rPr>
          <w:rFonts w:ascii="Arial" w:cs="Arial" w:eastAsia="Arial" w:hAnsi="Arial"/>
          <w:sz w:val="18"/>
          <w:szCs w:val="18"/>
          <w:color w:val="auto"/>
        </w:rPr>
        <w:t>Cash used in investing activities during the six months ended June 30, 2017, was $1.7 million for the purchase of manufacturing equipment and capitalized costs related to the move to our new office and laboratory space in Chandler, Arizona.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During the six months ended June 30, 2018, cash provided by financing activities was $24.6 million consisting of net proceeds from the issuance of common stock of $24.6 million, and $1.0 million from stock option exercises and purchases of shares in our employee stock purchase plan, offset in part by payments of long-term debt of $1.0 million.</w:t>
      </w:r>
    </w:p>
    <w:p>
      <w:pPr>
        <w:spacing w:after="0" w:line="166" w:lineRule="exact"/>
        <w:rPr>
          <w:sz w:val="20"/>
          <w:szCs w:val="20"/>
          <w:color w:val="auto"/>
        </w:rPr>
      </w:pPr>
    </w:p>
    <w:p>
      <w:pPr>
        <w:jc w:val="both"/>
        <w:ind w:right="640" w:firstLine="324"/>
        <w:spacing w:after="0" w:line="312" w:lineRule="auto"/>
        <w:rPr>
          <w:sz w:val="20"/>
          <w:szCs w:val="20"/>
          <w:color w:val="auto"/>
        </w:rPr>
      </w:pPr>
      <w:r>
        <w:rPr>
          <w:rFonts w:ascii="Arial" w:cs="Arial" w:eastAsia="Arial" w:hAnsi="Arial"/>
          <w:sz w:val="16"/>
          <w:szCs w:val="16"/>
          <w:color w:val="auto"/>
        </w:rPr>
        <w:t>During the six months ended June 30, 2017, cash provided by financing activities was $4.4 million consisting of proceeds of $12.0 million in borrowings, and $0.9 million from stock option exercises and purchases of shares in our employee stock purchase plan, offset in part by payments of long term debt of $8.4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material changes in our contractual obligations from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carrying value of assets and liabilities that are not readily apparent from other sources. Actual results may differ from these estimates under different assumptions or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99" w:firstLine="324"/>
        <w:spacing w:after="0" w:line="279" w:lineRule="auto"/>
        <w:rPr>
          <w:sz w:val="20"/>
          <w:szCs w:val="20"/>
          <w:color w:val="auto"/>
        </w:rPr>
      </w:pPr>
      <w:r>
        <w:rPr>
          <w:rFonts w:ascii="Arial" w:cs="Arial" w:eastAsia="Arial" w:hAnsi="Arial"/>
          <w:sz w:val="17"/>
          <w:szCs w:val="17"/>
          <w:color w:val="auto"/>
        </w:rPr>
        <w:t>On January 1, 2018, we adopted Auditing Standards Update, or ASU, No. 2014-09, Revenue from Contracts with Customers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Topic 605, Revenue.</w:t>
      </w:r>
    </w:p>
    <w:p>
      <w:pPr>
        <w:spacing w:after="0" w:line="171" w:lineRule="exact"/>
        <w:rPr>
          <w:sz w:val="20"/>
          <w:szCs w:val="20"/>
          <w:color w:val="auto"/>
        </w:rPr>
      </w:pPr>
    </w:p>
    <w:p>
      <w:pPr>
        <w:ind w:right="159" w:firstLine="324"/>
        <w:spacing w:after="0" w:line="259" w:lineRule="auto"/>
        <w:rPr>
          <w:sz w:val="20"/>
          <w:szCs w:val="20"/>
          <w:color w:val="auto"/>
        </w:rPr>
      </w:pPr>
      <w:r>
        <w:rPr>
          <w:rFonts w:ascii="Arial" w:cs="Arial" w:eastAsia="Arial" w:hAnsi="Arial"/>
          <w:sz w:val="18"/>
          <w:szCs w:val="18"/>
          <w:color w:val="auto"/>
        </w:rPr>
        <w:t>We recognize revenue when a customer obtains control of the promised products or services, in an amount that reflects the consideration which we expect to receive in exchange for those products or services. Revenue is recognized net of allowances for returns and price concessions, and any taxes collected from customers, which are subsequently remitted to governmental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right="59" w:firstLine="324"/>
        <w:spacing w:after="0" w:line="255" w:lineRule="auto"/>
        <w:rPr>
          <w:sz w:val="20"/>
          <w:szCs w:val="20"/>
          <w:color w:val="auto"/>
        </w:rPr>
      </w:pPr>
      <w:r>
        <w:rPr>
          <w:rFonts w:ascii="Arial" w:cs="Arial" w:eastAsia="Arial" w:hAnsi="Arial"/>
          <w:sz w:val="18"/>
          <w:szCs w:val="18"/>
          <w:color w:val="auto"/>
        </w:rPr>
        <w:t>Our revenue is derived from the sale of MRAM-based products in discrete unit form, licenses of and royalties on our MRAM and magnetic sensor technology, the sale of backend foundry services, and design services to third parties. Sales of products in discrete unit form are recognized at a point in time, revenue related to licensing agreements is recognized when we have delivered control of the technology, revenue related to royalty agreements is recognized in the period in which sales generated from products sold using our technology occurs, and sales of backend foundry services are recognized over time, and design services to third parties are recognized either at a point in time or over time, depending on the nature of the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right="159" w:firstLine="324"/>
        <w:spacing w:after="0" w:line="259" w:lineRule="auto"/>
        <w:rPr>
          <w:sz w:val="20"/>
          <w:szCs w:val="20"/>
          <w:color w:val="auto"/>
        </w:rPr>
      </w:pPr>
      <w:r>
        <w:rPr>
          <w:rFonts w:ascii="Arial" w:cs="Arial" w:eastAsia="Arial" w:hAnsi="Arial"/>
          <w:sz w:val="18"/>
          <w:szCs w:val="18"/>
          <w:color w:val="auto"/>
        </w:rPr>
        <w:t>For products sold in their discrete form, we either sell our products directly to OEMs, original design manufacturers (ODMs), contract manufacturers (CMs), or through a network of distributors, who in turn sell to those customers. For sales directly to OEMs, ODMs and CMs, revenue is recognized when the OEM, ODM or CM obtains control of the product, which occurs at a point in time, generally upon shipment to the customer.</w:t>
      </w:r>
    </w:p>
    <w:p>
      <w:pPr>
        <w:spacing w:after="0" w:line="187" w:lineRule="exact"/>
        <w:rPr>
          <w:sz w:val="20"/>
          <w:szCs w:val="20"/>
          <w:color w:val="auto"/>
        </w:rPr>
      </w:pPr>
    </w:p>
    <w:p>
      <w:pPr>
        <w:ind w:right="79" w:firstLine="324"/>
        <w:spacing w:after="0" w:line="268" w:lineRule="auto"/>
        <w:rPr>
          <w:sz w:val="20"/>
          <w:szCs w:val="20"/>
          <w:color w:val="auto"/>
        </w:rPr>
      </w:pPr>
      <w:r>
        <w:rPr>
          <w:rFonts w:ascii="Arial" w:cs="Arial" w:eastAsia="Arial" w:hAnsi="Arial"/>
          <w:sz w:val="17"/>
          <w:szCs w:val="17"/>
          <w:color w:val="auto"/>
        </w:rPr>
        <w:t>We sell a majority of our products to our distributors at a uniform list price. However, distributors may resell our products to end customers at a very broad range of individually negotiated price points. Distributors are provided with price concessions subsequent to the delivery of product to them and such amounts are dependent on the end customer and product sales price. The price concessions are based on a variety of factors, including customer, product, quantity, geography and competitive differentiation. Price protection rights grant distributors the right to a credit in the event of declines in the price of our products. Under these circumstances, we remit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We estimate these credits and record such estimates in the same period the related revenue is recognized, resulting in a reduction of product revenue and the establishment of an allowance for price concessions for amounts due to distributors. We estimate credits to distributors based on the historical rate of credits provided to distributors relative to sales. Revenue on shipments to distributors is recorded when control of the products has been transferred to the distributor.</w:t>
      </w:r>
    </w:p>
    <w:p>
      <w:pPr>
        <w:spacing w:after="0" w:line="188" w:lineRule="exact"/>
        <w:rPr>
          <w:sz w:val="20"/>
          <w:szCs w:val="20"/>
          <w:color w:val="auto"/>
        </w:rPr>
      </w:pPr>
    </w:p>
    <w:p>
      <w:pPr>
        <w:ind w:right="199" w:firstLine="324"/>
        <w:spacing w:after="0" w:line="302" w:lineRule="auto"/>
        <w:rPr>
          <w:sz w:val="20"/>
          <w:szCs w:val="20"/>
          <w:color w:val="auto"/>
        </w:rPr>
      </w:pPr>
      <w:r>
        <w:rPr>
          <w:rFonts w:ascii="Arial" w:cs="Arial" w:eastAsia="Arial" w:hAnsi="Arial"/>
          <w:sz w:val="16"/>
          <w:szCs w:val="16"/>
          <w:color w:val="auto"/>
        </w:rPr>
        <w:t>We estimate the amount of our product sales that may be returned by our customers and record this estimate as a reduction of revenue in the period the related product revenue is recognized. We estimate our product return liability by analyzing our historical returns, current economic trends and changes in customer demand and acceptance of products. We have received insignificant returns to date and believe that returns of our products will continue to be minimal.</w:t>
      </w:r>
    </w:p>
    <w:p>
      <w:pPr>
        <w:spacing w:after="0" w:line="154" w:lineRule="exact"/>
        <w:rPr>
          <w:sz w:val="20"/>
          <w:szCs w:val="20"/>
          <w:color w:val="auto"/>
        </w:rPr>
      </w:pPr>
    </w:p>
    <w:p>
      <w:pPr>
        <w:jc w:val="both"/>
        <w:ind w:right="79" w:firstLine="324"/>
        <w:spacing w:after="0" w:line="312" w:lineRule="auto"/>
        <w:rPr>
          <w:sz w:val="20"/>
          <w:szCs w:val="20"/>
          <w:color w:val="auto"/>
        </w:rPr>
      </w:pPr>
      <w:r>
        <w:rPr>
          <w:rFonts w:ascii="Arial" w:cs="Arial" w:eastAsia="Arial" w:hAnsi="Arial"/>
          <w:sz w:val="16"/>
          <w:szCs w:val="16"/>
          <w:color w:val="auto"/>
        </w:rPr>
        <w:t>At the time of shipment to distributors, we record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 of operations.</w:t>
      </w: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licenses of technology, recognition of revenue is dependent upon whether we have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us of one or more of the following: non-refundable upfront fees; and royalties on net sales of licensed products. Historically, these license agreements have not included other future performance obligations once the license has been transferred to the customer.</w:t>
      </w:r>
    </w:p>
    <w:p>
      <w:pPr>
        <w:spacing w:after="0" w:line="1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transaction price in each agreement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Revenue from non-refundable up-front payments is recognized when the license is transferred to the customer and the we have no other performance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Revenue from sales-based royalties from licenses of our technology is recognized at the later of when (1) the sale occurs or (2) the performance obligation to which some or all of the sales-based royalty has been allocated is satisfied (in whole or in part).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 certain revenue streams, we recognize revenue based on the pattern of transfer of the services. We use the input method of measuring costs incurred to date compared to total estimated costs to be incurred under the contract as this method most faithfully depicts its performance. We record an unbilled receivable (within accounts receivable, net) for the portion of the work that has been completed but not invoiced at the end of each reporting period</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Revenue from milestone payments must be estimated using either the expected value method or the most likely amount method. At the inception of each agreement that includes milestone payments, we evaluate whether the milestones are considered probable of being reached and estimate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we re-evaluate the probability or achievement of each such milestone and any related constraint, and if necessary, adjust our estimate of the overall transaction price. Any such adjustments are recorded on a cumulative catch-up basis, which would affect revenues and earnings in the period of adjustment.</w:t>
      </w:r>
    </w:p>
    <w:p>
      <w:pPr>
        <w:spacing w:after="0" w:line="19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There have been no other changes to our critical accounting policies and estimates described in the Annual Report on Form 10-K for the year ended December 31, 2017, filed with the Securities and Exchange Commission (SEC) on March 15, 2018, that have had a material impact on our condensed financial statements and related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40" w:firstLine="243"/>
        <w:spacing w:after="0" w:line="264" w:lineRule="auto"/>
        <w:rPr>
          <w:sz w:val="20"/>
          <w:szCs w:val="20"/>
          <w:color w:val="auto"/>
        </w:rPr>
      </w:pPr>
      <w:r>
        <w:rPr>
          <w:rFonts w:ascii="Arial" w:cs="Arial" w:eastAsia="Arial" w:hAnsi="Arial"/>
          <w:sz w:val="18"/>
          <w:szCs w:val="18"/>
          <w:color w:val="auto"/>
        </w:rPr>
        <w:t>We are exposed to market risks in the ordinary course of our business, including the effects of interest rate changes and foreign currency fluctuations. Information relating to quantitative and qualitative disclosures about these markets risks is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We are primarily exposed to interest rate risk from variable rate borrowings under our 2017 Credit Facility, and to a lesser extent, from our cash position. We do not enter into investments for trading or speculative purposes and have not used any derivative financial instruments to manage our interest rate risk exposure. We have not been exposed to, nor do we anticipate being exposed to, material risks due to changes in interest rates. A hypothetical 10% increase in our borrowing rates would not have a material impact on interest expense on our principal balances as of June 30, 2018 and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December 31, 2017. A hypothetical 10% change in interest rates would not have a material impact on interest income on our cash and cash equivalent balances as of June 30, 2018 and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Substantially all of our revenue is denominated in United States dollars. Our expenses are generally denominated in United States dollars; however, we do incur expenses in the currencies of our subcontracted manufacturing suppliers, which are located in Europe and in Asia.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financial statements.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not hedged exposures denominated in foreign currencies or used any other derivative financial instruments.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Although we transact the substantial majority of our business in U.S. dollars, future fluctuations in the value of the 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dollar may affect the competitiveness of our products and thus may impact our results of operations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have evaluated our disclosure controls and procedures (as defined in Rules 13a-15(e) and 15d-15(e) under the Securities Exchange Act of 1934, as amended) prior to the filing of this quarterly report. Based on that evaluation, our Chief Executive Officer and our Chief Financial Officer have concluded that, as of the end of the period covered by this quarterly report, our disclosure controls and procedures were effective at the reasonable assurance level.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June 30, 2018,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also may impair our business operations. If any of the following risks or such other risks actually occurs, our business could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have incurred net losses since our inception. We incurred net losses of $21.1 million and $7.9 million for the year ended December 31, 2017 and the six months ended June 30, 2018, respectively. As of June 30, 2018, we had an accumulated deficit of $124.1 million. We expect to incur significant expenses related to the continued development and expansion of our business, including in connection with our efforts to develop and improve upon our products and technology, maintain and enhance our research and development and sales and marketing activities and hire additional personnel. While our products offer unique benefits over other industry memory technologies, our per-bit cost to product our product is currently higher than competing technologies. As a result, our ability to capture market share and generate sufficient revenue to transition to profitability and generate consistent positive cash flows is uncertain. We do not know whether our revenue will grow rapidly enough to absorb these costs, and our limited operating history makes it difficult to assess the extent of these expenses, or their impact on our results of operations.</w:t>
      </w:r>
    </w:p>
    <w:p>
      <w:pPr>
        <w:spacing w:after="0" w:line="178" w:lineRule="exact"/>
        <w:rPr>
          <w:sz w:val="20"/>
          <w:szCs w:val="20"/>
          <w:color w:val="auto"/>
        </w:rPr>
      </w:pPr>
    </w:p>
    <w:p>
      <w:pPr>
        <w:jc w:val="both"/>
        <w:ind w:right="140" w:firstLine="324"/>
        <w:spacing w:after="0" w:line="257" w:lineRule="auto"/>
        <w:rPr>
          <w:sz w:val="20"/>
          <w:szCs w:val="20"/>
          <w:color w:val="auto"/>
        </w:rPr>
      </w:pPr>
      <w:r>
        <w:rPr>
          <w:rFonts w:ascii="Arial" w:cs="Arial" w:eastAsia="Arial" w:hAnsi="Arial"/>
          <w:sz w:val="18"/>
          <w:szCs w:val="18"/>
          <w:color w:val="auto"/>
        </w:rPr>
        <w:t>Further, our revenue may not increase or may decline for a number of possible reasons, many of which are outside our control, including a decline in demand for our products, increased competition, business conditions that adversely affect the semiconductor memory industry, including reduced demand for products in the end markets that we serve, or our failure to capitalize on growth opportunities. If we fail to generate sufficient revenue to support our operations, we may not be able to achieve or sustain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22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have been in existence as a stand-alone company since 2008, when Freescale Semiconductor, Inc. (subsequently acquired by NXP Semiconductor) spun-out its MRAM business as Everspin. We have been shipping magnetoresistive random access memory (MRAM) products since our incorporation in 2008, and we have experienced a high rate of growth for our products. However, we may not be able to sustain the growth rate for sales of these products and our revenue could decline. We are just starting the manufacture of Spin Transfer Torque MRAM (STT-MRAM) products. Adoption of these products is important to the future growth of our business, but revenue associated with these products has not been material to date.</w:t>
      </w:r>
    </w:p>
    <w:p>
      <w:pPr>
        <w:spacing w:after="0" w:line="18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limited operating history and limited experience selling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and transportation, and enterprise storage industries and changes in macroeconomic conditions. If we do not manage these risks and overcome these difficulties successfully, our business will suffer.</w:t>
      </w:r>
    </w:p>
    <w:p>
      <w:pPr>
        <w:spacing w:after="0" w:line="130"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81" w:lineRule="exact"/>
        <w:rPr>
          <w:sz w:val="20"/>
          <w:szCs w:val="20"/>
          <w:color w:val="auto"/>
        </w:rPr>
      </w:pPr>
    </w:p>
    <w:p>
      <w:pPr>
        <w:ind w:right="80" w:firstLine="401"/>
        <w:spacing w:after="0" w:line="270" w:lineRule="auto"/>
        <w:rPr>
          <w:sz w:val="20"/>
          <w:szCs w:val="20"/>
          <w:color w:val="auto"/>
        </w:rPr>
      </w:pPr>
      <w:r>
        <w:rPr>
          <w:rFonts w:ascii="Arial" w:cs="Arial" w:eastAsia="Arial" w:hAnsi="Arial"/>
          <w:sz w:val="17"/>
          <w:szCs w:val="17"/>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Singapore Pte. Ltd.,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fund our business, which may not be available to us on favorable terms or at all.</w:t>
      </w:r>
    </w:p>
    <w:p>
      <w:pPr>
        <w:spacing w:after="0" w:line="248" w:lineRule="exact"/>
        <w:rPr>
          <w:sz w:val="20"/>
          <w:szCs w:val="20"/>
          <w:color w:val="auto"/>
        </w:rPr>
      </w:pPr>
    </w:p>
    <w:p>
      <w:pPr>
        <w:ind w:right="100" w:firstLine="401"/>
        <w:spacing w:after="0" w:line="271" w:lineRule="auto"/>
        <w:rPr>
          <w:sz w:val="20"/>
          <w:szCs w:val="20"/>
          <w:color w:val="auto"/>
        </w:rPr>
      </w:pPr>
      <w:r>
        <w:rPr>
          <w:rFonts w:ascii="Arial" w:cs="Arial" w:eastAsia="Arial" w:hAnsi="Arial"/>
          <w:sz w:val="17"/>
          <w:szCs w:val="17"/>
          <w:color w:val="auto"/>
        </w:rPr>
        <w:t>We believe that our existing cash and cash equivalents as of June 30, 2018, coupled with our anticipated growth and sales levels will be sufficient to meet our anticipated cash requirements for at least the next 12 months.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We may be required to seek additional equity or debt financing, and we cannot assure you that any such additional financing will be available to us on acceptable terms or at all. If we are unable to raise additional capital or generate sufficient cash from operations to adequately fund our operations, we will need to curtail planned activities to reduce costs. Doing so will likely harm our ability to execute on our business plan.</w:t>
      </w:r>
    </w:p>
    <w:p>
      <w:pPr>
        <w:spacing w:after="0" w:line="179" w:lineRule="exact"/>
        <w:rPr>
          <w:sz w:val="20"/>
          <w:szCs w:val="20"/>
          <w:color w:val="auto"/>
        </w:rPr>
      </w:pPr>
    </w:p>
    <w:p>
      <w:pPr>
        <w:ind w:right="40" w:firstLine="401"/>
        <w:spacing w:after="0" w:line="297" w:lineRule="auto"/>
        <w:rPr>
          <w:sz w:val="20"/>
          <w:szCs w:val="20"/>
          <w:color w:val="auto"/>
        </w:rPr>
      </w:pPr>
      <w:r>
        <w:rPr>
          <w:rFonts w:ascii="Arial" w:cs="Arial" w:eastAsia="Arial" w:hAnsi="Arial"/>
          <w:sz w:val="16"/>
          <w:szCs w:val="16"/>
          <w:color w:val="auto"/>
        </w:rPr>
        <w:t>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58"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firstLine="401"/>
        <w:spacing w:after="0" w:line="286" w:lineRule="auto"/>
        <w:rPr>
          <w:sz w:val="20"/>
          <w:szCs w:val="20"/>
          <w:color w:val="auto"/>
        </w:rPr>
      </w:pPr>
      <w:r>
        <w:rPr>
          <w:rFonts w:ascii="Arial" w:cs="Arial" w:eastAsia="Arial" w:hAnsi="Arial"/>
          <w:sz w:val="16"/>
          <w:szCs w:val="16"/>
          <w:color w:val="auto"/>
        </w:rPr>
        <w:t>We expect that our new and future MRAM products will be applicable to markets in which we are not currently operating. Selling into such new markets, could put us into direct competition with our current or potential customers or other competitors with substantially more resources and experience than us.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75"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84" w:lineRule="exact"/>
        <w:rPr>
          <w:sz w:val="20"/>
          <w:szCs w:val="20"/>
          <w:color w:val="auto"/>
        </w:rPr>
      </w:pPr>
    </w:p>
    <w:p>
      <w:pPr>
        <w:ind w:left="580" w:right="120"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capacity and materials shortages during periods of high demand;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control over delivery schedules, inventories and quality;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misappropriation of our intellectual property;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exclusive representatives for certain customer engagements;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limited warranties on wafers or products supplied to us;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potential increases in prices.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currently do not have long-term supply contracts with our third-party contract manufacturers for our MRAM products, including NXP, United Microelectronics Corporation, Taiwan Semiconductor Manufacturing Company, Limited (TSMC), United Test and Assembly Center (UTAC), Global Testing Corporation (GTC), ChipMos, OSE Taiwan, and Amkor, and we typically negotiate pricing on a per-purchase order basis and in some cases on an annual basis. Therefore, they are not obligated to perform services or supply components to us for any specific period, in any specific quantities, or at any specific price, except as may be provided in a particular purchase order. During periods of high demand and tight inventories, our third-party foundries and packaging, assembly and testing contractors may allocate capacity to the production of other companies’ products while reducing deliveries to us, or significantly raise their prices. In particular, they may allocate capacity to other customers that are larger and better financed than us or that have long-term agreements, decreasing the capacity available to us. Shortages of capacity available to us may be caused by the actions of their other, large customers that may be difficult to predict, such as major product launches.</w:t>
      </w:r>
    </w:p>
    <w:p>
      <w:pPr>
        <w:spacing w:after="0" w:line="18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6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85" w:lineRule="exact"/>
        <w:rPr>
          <w:sz w:val="20"/>
          <w:szCs w:val="20"/>
          <w:color w:val="auto"/>
        </w:rPr>
      </w:pPr>
    </w:p>
    <w:p>
      <w:pPr>
        <w:ind w:left="580" w:right="100"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in transferring technology to a foundry;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control over the operations of foundries is limited;</w:t>
      </w:r>
    </w:p>
    <w:p>
      <w:pPr>
        <w:spacing w:after="0" w:line="225" w:lineRule="exact"/>
        <w:rPr>
          <w:sz w:val="20"/>
          <w:szCs w:val="20"/>
          <w:color w:val="auto"/>
        </w:rPr>
      </w:pPr>
    </w:p>
    <w:p>
      <w:pPr>
        <w:ind w:left="580" w:right="40" w:firstLine="29"/>
        <w:spacing w:after="0" w:line="277" w:lineRule="auto"/>
        <w:rPr>
          <w:sz w:val="20"/>
          <w:szCs w:val="20"/>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sz w:val="20"/>
          <w:szCs w:val="20"/>
          <w:color w:val="auto"/>
        </w:rPr>
      </w:pPr>
    </w:p>
    <w:p>
      <w:pPr>
        <w:ind w:left="580" w:right="100" w:firstLine="29"/>
        <w:spacing w:after="0" w:line="277" w:lineRule="auto"/>
        <w:rPr>
          <w:sz w:val="20"/>
          <w:szCs w:val="20"/>
          <w:color w:val="auto"/>
        </w:rPr>
      </w:pPr>
      <w:r>
        <w:rPr>
          <w:rFonts w:ascii="Arial" w:cs="Arial" w:eastAsia="Arial" w:hAnsi="Arial"/>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cash flows may be inadequate to fund increased capital requirements;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terms of our arrangements may turn out to be unfavorable;</w:t>
      </w:r>
    </w:p>
    <w:p>
      <w:pPr>
        <w:spacing w:after="0" w:line="225" w:lineRule="exact"/>
        <w:rPr>
          <w:sz w:val="20"/>
          <w:szCs w:val="20"/>
          <w:color w:val="auto"/>
        </w:rPr>
      </w:pPr>
    </w:p>
    <w:p>
      <w:pPr>
        <w:ind w:left="580" w:right="140" w:firstLine="29"/>
        <w:spacing w:after="0" w:line="277" w:lineRule="auto"/>
        <w:rPr>
          <w:sz w:val="20"/>
          <w:szCs w:val="20"/>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under the terms of our joint development agreement with GLOBALFOUNDRIES, we are responsible for half of the costs incurred by GLOBALFOUNDRIES, and we are not able to control the expenses incurred by GLOBALFOUNDRIES. If GLOBALFOUNDRIES were to incur expenses greater than we expect, our expenses would increase by more than we expect. Further, GLOBALFOUNDRIES may terminate the joint development agreement with us if we materially breach a term of the agreement, such as, but not limited to, by our failing to pay any undisputed sum which has been outstanding for 45 or more days from the date of invoice, and fail to remedy the breach within 60 days after receiving notice from GLOBALFOUNDRIES. If GLOBALFOUNDRIES terminates the joint development agreement, our ability to continue to develop our MRAM technology will be significantly impaired.</w:t>
      </w:r>
    </w:p>
    <w:p>
      <w:pPr>
        <w:spacing w:after="0" w:line="17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8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serious financial difficulties or cease operations, our business will be adversely affected. In addition, the adverse impact of an unfavorable economy may adversely impact customer spending, which may adversely impact demand for our products.</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However, as it is taking us longer than we expected to develop our 1Gb STT-MRAM product, we may not succeed in developing and marketing this and other new and enhanced products.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we generated limited revenue from sales of our STT-MRAM products to date. While we expect revenue from our STT-MRAM products to increase, if we are unable to generate more customer adoption of our 256Mb product and scale MRAM to gigabit densities to address applications currently served by DRAM,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sell to customers that incorporate MRAM into their products. A design win occurs after a customer has tested our product, verified that it meets the customer’s requirements and qualified our solutions for their products. We believe we are dependent on the adoption of our 256Mb and 1Gb MRAM products by our customers to secure design wins. In the fourth quarter of 2017, we recorded revenue for our first sale of 40nm 256Mb STT-MRAM products and we are in process of ramping up production in 2018. To date we have not sold any of our 1Gb MRAM products.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 Any further delay in the development of our 1Gb MRAM products, or failure of our customers to adopt our 256Mb and 1Gb MRAM products, could inhibit revenue growth or cause declines, which would significantly harm our business and prevent us from becoming profitable.</w:t>
      </w:r>
    </w:p>
    <w:p>
      <w:pPr>
        <w:spacing w:after="0" w:line="17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rely on our relationships with OEMs and original design manufacturers (ODMs) to enhance our solutions and market position, and our failure to continue to develop or maintain such relationships in the future would harm our ability to remain competitive.</w:t>
      </w:r>
    </w:p>
    <w:p>
      <w:pPr>
        <w:spacing w:after="0" w:line="181" w:lineRule="exact"/>
        <w:rPr>
          <w:sz w:val="20"/>
          <w:szCs w:val="20"/>
          <w:color w:val="auto"/>
        </w:rPr>
      </w:pPr>
    </w:p>
    <w:p>
      <w:pPr>
        <w:jc w:val="both"/>
        <w:ind w:right="220" w:firstLine="324"/>
        <w:spacing w:after="0" w:line="288" w:lineRule="auto"/>
        <w:rPr>
          <w:sz w:val="20"/>
          <w:szCs w:val="20"/>
          <w:color w:val="auto"/>
        </w:rPr>
      </w:pPr>
      <w:r>
        <w:rPr>
          <w:rFonts w:ascii="Arial" w:cs="Arial" w:eastAsia="Arial" w:hAnsi="Arial"/>
          <w:sz w:val="16"/>
          <w:szCs w:val="16"/>
          <w:color w:val="auto"/>
        </w:rPr>
        <w:t>We develop our products for leading OEMs and ODMs that serve a variety of end markets and are developing devices for automotive, transportation, industrial and storage applications. For each application, manufacturers create products that incorporate specialized semiconductor technology, which makers of memory products use as the basis for their products.</w:t>
      </w:r>
    </w:p>
    <w:p>
      <w:pPr>
        <w:ind w:right="120"/>
        <w:spacing w:after="0" w:line="286" w:lineRule="auto"/>
        <w:rPr>
          <w:sz w:val="20"/>
          <w:szCs w:val="20"/>
          <w:color w:val="auto"/>
        </w:rPr>
      </w:pPr>
      <w:r>
        <w:rPr>
          <w:rFonts w:ascii="Arial" w:cs="Arial" w:eastAsia="Arial" w:hAnsi="Arial"/>
          <w:sz w:val="16"/>
          <w:szCs w:val="16"/>
          <w:color w:val="auto"/>
        </w:rPr>
        <w:t>These manufacturers set the specifications for many of the key components to be used on each generation of their products and, in the case of memory components, generally qualify only a few vendors to provide memory components for their products. As each new generation of their products is released, vendors are validated in a similar fashion. We must work closely with OEMs and ODMs to ensure our products become qualified for use in their products. As a result, maintaining close relationships with leading OEMs and ODMs that are developing devices for automotive, transportation, industrial and storage applications is crucial to the long-term success of our business. We could lose these relationships for a variety of reasons, including our failure to qualify as a vendor, our failure to demonstrate the value of our new solutions, declines in product quality, or if OEMs or ODMs seek to work with vendors with broader product suites, greater production capacity or greater financial resources. If our relationships with key industry participants were to deteriorate or if our solutions were not qualified by our customers, our market position and revenue could be materially and adversely affected.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41% of our total revenue for the six months ended June 30, 2018, and two of these customers accounted for more than 10% of our revenue during the period. Our four largest end customers together accounted for 28% of our total revenue for the year ended December 31, 2017, but none of these customers individually accounted for more than 10% of our total revenue during the period. The loss of a significant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can fluctuate from period to period, which could cause our share price to fluctuate.</w:t>
      </w:r>
    </w:p>
    <w:p>
      <w:pPr>
        <w:spacing w:after="0" w:line="23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receipt, reduction, delay or cancellation of orders by large customers;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gain or loss of significant customers or distributors;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and success of our launch of new or enhanced products and those of our competitors;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market acceptance of our products and our customers’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level of growth or decline in the industrial, automotive and transportation, enterprise storage and other markets;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and extent of research and development and sales and marketing expenditures;</w:t>
      </w:r>
    </w:p>
    <w:p>
      <w:pPr>
        <w:spacing w:after="0" w:line="225" w:lineRule="exact"/>
        <w:rPr>
          <w:sz w:val="20"/>
          <w:szCs w:val="20"/>
          <w:color w:val="auto"/>
        </w:rPr>
      </w:pPr>
    </w:p>
    <w:p>
      <w:pPr>
        <w:ind w:left="580" w:right="220" w:firstLine="29"/>
        <w:spacing w:after="0" w:line="277" w:lineRule="auto"/>
        <w:rPr>
          <w:sz w:val="20"/>
          <w:szCs w:val="20"/>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our product mix;</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reduce the manufacturing costs of our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competitive pressures resulting in lower than expected average selling prices;</w:t>
      </w:r>
    </w:p>
    <w:p>
      <w:pPr>
        <w:spacing w:after="0" w:line="225" w:lineRule="exact"/>
        <w:rPr>
          <w:sz w:val="20"/>
          <w:szCs w:val="20"/>
          <w:color w:val="auto"/>
        </w:rPr>
      </w:pPr>
    </w:p>
    <w:p>
      <w:pPr>
        <w:ind w:left="580" w:right="400" w:firstLine="29"/>
        <w:spacing w:after="0" w:line="277" w:lineRule="auto"/>
        <w:rPr>
          <w:sz w:val="20"/>
          <w:szCs w:val="20"/>
          <w:color w:val="auto"/>
        </w:rPr>
      </w:pPr>
      <w:r>
        <w:rPr>
          <w:rFonts w:ascii="Arial" w:cs="Arial" w:eastAsia="Arial" w:hAnsi="Arial"/>
          <w:sz w:val="18"/>
          <w:szCs w:val="18"/>
          <w:color w:val="auto"/>
        </w:rPr>
        <w:t>fluctuations in sales by and inventory levels of OEMs and ODMs that incorporate our memory products in their products;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cyclical and seasonal fluctuations in our markets;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fluctuations in the manufacturing yields of our third-party manufacturers;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quality issues that arise from manufacturing issues at our third-party manufacturers;</w:t>
      </w:r>
    </w:p>
    <w:p>
      <w:pPr>
        <w:spacing w:after="0" w:line="225" w:lineRule="exact"/>
        <w:rPr>
          <w:sz w:val="20"/>
          <w:szCs w:val="20"/>
          <w:color w:val="auto"/>
        </w:rPr>
      </w:pPr>
    </w:p>
    <w:p>
      <w:pPr>
        <w:ind w:left="580" w:right="120" w:firstLine="29"/>
        <w:spacing w:after="0" w:line="264" w:lineRule="auto"/>
        <w:rPr>
          <w:sz w:val="20"/>
          <w:szCs w:val="20"/>
          <w:color w:val="auto"/>
        </w:rPr>
      </w:pPr>
      <w:r>
        <w:rPr>
          <w:rFonts w:ascii="Arial" w:cs="Arial" w:eastAsia="Arial" w:hAnsi="Arial"/>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supply constraints for and changes in the cost of the other components incorporated into our customers’ products;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of expenses related to the acquisition of technologies or businesses;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 rates of return or price concessions in excess of those expected or forecasted;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costs associated with the repair and replacement of defective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unexpected inventory write-downs or write-offs;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costs associated with litigation over intellectual property rights and other litigation;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changes in accounting standards, such as revenue recognition, which we were required to adopt beginning in 2018;</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tax laws, such as the Tax Cuts and Jobs Act of 2017 recently enacted;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length and unpredictability of the purchasing and budgeting cycles of our customers;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key personnel or the inability to attract qualified engineers;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geopolitical events, such as war, threat of war or terrorist actions, or the occurrence of natural disasters.</w:t>
      </w:r>
    </w:p>
    <w:p>
      <w:pPr>
        <w:spacing w:after="0" w:line="22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semiconductor memory industry is highly cyclical and our markets may experience significant cyclical fluctuations in demand as a result of changing economic conditions, budgeting and buying patterns of customers and other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sales of our customers’ products decline or if their products do not achieve market acceptance, our business and operating results could be adversely affected.</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revenue depends on our customers’ ability to commercialize their products successfully. The markets for our customers’ products are extremely competitive and are characterized by rapid technological change. Competition in our customers’ markets is based on a variety of factors including price, performance, product quality, marketing and distribution capability, customer support, name recognition and financial strength. As a result of rapid technological change, the markets for our customers’ products are characterized by frequent product introductions, short product life cycles, fluctuating demand and increasing product capabilities. As a result, our customers’ products may not achieve market success or may become obsolete. We cannot assure you that our customers will dedicate the resources necessary to promote and commercialize their products, successfully execute their business strategies for such products, or be able to manufacture such products in quantities sufficient to meet demand or cost-effectively manufacture products at a high volume. Our customers do not have contracts with us that require them to manufacture, distribute or sell any products. Moreover, our customers may develop internally, or in collaboration with our competitors, technology that they may utilize instead of the technology available to them through us. Our customers’ failure to achieve market success for their products, including as a result of general declines in our customers’ markets or industries, could negatively affect their willingness to utilize our products, which may result in a decrease in our revenue and negatively affect our business and operating results.</w:t>
      </w:r>
    </w:p>
    <w:p>
      <w:pPr>
        <w:spacing w:after="0" w:line="17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revenue also depends on the timely introduction, quality and market acceptance of our customers’ products that incorporate our solutions. Our customers’ products are often very complex and subject to design complexities that may result in design flaws, as well as potential defects, errors and bugs. We incur significant design and development costs in connection with designing our solutions for customers’ products. If our customers discover design flaws, defects, errors or bugs in their products, or if they experience changing market requirements, failed evaluations or field trials, or issues with other vendors, they may delay, change or cancel a project. If we have already incurred significant development costs, we may not be able to recoup those costs, which in turn would adversely affect our business and financial results.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range of traditional memory technologies to companies specializing in other alternative, specialized emerging memory technologies. Our primary memory competitors include Cypress, Fujitsu, Integrated Silicon Solution, Macronix, Microchip, Micron, Renesas, Samsung, and Toshiba. The main competition for sensor products includes AMR, Crocus, GMR and Hall Effect. These technologies directly compete with our products and are supplied by ALPS Electric, Asahi Kasei Microdevices, Fairchild, Invensys (now Schneider), Kionix and Micronas. In addition, as the MRAM market opportunity grows, we expect new entrants such as Avalanche Technologies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relationships with our customers and other industry participants;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prices of our products and prices of our competitors’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develop innovative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competitors’ greater resources to make acquisitions;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obtain adequate capital to finance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sz w:val="20"/>
          <w:szCs w:val="20"/>
          <w:color w:val="auto"/>
        </w:rPr>
      </w:pPr>
    </w:p>
    <w:p>
      <w:pPr>
        <w:ind w:left="580" w:right="60" w:firstLine="29"/>
        <w:spacing w:after="0" w:line="277" w:lineRule="auto"/>
        <w:rPr>
          <w:sz w:val="20"/>
          <w:szCs w:val="20"/>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customers require our products and our third-party contractors to undergo a lengthy and expensive qualification process. If we are unsuccessful or delayed in qualifying any of our products with a customer, our business and operating results would suffer.</w:t>
      </w:r>
    </w:p>
    <w:p>
      <w:pPr>
        <w:spacing w:after="0" w:line="18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Prior to selecting and purchasing our products, our customers typically require that our products undergo extensive qualification processes, which involve testing of our products in the customers’ systems, as well as testing for reliability. This qualification process may continue for several months or years. However, obtaining the requisite qualifications for a memory product does not assure any sales of the product. Even after successful qualification and sales of a product to a customer, a subsequent revision in our third-party contractors’ manufacturing process or our selection of a new contract manufacturer may require a new qualification process, which may result in delays and excess or obsolete inventory. After our products are qualified and selected, it can and often does take several months or years before the customer commences volume production of systems that incorporate our products. Despite these uncertainties, we devote substantial resources, including design, engineering, sales, marketing and management efforts, to qualify our products with customers in anticipation of sales. If we are unsuccessful or delayed in qualifying any of our products with a customer, sales of those products may be precluded or delayed, which may impede our growth and harm our business.</w:t>
      </w:r>
    </w:p>
    <w:p>
      <w:pPr>
        <w:spacing w:after="0" w:line="1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fabrication process is extremely complicated and small changes in design, specifications or materials can result in material decreases in product yields or even the suspension of production. From time to time, we and/or the third-party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8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In addition to significantly harming our results of operations and cash flow, poor yields may delay shipment of our products and harm our relationships with existing and potential customers.</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you that problems will not be found in new products, both before and after commencement of commercial production, despite testing by us, our suppliers or our customers. Any such problems could result in:</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delays in development, manufacture and roll-out of new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additional development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or delays in, market acceptance;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diversion of technical and other resources from our other development efforts;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claims for damages by our customers or others against us;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you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implement transitions, we could experience reduced manufacturing yields, delays in product deliveries and increased expenses, any of which could harm our relationships with our customers and our operating results.</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smaller line width geometry manufacturing processes become more prevalent, we intend to move our future products to increasingly smaller geometries to integrate greater levels of storage capacity and/or functionality into our products. This transition will require us and our third-party foundries to migrate to new designs and manufacturing 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increase product value. We are dependent on our relationships with our third-party foundries to transition to smaller geometry processes successfully. We cannot assure you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you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substantial damages for infringement;</w:t>
      </w:r>
    </w:p>
    <w:p>
      <w:pPr>
        <w:spacing w:after="0" w:line="225" w:lineRule="exact"/>
        <w:rPr>
          <w:sz w:val="20"/>
          <w:szCs w:val="20"/>
          <w:color w:val="auto"/>
        </w:rPr>
      </w:pPr>
    </w:p>
    <w:p>
      <w:pPr>
        <w:ind w:left="580" w:right="640" w:firstLine="29"/>
        <w:spacing w:after="0" w:line="277" w:lineRule="auto"/>
        <w:rPr>
          <w:sz w:val="20"/>
          <w:szCs w:val="20"/>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sz w:val="20"/>
          <w:szCs w:val="20"/>
          <w:color w:val="auto"/>
        </w:rPr>
      </w:pPr>
    </w:p>
    <w:p>
      <w:pPr>
        <w:ind w:left="580" w:right="80" w:firstLine="29"/>
        <w:spacing w:after="0" w:line="277" w:lineRule="auto"/>
        <w:rPr>
          <w:sz w:val="20"/>
          <w:szCs w:val="20"/>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sz w:val="20"/>
          <w:szCs w:val="20"/>
          <w:color w:val="auto"/>
        </w:rPr>
      </w:pPr>
    </w:p>
    <w:p>
      <w:pPr>
        <w:ind w:left="580" w:right="300" w:firstLine="29"/>
        <w:spacing w:after="0" w:line="277" w:lineRule="auto"/>
        <w:rPr>
          <w:sz w:val="20"/>
          <w:szCs w:val="20"/>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sz w:val="20"/>
          <w:szCs w:val="20"/>
          <w:color w:val="auto"/>
        </w:rPr>
      </w:pPr>
    </w:p>
    <w:p>
      <w:pPr>
        <w:ind w:left="580" w:right="20" w:firstLine="29"/>
        <w:spacing w:after="0" w:line="277" w:lineRule="auto"/>
        <w:rPr>
          <w:sz w:val="20"/>
          <w:szCs w:val="20"/>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employees and although we issued refresh equity awards to our personnel in connection with our initial public offering, and repriced options in mid-December 2016 to reflect our then current stock price, there can be no assurance that these awards will be effective to retain our key employees.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18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we continue to expand our business, we expect our headcount and overall size of our operations to grow significantly. To effectively manage our growth, we must continue to expand our operational, engineering and financial systems, procedures and controls and to improve our accounting and other internal management systems, such as our new ERP system that we have recently implemented. This may require substantial managerial and financial resources, and our efforts in this regard may not be successful. Our current systems, procedures and controls may not be adequate to support our future operations. If we fail to adequately manage our growth, or to improve our operational, financial and management information systems, or fail to effectively motivate or manage our new and future employees, the quality of our products and the management of our operations could suffer, which could adversely affect our operating results.</w:t>
      </w:r>
    </w:p>
    <w:p>
      <w:pPr>
        <w:spacing w:after="0" w:line="166" w:lineRule="exact"/>
        <w:rPr>
          <w:sz w:val="20"/>
          <w:szCs w:val="20"/>
          <w:color w:val="auto"/>
        </w:rPr>
      </w:pPr>
    </w:p>
    <w:p>
      <w:pPr>
        <w:ind w:right="520"/>
        <w:spacing w:after="0" w:line="381" w:lineRule="auto"/>
        <w:rPr>
          <w:sz w:val="20"/>
          <w:szCs w:val="20"/>
          <w:color w:val="auto"/>
        </w:rPr>
      </w:pPr>
      <w:r>
        <w:rPr>
          <w:rFonts w:ascii="Arial" w:cs="Arial" w:eastAsia="Arial" w:hAnsi="Arial"/>
          <w:sz w:val="15"/>
          <w:szCs w:val="15"/>
          <w:b w:val="1"/>
          <w:bCs w:val="1"/>
          <w:i w:val="1"/>
          <w:iCs w:val="1"/>
          <w:color w:val="auto"/>
        </w:rPr>
        <w:t>We may engage in acquisitions of, or investments in, other companies, each of which may divert our management’s attention, result in additional dilution to stockholders or use resources that are necessary to operate our business.</w:t>
      </w:r>
    </w:p>
    <w:p>
      <w:pPr>
        <w:spacing w:after="0" w:line="10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may in the future seek to acquire or invest in businesses, products or technologies that we believe could complement or expand our business, enhance our technical capabilities or otherwise offer growth opportunities. However, our term loan and revolving credit facility prohibits our ability to merge with or acquire any other entity. Even if we were allowed to pursue such acquisitions or investments, they could create risks for us, including:</w:t>
      </w:r>
    </w:p>
    <w:p>
      <w:pPr>
        <w:spacing w:after="0" w:line="187" w:lineRule="exact"/>
        <w:rPr>
          <w:sz w:val="20"/>
          <w:szCs w:val="20"/>
          <w:color w:val="auto"/>
        </w:rPr>
      </w:pPr>
    </w:p>
    <w:p>
      <w:pPr>
        <w:ind w:left="580" w:right="300" w:firstLine="29"/>
        <w:spacing w:after="0" w:line="312" w:lineRule="auto"/>
        <w:rPr>
          <w:sz w:val="20"/>
          <w:szCs w:val="20"/>
          <w:color w:val="auto"/>
        </w:rPr>
      </w:pPr>
      <w:r>
        <w:rPr>
          <w:rFonts w:ascii="Arial" w:cs="Arial" w:eastAsia="Arial" w:hAnsi="Arial"/>
          <w:sz w:val="16"/>
          <w:szCs w:val="16"/>
          <w:color w:val="auto"/>
        </w:rPr>
        <w:t>difficulties in assimilating acquired personnel, operations and technologies or realizing synergies expected in connection with an acquisition, particularly with acquisitions of companies with large and widespread operations, complex products or that operate in markets in which we historically have had limited experience;</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unanticipated costs or liabilities, including possible litigation, associated with the acquisition;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incurrence of acquisition-related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diversion of management’s attention from other business concerns;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resources that are needed in other parts of our business;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substantial portions of our available cash to consummate an acquisition.</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A significant portion of the purchase price of companies we acquire may be allocated to acquired goodwill, which must be assessed for impairment at least annually. If such acquisitions do not yield expected returns, we may be required to take charges to our earnings based on this impairment assessment process, which could harm our results of operations.</w:t>
      </w:r>
    </w:p>
    <w:p>
      <w:pPr>
        <w:spacing w:after="0" w:line="14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be unable to complete acquisitions at all or on commercially reasonable terms, which could limit our future growth. Acquisitions could also result in dilutive issuances of equity securities or the incurrence of additional debt, which could adversely affect our operating results and result in a decline in our stock price and further restrict our ability to pursue business opportunities, including potential acquisitions. In addition, if an acquired business fails to meet our expectations, our operating results may suffer.</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maintain operations outside of the United States and intend to expand our international operations, which exposes us to significant risks.</w:t>
      </w:r>
    </w:p>
    <w:p>
      <w:pPr>
        <w:spacing w:after="0" w:line="17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have limited operations in Europe and Asia. We intend to expand our operations internationally. 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longer and more difficult customer qualification and credit checks;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greater difficulty collecting accounts receivable and longer payment cycles;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need for various local approvals to operate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compliance with local laws and regulations;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protection for intellectual property rights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sz w:val="20"/>
          <w:szCs w:val="20"/>
          <w:color w:val="auto"/>
        </w:rPr>
      </w:pPr>
    </w:p>
    <w:p>
      <w:pPr>
        <w:ind w:left="580" w:right="600" w:firstLine="29"/>
        <w:spacing w:after="0" w:line="277" w:lineRule="auto"/>
        <w:rPr>
          <w:sz w:val="20"/>
          <w:szCs w:val="20"/>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sz w:val="20"/>
          <w:szCs w:val="20"/>
          <w:color w:val="auto"/>
        </w:rPr>
      </w:pPr>
    </w:p>
    <w:p>
      <w:pPr>
        <w:ind w:left="580" w:right="220" w:firstLine="29"/>
        <w:spacing w:after="0" w:line="277" w:lineRule="auto"/>
        <w:rPr>
          <w:sz w:val="20"/>
          <w:szCs w:val="20"/>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sz w:val="20"/>
          <w:szCs w:val="20"/>
          <w:color w:val="auto"/>
        </w:rPr>
      </w:pPr>
    </w:p>
    <w:p>
      <w:pPr>
        <w:ind w:left="580" w:right="100" w:firstLine="29"/>
        <w:spacing w:after="0" w:line="259" w:lineRule="auto"/>
        <w:rPr>
          <w:sz w:val="20"/>
          <w:szCs w:val="20"/>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new and different sources of competition;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5"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0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Our term loan facility prohibits our ability to, among other things: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dispose of or sell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 or merge with other entities;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 additional indebtedness;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create liens on our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dividends;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make investments;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enter into transactions with affiliates;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These restrictions are subject to certain exceptions. In addition, our existing credit facility requires that we meet certain operating covenants, such as maintaining insurance on the collateral and meeting certain financial covenants, such as a minimum liquidity ratio. The operating restrictions and covenants in the term loan facility, as well as any future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credit facility, which could cause all of the outstanding indebtedness thereunder to either become immediately due and payable or increase by five percent of the interest rate charged during the period of the unremedied breach.</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2017, we had federal net operating loss carryforwards of approximately $100.1 million which will begin to expire in 2028 if not utilized, and state net operating loss carryforwards of approximately $39.3 million which will begin to expire in 2023 if not utilized. The federal NOLs generated prior to 2018 will continue to be governed by the NOL tax rules as they existed prior to the adoption of the new Tax Act, which means that generally they will expire 20 years after they were generated if not used prior thereto. The federal NOLs generated prior to 2018 will continue to be governed by the NOL tax rules as they existed prior to the adoption of the new Tax Act, which means that generally they will expire 20 years after they were generated if not used prior thereto.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 credits could also be impaired under state laws. As a result, we might not be able to utilize a material portion of our state NOLs and tax credits.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enacted tax reform bill could adversely affect our business and financial condition.</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December 22, 2017, President Trump signed into law the Tax Cuts and Jobs Act (2017 Tax Act), which significantly amends the Internal Revenue Code of 1986. The 2017 Tax Act, among other things, reduces the corporate tax rate from a top marginal rate of 35% to a flat rate of 21%, limits the tax deduction for interest expense to 30% of adjusted earnings, eliminates net operating loss carrybacks, imposes a one-time tax on offshore earnings at reduced rates regardless of whether they are repatriated, allows immediate deductions for certain new investments instead of deductions for depreciation expense over time, and modifies or repeals many business deductions and credits. The rate reduction took effect on January 1, 2018.</w:t>
      </w:r>
    </w:p>
    <w:p>
      <w:pPr>
        <w:spacing w:after="0" w:line="16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If we fail to retain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4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hired additional accounting and finance staff members to augment our current staff and to improve the effectiveness of our closing and financial reporting processes. Any inability to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demands of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6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As a result of being a public company, 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and interim financial statements will not be detected or prevented on a timely basis. In connection with the audit of our financial statements as of and for the years ended December 31, 2016 and 2015, we identified material weaknesses in our internal control over financial reporting, as defined in the standards established by the Public Company Accounting Oversight Board of the United States. Although we enhanced our internal controls, processes and related documentation necessary to remediate our material weakness and to perform the evaluation needed to comply with Section 404, and have concluded that we do not currently have any material weaknesses, there can be no assurances that we will not have any material weaknesses in the future.</w:t>
      </w:r>
    </w:p>
    <w:p>
      <w:pPr>
        <w:spacing w:after="0" w:line="1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auditors are unable to express an opinion on the effectiveness of our internal controls, we could lose investor confidence in the accuracy and completeness of our financial reports, which could cause the price of our common stock to decline.</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issuance of new accounting standards or future interpretations of existing accounting standards could adversely affect our operating results.</w:t>
      </w:r>
    </w:p>
    <w:p>
      <w:pPr>
        <w:spacing w:after="0" w:line="17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prepare our financial statements in accordance with accounting principles generally accepted in the United States of America, or GAAP. A change in those principles could have a significant effect on our reported results and might affect our reporting of transactions completed before a change is announced. GAAP is issued and subject to interpretation by the Financial Accounting Standards Board, the SEC and various other bodies formed to promulgate and interpret accounting principles. A change in these principles or interpretations could have a significant effect on our reported financial results, and could affect the reporting of transactions completed before the announcement of a change. For example, beginning with our first quarter of 2018, we will adopt the new revenue recognition standard, which will change the way we recognize revenue. We do not expect the adoption of the standard to have a material impact on our quarterly and/or annual statement of operations, however the exact impact will be dependent on facts and circumstances that could vary from quarter to quarter. The issuance of new accounting standards or future interpretations of existing accounting standards, or changes in our business practices or estimates, could result in future changes in our revenue recognition or other accounting policies that could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Pursuant to the Dodd-Frank Act, the SEC has adopted requirements for companies that use certain minerals and metals, known as conflict minerals, in their products, whether or not these products are manufactured by third parties. These requirements will require companies to perform diligence and disclose and report whether or not such minerals originate from the Democratic Republic of Congo and adjoining countries. The implementation of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will incur additional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be sustained.</w:t>
      </w:r>
    </w:p>
    <w:p>
      <w:pPr>
        <w:spacing w:after="0" w:line="225"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Prior to the initial public offering of our common stock in October 2016, there was no public market for our common stock. Although our stock is currently traded on the Nasdaq Stock Market, an active trading market may not be sustained. The lack of an active market may impair the value of your shares and your ability to sell your shares at the time you wish to sell them. An inactive market may also impair our ability to both raise capital by selling shares and acquire other complementary products, technologies or businesses by using our shares as consideration.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 liability claims or other litigation;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earnings estimates or recommendations by securities analysts; and</w:t>
      </w:r>
    </w:p>
    <w:p>
      <w:pPr>
        <w:spacing w:after="0" w:line="23" w:lineRule="exact"/>
        <w:rPr>
          <w:sz w:val="20"/>
          <w:szCs w:val="20"/>
          <w:color w:val="auto"/>
        </w:rPr>
      </w:pPr>
    </w:p>
    <w:p>
      <w:pPr>
        <w:ind w:left="580" w:right="700" w:firstLine="29"/>
        <w:spacing w:after="0" w:line="261" w:lineRule="auto"/>
        <w:rPr>
          <w:sz w:val="20"/>
          <w:szCs w:val="20"/>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8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71" w:lineRule="exact"/>
        <w:rPr>
          <w:sz w:val="20"/>
          <w:szCs w:val="20"/>
          <w:color w:val="auto"/>
        </w:rPr>
      </w:pPr>
    </w:p>
    <w:p>
      <w:pPr>
        <w:ind w:right="440"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7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trading market for our common stock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our company or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spacing w:after="0" w:line="19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4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66"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may remain an “emerging growth company” until as late as December 31, 2021, the fiscal year-end following the fifth anniversary of the completion of our initial public offering, though we may cease to be an “emerging growth company” earlier under certain circumstances, including (1) if the market value of our common stock that is held by nonaffiliates exceeds $700 million as of any June 30, in which case we would cease to be an “emerging growth company” as of the following December 31, or (2) if our gross revenue exceeds $1.07 billion in any fiscal year.</w:t>
      </w:r>
    </w:p>
    <w:p>
      <w:pPr>
        <w:spacing w:after="0" w:line="17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officers, directors and principal stockholders each holding more than 5% of our common stock, collectively, control a significant percentage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93"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5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2" w:lineRule="exact"/>
        <w:rPr>
          <w:sz w:val="20"/>
          <w:szCs w:val="20"/>
          <w:color w:val="auto"/>
        </w:rPr>
      </w:pPr>
    </w:p>
    <w:p>
      <w:pPr>
        <w:ind w:left="580" w:right="60" w:firstLine="29"/>
        <w:spacing w:after="0" w:line="264" w:lineRule="auto"/>
        <w:rPr>
          <w:sz w:val="20"/>
          <w:szCs w:val="20"/>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1" w:lineRule="exact"/>
        <w:rPr>
          <w:sz w:val="20"/>
          <w:szCs w:val="20"/>
          <w:color w:val="auto"/>
        </w:rPr>
      </w:pPr>
    </w:p>
    <w:p>
      <w:pPr>
        <w:ind w:left="580" w:right="80" w:firstLine="29"/>
        <w:spacing w:after="0" w:line="259" w:lineRule="auto"/>
        <w:rPr>
          <w:sz w:val="20"/>
          <w:szCs w:val="20"/>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187" w:lineRule="exact"/>
        <w:rPr>
          <w:sz w:val="20"/>
          <w:szCs w:val="20"/>
          <w:color w:val="auto"/>
        </w:rPr>
      </w:pPr>
    </w:p>
    <w:p>
      <w:pPr>
        <w:ind w:left="580" w:right="320" w:firstLine="29"/>
        <w:spacing w:after="0" w:line="277" w:lineRule="auto"/>
        <w:rPr>
          <w:sz w:val="20"/>
          <w:szCs w:val="20"/>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170" w:lineRule="exact"/>
        <w:rPr>
          <w:sz w:val="20"/>
          <w:szCs w:val="20"/>
          <w:color w:val="auto"/>
        </w:rPr>
      </w:pPr>
    </w:p>
    <w:p>
      <w:pPr>
        <w:ind w:left="580" w:right="80" w:firstLine="29"/>
        <w:spacing w:after="0" w:line="257" w:lineRule="auto"/>
        <w:rPr>
          <w:sz w:val="20"/>
          <w:szCs w:val="20"/>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removal of directors, special meetings, actions by written consent and cumulative voting and (b) to amend or repeal our bylaws, although our bylaws may be amended by a simple majority vote of our board of directors;</w:t>
      </w:r>
    </w:p>
    <w:p>
      <w:pPr>
        <w:spacing w:after="0" w:line="188" w:lineRule="exact"/>
        <w:rPr>
          <w:sz w:val="20"/>
          <w:szCs w:val="20"/>
          <w:color w:val="auto"/>
        </w:rPr>
      </w:pPr>
    </w:p>
    <w:p>
      <w:pPr>
        <w:ind w:left="580" w:right="120" w:firstLine="29"/>
        <w:spacing w:after="0" w:line="259" w:lineRule="auto"/>
        <w:rPr>
          <w:sz w:val="20"/>
          <w:szCs w:val="20"/>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87" w:lineRule="exact"/>
        <w:rPr>
          <w:sz w:val="20"/>
          <w:szCs w:val="20"/>
          <w:color w:val="auto"/>
        </w:rPr>
      </w:pPr>
    </w:p>
    <w:p>
      <w:pPr>
        <w:jc w:val="both"/>
        <w:ind w:left="580" w:right="60" w:firstLine="29"/>
        <w:spacing w:after="0" w:line="286" w:lineRule="auto"/>
        <w:rPr>
          <w:sz w:val="20"/>
          <w:szCs w:val="20"/>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6"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prohibits a person who owns in excess of 15% of our outstanding voting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379"/>
        <w:spacing w:after="0" w:line="264" w:lineRule="auto"/>
        <w:rPr>
          <w:sz w:val="20"/>
          <w:szCs w:val="20"/>
          <w:color w:val="auto"/>
        </w:rPr>
      </w:pPr>
      <w:r>
        <w:rPr>
          <w:rFonts w:ascii="Arial" w:cs="Arial" w:eastAsia="Arial" w:hAnsi="Arial"/>
          <w:sz w:val="18"/>
          <w:szCs w:val="18"/>
          <w:color w:val="auto"/>
        </w:rPr>
        <w:t>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Recent Sales of Unregistered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Sales of Unregistered Securities</w:t>
      </w:r>
    </w:p>
    <w:p>
      <w:pPr>
        <w:spacing w:after="0" w:line="229" w:lineRule="exact"/>
        <w:rPr>
          <w:sz w:val="20"/>
          <w:szCs w:val="20"/>
          <w:color w:val="auto"/>
        </w:rPr>
      </w:pPr>
    </w:p>
    <w:p>
      <w:pPr>
        <w:ind w:right="39" w:firstLine="324"/>
        <w:spacing w:after="0" w:line="257" w:lineRule="auto"/>
        <w:rPr>
          <w:sz w:val="20"/>
          <w:szCs w:val="20"/>
          <w:color w:val="auto"/>
        </w:rPr>
      </w:pPr>
      <w:r>
        <w:rPr>
          <w:rFonts w:ascii="Arial" w:cs="Arial" w:eastAsia="Arial" w:hAnsi="Arial"/>
          <w:sz w:val="18"/>
          <w:szCs w:val="18"/>
          <w:color w:val="auto"/>
        </w:rPr>
        <w:t>On July 6, 2018, we issued a warrant to Silicon Valley Bank to purchase 9,375 shares of our common stock at an exercise price of $8.91 per share. The warrant can be exercised at any time and expires five years after the date of issuance. The warrant was issued in connection with an amendment to our Loan and Security Agreement with Silicon Valley Bank. The warrant was issued in reliance on Section 4(2) of the Securities Act of 1933, as amended, in that it was issued to a single accredited investor.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0" w:type="dxa"/>
            <w:vAlign w:val="bottom"/>
            <w:gridSpan w:val="17"/>
          </w:tcPr>
          <w:p>
            <w:pPr>
              <w:ind w:left="3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12"/>
        </w:trPr>
        <w:tc>
          <w:tcPr>
            <w:tcW w:w="78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18"/>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2"/>
                <w:szCs w:val="22"/>
                <w:color w:val="auto"/>
              </w:rPr>
            </w:pPr>
          </w:p>
        </w:tc>
        <w:tc>
          <w:tcPr>
            <w:tcW w:w="4360" w:type="dxa"/>
            <w:vAlign w:val="bottom"/>
            <w:gridSpan w:val="23"/>
          </w:tcPr>
          <w:p>
            <w:pPr>
              <w:spacing w:after="0"/>
              <w:rPr>
                <w:rFonts w:ascii="Arial" w:cs="Arial" w:eastAsia="Arial" w:hAnsi="Arial"/>
                <w:sz w:val="18"/>
                <w:szCs w:val="18"/>
                <w:color w:val="0000EE"/>
              </w:rPr>
            </w:pPr>
            <w:hyperlink r:id="rId73">
              <w:r>
                <w:rPr>
                  <w:rFonts w:ascii="Arial" w:cs="Arial" w:eastAsia="Arial" w:hAnsi="Arial"/>
                  <w:sz w:val="18"/>
                  <w:szCs w:val="18"/>
                  <w:color w:val="0000EE"/>
                </w:rPr>
                <w:t>Amended and Restated Certificate of Incorporation.</w:t>
              </w:r>
            </w:hyperlink>
          </w:p>
        </w:tc>
        <w:tc>
          <w:tcPr>
            <w:tcW w:w="0" w:type="dxa"/>
            <w:vAlign w:val="bottom"/>
          </w:tcPr>
          <w:p>
            <w:pPr>
              <w:spacing w:after="0"/>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3740" w:type="dxa"/>
            <w:vAlign w:val="bottom"/>
            <w:tcBorders>
              <w:top w:val="single" w:sz="8" w:color="0000EE"/>
            </w:tcBorders>
            <w:gridSpan w:val="10"/>
          </w:tcPr>
          <w:p>
            <w:pPr>
              <w:spacing w:after="0"/>
              <w:rPr>
                <w:rFonts w:ascii="Arial" w:cs="Arial" w:eastAsia="Arial" w:hAnsi="Arial"/>
                <w:sz w:val="18"/>
                <w:szCs w:val="18"/>
                <w:color w:val="0000EE"/>
              </w:rPr>
            </w:pPr>
            <w:hyperlink r:id="rId74">
              <w:r>
                <w:rPr>
                  <w:rFonts w:ascii="Arial" w:cs="Arial" w:eastAsia="Arial" w:hAnsi="Arial"/>
                  <w:sz w:val="18"/>
                  <w:szCs w:val="18"/>
                  <w:color w:val="0000EE"/>
                </w:rPr>
                <w:t>Bylaws.</w:t>
              </w:r>
            </w:hyperlink>
          </w:p>
        </w:tc>
        <w:tc>
          <w:tcPr>
            <w:tcW w:w="6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3800" w:type="dxa"/>
            <w:vAlign w:val="bottom"/>
            <w:tcBorders>
              <w:bottom w:val="single" w:sz="8" w:color="0000EE"/>
            </w:tcBorders>
            <w:gridSpan w:val="11"/>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Form of Common Stock Certificate of the Company.</w:t>
              </w:r>
            </w:hyperlink>
          </w:p>
        </w:tc>
        <w:tc>
          <w:tcPr>
            <w:tcW w:w="5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4360" w:type="dxa"/>
            <w:vAlign w:val="bottom"/>
            <w:gridSpan w:val="23"/>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Warrant to Purchase Common Stock, dated as of July 6,</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2018, between the Company and Silicon Valley Bank</w:t>
              </w:r>
            </w:hyperlink>
          </w:p>
        </w:tc>
        <w:tc>
          <w:tcPr>
            <w:tcW w:w="160" w:type="dxa"/>
            <w:vAlign w:val="bottom"/>
            <w:tcBorders>
              <w:top w:val="single" w:sz="8" w:color="0000EE"/>
            </w:tcBorders>
            <w:gridSpan w:val="3"/>
          </w:tcPr>
          <w:p>
            <w:pPr>
              <w:spacing w:after="0"/>
              <w:rPr>
                <w:sz w:val="17"/>
                <w:szCs w:val="17"/>
                <w:color w:val="auto"/>
              </w:rPr>
            </w:pPr>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4360" w:type="dxa"/>
            <w:vAlign w:val="bottom"/>
            <w:gridSpan w:val="23"/>
          </w:tcPr>
          <w:p>
            <w:pPr>
              <w:spacing w:after="0"/>
              <w:rPr>
                <w:sz w:val="20"/>
                <w:szCs w:val="20"/>
                <w:color w:val="auto"/>
              </w:rPr>
            </w:pPr>
            <w:r>
              <w:rPr>
                <w:rFonts w:ascii="Arial" w:cs="Arial" w:eastAsia="Arial" w:hAnsi="Arial"/>
                <w:sz w:val="18"/>
                <w:szCs w:val="18"/>
                <w:color w:val="auto"/>
              </w:rPr>
              <w:t>Reference is made to Exhibits 3.1 and 3.2.</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3"/>
                <w:szCs w:val="23"/>
                <w:color w:val="auto"/>
              </w:rPr>
            </w:pPr>
          </w:p>
        </w:tc>
        <w:tc>
          <w:tcPr>
            <w:tcW w:w="4140" w:type="dxa"/>
            <w:vAlign w:val="bottom"/>
            <w:tcBorders>
              <w:bottom w:val="single" w:sz="8" w:color="0000EE"/>
            </w:tcBorders>
            <w:gridSpan w:val="19"/>
          </w:tcPr>
          <w:p>
            <w:pPr>
              <w:spacing w:after="0"/>
              <w:rPr>
                <w:rFonts w:ascii="Arial" w:cs="Arial" w:eastAsia="Arial" w:hAnsi="Arial"/>
                <w:sz w:val="18"/>
                <w:szCs w:val="18"/>
                <w:color w:val="0000EE"/>
                <w:w w:val="89"/>
              </w:rPr>
            </w:pPr>
            <w:hyperlink r:id="rId76">
              <w:r>
                <w:rPr>
                  <w:rFonts w:ascii="Arial" w:cs="Arial" w:eastAsia="Arial" w:hAnsi="Arial"/>
                  <w:sz w:val="18"/>
                  <w:szCs w:val="18"/>
                  <w:color w:val="0000EE"/>
                  <w:w w:val="89"/>
                </w:rPr>
                <w:t>Everspin Technologies, Inc. Amended and Restated 2016</w:t>
              </w:r>
            </w:hyperlink>
          </w:p>
        </w:tc>
        <w:tc>
          <w:tcPr>
            <w:tcW w:w="22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gridSpan w:val="23"/>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Equity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434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71">
              <w:r>
                <w:rPr>
                  <w:rFonts w:ascii="Arial" w:cs="Arial" w:eastAsia="Arial" w:hAnsi="Arial"/>
                  <w:sz w:val="18"/>
                  <w:szCs w:val="18"/>
                  <w:color w:val="0000EE"/>
                  <w:w w:val="90"/>
                </w:rPr>
                <w:t>First Amendment to Loan and Security Agreement, dated as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gridSpan w:val="23"/>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of July 6, 2018, between the Company and Silicon Valley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Bank</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3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87">
              <w:r>
                <w:rPr>
                  <w:rFonts w:ascii="Arial" w:cs="Arial" w:eastAsia="Arial" w:hAnsi="Arial"/>
                  <w:sz w:val="18"/>
                  <w:szCs w:val="18"/>
                  <w:color w:val="0000EE"/>
                  <w:w w:val="88"/>
                </w:rPr>
                <w:t>Separation Agreement, dated June 6, 2018 between</w:t>
              </w:r>
            </w:hyperlink>
          </w:p>
        </w:tc>
        <w:tc>
          <w:tcPr>
            <w:tcW w:w="6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Everspin Technologies, Inc. and Patrick Patla</w:t>
              </w:r>
            </w:hyperlink>
          </w:p>
        </w:tc>
        <w:tc>
          <w:tcPr>
            <w:tcW w:w="10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4360" w:type="dxa"/>
            <w:vAlign w:val="bottom"/>
            <w:gridSpan w:val="23"/>
          </w:tcPr>
          <w:p>
            <w:pPr>
              <w:spacing w:after="0"/>
              <w:rPr>
                <w:rFonts w:ascii="Arial" w:cs="Arial" w:eastAsia="Arial" w:hAnsi="Arial"/>
                <w:sz w:val="18"/>
                <w:szCs w:val="18"/>
                <w:color w:val="0000EE"/>
                <w:w w:val="93"/>
              </w:rPr>
            </w:pPr>
            <w:hyperlink w:anchor="page98">
              <w:r>
                <w:rPr>
                  <w:rFonts w:ascii="Arial" w:cs="Arial" w:eastAsia="Arial" w:hAnsi="Arial"/>
                  <w:sz w:val="18"/>
                  <w:szCs w:val="18"/>
                  <w:color w:val="0000EE"/>
                  <w:w w:val="93"/>
                </w:rPr>
                <w:t>Lease Termination Agreement, dated as of April 12, 2018,</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by and between Everspin Technologies, Inc. and Jutland</w:t>
              </w:r>
            </w:hyperlink>
          </w:p>
        </w:tc>
        <w:tc>
          <w:tcPr>
            <w:tcW w:w="140" w:type="dxa"/>
            <w:vAlign w:val="bottom"/>
            <w:tcBorders>
              <w:top w:val="single" w:sz="8" w:color="0000EE"/>
            </w:tcBorders>
            <w:gridSpan w:val="4"/>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gridSpan w:val="23"/>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4141 Investments, Ltd.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4360" w:type="dxa"/>
            <w:vAlign w:val="bottom"/>
            <w:gridSpan w:val="23"/>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Certification of Principal Executive Officer Pursuant to</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Rules 13a-14(a) and 15d-14(a) under the Securities</w:t>
              </w:r>
            </w:hyperlink>
          </w:p>
        </w:tc>
        <w:tc>
          <w:tcPr>
            <w:tcW w:w="280" w:type="dxa"/>
            <w:vAlign w:val="bottom"/>
            <w:tcBorders>
              <w:top w:val="single" w:sz="8" w:color="0000EE"/>
            </w:tcBorders>
            <w:gridSpan w:val="6"/>
          </w:tcPr>
          <w:p>
            <w:pPr>
              <w:spacing w:after="0"/>
              <w:rPr>
                <w:sz w:val="17"/>
                <w:szCs w:val="17"/>
                <w:color w:val="auto"/>
              </w:rPr>
            </w:pPr>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gridSpan w:val="23"/>
          </w:tcPr>
          <w:p>
            <w:pPr>
              <w:spacing w:after="0" w:line="196"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Exchange Act of 1934, as Adopted Pursuant to Section 302</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of the Sarbanes-Oxley Act of 2002.</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394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Certification of Principal Financial Officer Pursuant to</w:t>
              </w:r>
            </w:hyperlink>
          </w:p>
        </w:tc>
        <w:tc>
          <w:tcPr>
            <w:tcW w:w="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Rules 13a-14(a) and 15d-14(a) under the Securities</w:t>
              </w:r>
            </w:hyperlink>
          </w:p>
        </w:tc>
        <w:tc>
          <w:tcPr>
            <w:tcW w:w="6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gridSpan w:val="23"/>
          </w:tcPr>
          <w:p>
            <w:pPr>
              <w:spacing w:after="0" w:line="196" w:lineRule="exact"/>
              <w:rPr>
                <w:rFonts w:ascii="Arial" w:cs="Arial" w:eastAsia="Arial" w:hAnsi="Arial"/>
                <w:sz w:val="18"/>
                <w:szCs w:val="18"/>
                <w:color w:val="0000EE"/>
                <w:w w:val="91"/>
              </w:rPr>
            </w:pPr>
            <w:hyperlink w:anchor="page105">
              <w:r>
                <w:rPr>
                  <w:rFonts w:ascii="Arial" w:cs="Arial" w:eastAsia="Arial" w:hAnsi="Arial"/>
                  <w:sz w:val="18"/>
                  <w:szCs w:val="18"/>
                  <w:color w:val="0000EE"/>
                  <w:w w:val="91"/>
                </w:rPr>
                <w:t>Exchange Act of 1934, as Adopted Pursuant to Section 302</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of the Sarbanes-Oxley Act of 2002.</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52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4360" w:type="dxa"/>
            <w:vAlign w:val="bottom"/>
            <w:gridSpan w:val="23"/>
          </w:tcPr>
          <w:p>
            <w:pPr>
              <w:spacing w:after="0"/>
              <w:rPr>
                <w:rFonts w:ascii="Arial" w:cs="Arial" w:eastAsia="Arial" w:hAnsi="Arial"/>
                <w:sz w:val="18"/>
                <w:szCs w:val="18"/>
                <w:color w:val="0000EE"/>
                <w:w w:val="98"/>
              </w:rPr>
            </w:pPr>
            <w:hyperlink w:anchor="page106">
              <w:r>
                <w:rPr>
                  <w:rFonts w:ascii="Arial" w:cs="Arial" w:eastAsia="Arial" w:hAnsi="Arial"/>
                  <w:sz w:val="18"/>
                  <w:szCs w:val="18"/>
                  <w:color w:val="0000EE"/>
                  <w:w w:val="98"/>
                </w:rPr>
                <w:t>Certification of Principal Executive Officer and Principal</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Financial Officer Pursuant to 18 U.S.C. Section 1350, as</w:t>
              </w:r>
            </w:hyperlink>
          </w:p>
        </w:tc>
        <w:tc>
          <w:tcPr>
            <w:tcW w:w="40" w:type="dxa"/>
            <w:vAlign w:val="bottom"/>
            <w:tcBorders>
              <w:top w:val="single" w:sz="8" w:color="0000EE"/>
            </w:tcBorders>
          </w:tcPr>
          <w:p>
            <w:pPr>
              <w:spacing w:after="0"/>
              <w:rPr>
                <w:sz w:val="17"/>
                <w:szCs w:val="17"/>
                <w:color w:val="auto"/>
              </w:rPr>
            </w:pPr>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gridSpan w:val="23"/>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Adopted Pursuant to Section 906 of the Sarbanes-Oxley Act</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76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4360" w:type="dxa"/>
            <w:vAlign w:val="bottom"/>
            <w:gridSpan w:val="2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11"/>
        </w:trPr>
        <w:tc>
          <w:tcPr>
            <w:tcW w:w="780" w:type="dxa"/>
            <w:vAlign w:val="bottom"/>
          </w:tcPr>
          <w:p>
            <w:pPr>
              <w:spacing w:after="0"/>
              <w:rPr>
                <w:sz w:val="20"/>
                <w:szCs w:val="20"/>
                <w:color w:val="auto"/>
              </w:rPr>
            </w:pPr>
            <w:r>
              <w:rPr>
                <w:rFonts w:ascii="Arial" w:cs="Arial" w:eastAsia="Arial" w:hAnsi="Arial"/>
                <w:sz w:val="18"/>
                <w:szCs w:val="18"/>
                <w:color w:val="auto"/>
                <w:w w:val="94"/>
              </w:rPr>
              <w:t>101.SCH*</w:t>
            </w:r>
          </w:p>
        </w:tc>
        <w:tc>
          <w:tcPr>
            <w:tcW w:w="180" w:type="dxa"/>
            <w:vAlign w:val="bottom"/>
          </w:tcPr>
          <w:p>
            <w:pPr>
              <w:spacing w:after="0"/>
              <w:rPr>
                <w:sz w:val="24"/>
                <w:szCs w:val="24"/>
                <w:color w:val="auto"/>
              </w:rPr>
            </w:pPr>
          </w:p>
        </w:tc>
        <w:tc>
          <w:tcPr>
            <w:tcW w:w="436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0"/>
                <w:szCs w:val="20"/>
                <w:color w:val="auto"/>
              </w:rPr>
            </w:pPr>
            <w:r>
              <w:rPr>
                <w:rFonts w:ascii="Arial" w:cs="Arial" w:eastAsia="Arial" w:hAnsi="Arial"/>
                <w:sz w:val="18"/>
                <w:szCs w:val="18"/>
                <w:color w:val="auto"/>
                <w:w w:val="98"/>
              </w:rPr>
              <w:t>101.CAL*</w:t>
            </w:r>
          </w:p>
        </w:tc>
        <w:tc>
          <w:tcPr>
            <w:tcW w:w="180" w:type="dxa"/>
            <w:vAlign w:val="bottom"/>
          </w:tcPr>
          <w:p>
            <w:pPr>
              <w:spacing w:after="0"/>
              <w:rPr>
                <w:sz w:val="24"/>
                <w:szCs w:val="24"/>
                <w:color w:val="auto"/>
              </w:rPr>
            </w:pPr>
          </w:p>
        </w:tc>
        <w:tc>
          <w:tcPr>
            <w:tcW w:w="436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60" w:type="dxa"/>
            <w:vAlign w:val="bottom"/>
            <w:gridSpan w:val="23"/>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11"/>
        </w:trPr>
        <w:tc>
          <w:tcPr>
            <w:tcW w:w="780" w:type="dxa"/>
            <w:vAlign w:val="bottom"/>
          </w:tcPr>
          <w:p>
            <w:pPr>
              <w:spacing w:after="0"/>
              <w:rPr>
                <w:sz w:val="20"/>
                <w:szCs w:val="20"/>
                <w:color w:val="auto"/>
              </w:rPr>
            </w:pPr>
            <w:r>
              <w:rPr>
                <w:rFonts w:ascii="Arial" w:cs="Arial" w:eastAsia="Arial" w:hAnsi="Arial"/>
                <w:sz w:val="18"/>
                <w:szCs w:val="18"/>
                <w:color w:val="auto"/>
                <w:w w:val="97"/>
              </w:rPr>
              <w:t>101.DEF*</w:t>
            </w:r>
          </w:p>
        </w:tc>
        <w:tc>
          <w:tcPr>
            <w:tcW w:w="180" w:type="dxa"/>
            <w:vAlign w:val="bottom"/>
          </w:tcPr>
          <w:p>
            <w:pPr>
              <w:spacing w:after="0"/>
              <w:rPr>
                <w:sz w:val="24"/>
                <w:szCs w:val="24"/>
                <w:color w:val="auto"/>
              </w:rPr>
            </w:pPr>
          </w:p>
        </w:tc>
        <w:tc>
          <w:tcPr>
            <w:tcW w:w="4360" w:type="dxa"/>
            <w:vAlign w:val="bottom"/>
            <w:gridSpan w:val="23"/>
          </w:tcPr>
          <w:p>
            <w:pPr>
              <w:spacing w:after="0"/>
              <w:rPr>
                <w:sz w:val="20"/>
                <w:szCs w:val="20"/>
                <w:color w:val="auto"/>
              </w:rPr>
            </w:pPr>
            <w:r>
              <w:rPr>
                <w:rFonts w:ascii="Arial" w:cs="Arial" w:eastAsia="Arial" w:hAnsi="Arial"/>
                <w:sz w:val="18"/>
                <w:szCs w:val="18"/>
                <w:color w:val="auto"/>
                <w:w w:val="93"/>
              </w:rPr>
              <w:t>XBRL Taxonomy Extension Definition Linkbase Document</w:t>
            </w:r>
          </w:p>
        </w:tc>
        <w:tc>
          <w:tcPr>
            <w:tcW w:w="0" w:type="dxa"/>
            <w:vAlign w:val="bottom"/>
          </w:tcPr>
          <w:p>
            <w:pPr>
              <w:spacing w:after="0"/>
              <w:rPr>
                <w:sz w:val="1"/>
                <w:szCs w:val="1"/>
                <w:color w:val="auto"/>
              </w:rPr>
            </w:pPr>
          </w:p>
        </w:tc>
      </w:tr>
      <w:tr>
        <w:trPr>
          <w:trHeight w:val="311"/>
        </w:trPr>
        <w:tc>
          <w:tcPr>
            <w:tcW w:w="780" w:type="dxa"/>
            <w:vAlign w:val="bottom"/>
          </w:tcPr>
          <w:p>
            <w:pPr>
              <w:spacing w:after="0"/>
              <w:rPr>
                <w:sz w:val="20"/>
                <w:szCs w:val="20"/>
                <w:color w:val="auto"/>
              </w:rPr>
            </w:pPr>
            <w:r>
              <w:rPr>
                <w:rFonts w:ascii="Arial" w:cs="Arial" w:eastAsia="Arial" w:hAnsi="Arial"/>
                <w:sz w:val="18"/>
                <w:szCs w:val="18"/>
                <w:color w:val="auto"/>
                <w:w w:val="99"/>
              </w:rPr>
              <w:t>101.LAB*</w:t>
            </w:r>
          </w:p>
        </w:tc>
        <w:tc>
          <w:tcPr>
            <w:tcW w:w="180" w:type="dxa"/>
            <w:vAlign w:val="bottom"/>
          </w:tcPr>
          <w:p>
            <w:pPr>
              <w:spacing w:after="0"/>
              <w:rPr>
                <w:sz w:val="24"/>
                <w:szCs w:val="24"/>
                <w:color w:val="auto"/>
              </w:rPr>
            </w:pPr>
          </w:p>
        </w:tc>
        <w:tc>
          <w:tcPr>
            <w:tcW w:w="436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0"/>
                <w:szCs w:val="20"/>
                <w:color w:val="auto"/>
              </w:rPr>
            </w:pPr>
            <w:r>
              <w:rPr>
                <w:rFonts w:ascii="Arial" w:cs="Arial" w:eastAsia="Arial" w:hAnsi="Arial"/>
                <w:sz w:val="18"/>
                <w:szCs w:val="18"/>
                <w:color w:val="auto"/>
                <w:w w:val="96"/>
              </w:rPr>
              <w:t>101.PRE*</w:t>
            </w:r>
          </w:p>
        </w:tc>
        <w:tc>
          <w:tcPr>
            <w:tcW w:w="180" w:type="dxa"/>
            <w:vAlign w:val="bottom"/>
          </w:tcPr>
          <w:p>
            <w:pPr>
              <w:spacing w:after="0"/>
              <w:rPr>
                <w:sz w:val="24"/>
                <w:szCs w:val="24"/>
                <w:color w:val="auto"/>
              </w:rPr>
            </w:pPr>
          </w:p>
        </w:tc>
        <w:tc>
          <w:tcPr>
            <w:tcW w:w="436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60" w:type="dxa"/>
            <w:vAlign w:val="bottom"/>
            <w:gridSpan w:val="23"/>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320" w:hanging="317"/>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600" w:type="dxa"/>
            <w:vAlign w:val="bottom"/>
            <w:gridSpan w:val="6"/>
          </w:tcPr>
          <w:p>
            <w:pPr>
              <w:ind w:left="360"/>
              <w:spacing w:after="0"/>
              <w:rPr>
                <w:sz w:val="20"/>
                <w:szCs w:val="20"/>
                <w:color w:val="auto"/>
              </w:rPr>
            </w:pPr>
            <w:r>
              <w:rPr>
                <w:rFonts w:ascii="Arial" w:cs="Arial" w:eastAsia="Arial" w:hAnsi="Arial"/>
                <w:sz w:val="14"/>
                <w:szCs w:val="14"/>
                <w:b w:val="1"/>
                <w:bCs w:val="1"/>
                <w:color w:val="auto"/>
              </w:rPr>
              <w:t>Incorporation By Reference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Borders>
              <w:top w:val="single" w:sz="8" w:color="auto"/>
            </w:tcBorders>
            <w:vMerge w:val="restart"/>
          </w:tcPr>
          <w:p>
            <w:pPr>
              <w:spacing w:after="0"/>
              <w:rPr>
                <w:sz w:val="10"/>
                <w:szCs w:val="10"/>
                <w:color w:val="auto"/>
              </w:rPr>
            </w:pPr>
          </w:p>
        </w:tc>
        <w:tc>
          <w:tcPr>
            <w:tcW w:w="920" w:type="dxa"/>
            <w:vAlign w:val="bottom"/>
            <w:tcBorders>
              <w:top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SEC File No.</w:t>
            </w:r>
          </w:p>
        </w:tc>
        <w:tc>
          <w:tcPr>
            <w:tcW w:w="160" w:type="dxa"/>
            <w:vAlign w:val="bottom"/>
            <w:tcBorders>
              <w:top w:val="single" w:sz="8" w:color="auto"/>
            </w:tcBorders>
            <w:vMerge w:val="restart"/>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80" w:type="dxa"/>
            <w:vAlign w:val="bottom"/>
          </w:tcPr>
          <w:p>
            <w:pPr>
              <w:spacing w:after="0"/>
              <w:rPr>
                <w:sz w:val="10"/>
                <w:szCs w:val="10"/>
                <w:color w:val="auto"/>
              </w:rPr>
            </w:pP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8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6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311"/>
        </w:trPr>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311"/>
        </w:trPr>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333-213569</w:t>
            </w:r>
          </w:p>
        </w:tc>
        <w:tc>
          <w:tcPr>
            <w:tcW w:w="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0"/>
        <w:spacing w:after="0"/>
        <w:tabs>
          <w:tab w:leader="none" w:pos="660" w:val="left"/>
          <w:tab w:leader="none" w:pos="1880" w:val="left"/>
          <w:tab w:leader="none" w:pos="2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001-37900</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5/22/2018</w:t>
      </w:r>
    </w:p>
    <w:p>
      <w:pPr>
        <w:sectPr>
          <w:pgSz w:w="11900" w:h="16838" w:orient="portrait"/>
          <w:cols w:equalWidth="0" w:num="2">
            <w:col w:w="5320" w:space="160"/>
            <w:col w:w="358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6060" w:type="dxa"/>
            <w:vAlign w:val="bottom"/>
            <w:gridSpan w:val="2"/>
          </w:tcPr>
          <w:p>
            <w:pPr>
              <w:ind w:left="2220"/>
              <w:spacing w:after="0"/>
              <w:rPr>
                <w:sz w:val="20"/>
                <w:szCs w:val="20"/>
                <w:color w:val="auto"/>
              </w:rPr>
            </w:pPr>
            <w:r>
              <w:rPr>
                <w:rFonts w:ascii="Arial" w:cs="Arial" w:eastAsia="Arial" w:hAnsi="Arial"/>
                <w:sz w:val="18"/>
                <w:szCs w:val="18"/>
                <w:color w:val="auto"/>
              </w:rPr>
              <w:t>Everspin Technologies, Inc.</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Date: August 8, 2018</w:t>
            </w:r>
          </w:p>
        </w:tc>
        <w:tc>
          <w:tcPr>
            <w:tcW w:w="6060" w:type="dxa"/>
            <w:vAlign w:val="bottom"/>
            <w:gridSpan w:val="2"/>
          </w:tcPr>
          <w:p>
            <w:pPr>
              <w:ind w:left="2220"/>
              <w:spacing w:after="0"/>
              <w:rPr>
                <w:sz w:val="20"/>
                <w:szCs w:val="20"/>
                <w:color w:val="auto"/>
              </w:rPr>
            </w:pPr>
            <w:r>
              <w:rPr>
                <w:rFonts w:ascii="Arial" w:cs="Arial" w:eastAsia="Arial" w:hAnsi="Arial"/>
                <w:sz w:val="18"/>
                <w:szCs w:val="18"/>
                <w:color w:val="auto"/>
              </w:rPr>
              <w:t>By: /s/ Kevin Conley</w:t>
            </w:r>
          </w:p>
        </w:tc>
      </w:tr>
      <w:tr>
        <w:trPr>
          <w:trHeight w:val="195"/>
        </w:trPr>
        <w:tc>
          <w:tcPr>
            <w:tcW w:w="3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Conley</w:t>
            </w:r>
          </w:p>
        </w:tc>
      </w:tr>
      <w:tr>
        <w:trPr>
          <w:trHeight w:val="216"/>
        </w:trPr>
        <w:tc>
          <w:tcPr>
            <w:tcW w:w="30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0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432"/>
        </w:trPr>
        <w:tc>
          <w:tcPr>
            <w:tcW w:w="3000" w:type="dxa"/>
            <w:vAlign w:val="bottom"/>
          </w:tcPr>
          <w:p>
            <w:pPr>
              <w:spacing w:after="0"/>
              <w:rPr>
                <w:sz w:val="24"/>
                <w:szCs w:val="24"/>
                <w:color w:val="auto"/>
              </w:rPr>
            </w:pPr>
          </w:p>
        </w:tc>
        <w:tc>
          <w:tcPr>
            <w:tcW w:w="6060" w:type="dxa"/>
            <w:vAlign w:val="bottom"/>
            <w:gridSpan w:val="2"/>
          </w:tcPr>
          <w:p>
            <w:pPr>
              <w:ind w:left="2220"/>
              <w:spacing w:after="0"/>
              <w:rPr>
                <w:sz w:val="20"/>
                <w:szCs w:val="20"/>
                <w:color w:val="auto"/>
              </w:rPr>
            </w:pPr>
            <w:r>
              <w:rPr>
                <w:rFonts w:ascii="Arial" w:cs="Arial" w:eastAsia="Arial" w:hAnsi="Arial"/>
                <w:sz w:val="18"/>
                <w:szCs w:val="18"/>
                <w:color w:val="auto"/>
              </w:rPr>
              <w:t>Everspin Technologies, Inc.</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Date: August 8, 2018</w:t>
            </w:r>
          </w:p>
        </w:tc>
        <w:tc>
          <w:tcPr>
            <w:tcW w:w="6060" w:type="dxa"/>
            <w:vAlign w:val="bottom"/>
            <w:gridSpan w:val="2"/>
          </w:tcPr>
          <w:p>
            <w:pPr>
              <w:ind w:left="2220"/>
              <w:spacing w:after="0"/>
              <w:rPr>
                <w:sz w:val="20"/>
                <w:szCs w:val="20"/>
                <w:color w:val="auto"/>
              </w:rPr>
            </w:pPr>
            <w:r>
              <w:rPr>
                <w:rFonts w:ascii="Arial" w:cs="Arial" w:eastAsia="Arial" w:hAnsi="Arial"/>
                <w:sz w:val="18"/>
                <w:szCs w:val="18"/>
                <w:color w:val="auto"/>
              </w:rPr>
              <w:t>By: /s/ Jeffrey Winzeler</w:t>
            </w:r>
          </w:p>
        </w:tc>
      </w:tr>
      <w:tr>
        <w:trPr>
          <w:trHeight w:val="195"/>
        </w:trPr>
        <w:tc>
          <w:tcPr>
            <w:tcW w:w="30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Winzeler</w:t>
            </w:r>
          </w:p>
        </w:tc>
      </w:tr>
      <w:tr>
        <w:trPr>
          <w:trHeight w:val="216"/>
        </w:trPr>
        <w:tc>
          <w:tcPr>
            <w:tcW w:w="30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0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62"/>
        </w:trPr>
        <w:tc>
          <w:tcPr>
            <w:tcW w:w="3000" w:type="dxa"/>
            <w:vAlign w:val="bottom"/>
          </w:tcPr>
          <w:p>
            <w:pPr>
              <w:spacing w:after="0"/>
              <w:rPr>
                <w:sz w:val="24"/>
                <w:szCs w:val="24"/>
                <w:color w:val="auto"/>
              </w:rPr>
            </w:pPr>
          </w:p>
        </w:tc>
        <w:tc>
          <w:tcPr>
            <w:tcW w:w="2500" w:type="dxa"/>
            <w:vAlign w:val="bottom"/>
          </w:tcPr>
          <w:p>
            <w:pPr>
              <w:ind w:left="1440"/>
              <w:spacing w:after="0"/>
              <w:rPr>
                <w:sz w:val="20"/>
                <w:szCs w:val="20"/>
                <w:color w:val="auto"/>
              </w:rPr>
            </w:pPr>
            <w:r>
              <w:rPr>
                <w:rFonts w:ascii="Arial" w:cs="Arial" w:eastAsia="Arial" w:hAnsi="Arial"/>
                <w:sz w:val="18"/>
                <w:szCs w:val="18"/>
                <w:color w:val="auto"/>
              </w:rPr>
              <w:t>59</w:t>
            </w:r>
          </w:p>
        </w:tc>
        <w:tc>
          <w:tcPr>
            <w:tcW w:w="3560" w:type="dxa"/>
            <w:vAlign w:val="bottom"/>
          </w:tcPr>
          <w:p>
            <w:pPr>
              <w:spacing w:after="0"/>
              <w:rPr>
                <w:sz w:val="24"/>
                <w:szCs w:val="24"/>
                <w:color w:val="auto"/>
              </w:rPr>
            </w:pPr>
          </w:p>
        </w:tc>
      </w:tr>
      <w:tr>
        <w:trPr>
          <w:trHeight w:val="129"/>
        </w:trPr>
        <w:tc>
          <w:tcPr>
            <w:tcW w:w="300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35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59" w:name="page60"/>
    <w:bookmarkEnd w:id="59"/>
    <w:p>
      <w:pPr>
        <w:ind w:left="8140"/>
        <w:spacing w:after="0"/>
        <w:rPr>
          <w:sz w:val="20"/>
          <w:szCs w:val="20"/>
          <w:color w:val="auto"/>
        </w:rPr>
      </w:pPr>
      <w:r>
        <w:rPr>
          <w:rFonts w:ascii="Arial" w:cs="Arial" w:eastAsia="Arial" w:hAnsi="Arial"/>
          <w:sz w:val="18"/>
          <w:szCs w:val="18"/>
          <w:b w:val="1"/>
          <w:bCs w:val="1"/>
          <w:color w:val="auto"/>
        </w:rPr>
        <w:t>Exhibit 4.2</w:t>
      </w:r>
    </w:p>
    <w:p>
      <w:pPr>
        <w:spacing w:after="0" w:line="17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WARRANT AND THE SHARES ISSUABLE HEREUNDER HAVE NOT BEEN REGISTERED UNDER THE SECURITIES ACT OF 1933, AS AMENDED (THE “</w:t>
      </w:r>
      <w:r>
        <w:rPr>
          <w:rFonts w:ascii="Arial" w:cs="Arial" w:eastAsia="Arial" w:hAnsi="Arial"/>
          <w:sz w:val="22"/>
          <w:szCs w:val="22"/>
          <w:b w:val="1"/>
          <w:bCs w:val="1"/>
          <w:u w:val="single" w:color="auto"/>
          <w:color w:val="auto"/>
        </w:rPr>
        <w:t>ACT</w:t>
      </w:r>
      <w:r>
        <w:rPr>
          <w:rFonts w:ascii="Arial" w:cs="Arial" w:eastAsia="Arial" w:hAnsi="Arial"/>
          <w:sz w:val="22"/>
          <w:szCs w:val="22"/>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85"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auto"/>
        </w:rPr>
        <w:t>WARRANT TO PURCHASE COMMON STOCK</w:t>
      </w:r>
    </w:p>
    <w:p>
      <w:pPr>
        <w:spacing w:after="0" w:line="206" w:lineRule="exact"/>
        <w:rPr>
          <w:sz w:val="20"/>
          <w:szCs w:val="20"/>
          <w:color w:val="auto"/>
        </w:rPr>
      </w:pPr>
    </w:p>
    <w:p>
      <w:pPr>
        <w:spacing w:after="0"/>
        <w:tabs>
          <w:tab w:leader="none" w:pos="1920" w:val="left"/>
        </w:tabs>
        <w:rPr>
          <w:sz w:val="20"/>
          <w:szCs w:val="20"/>
          <w:color w:val="auto"/>
        </w:rPr>
      </w:pPr>
      <w:r>
        <w:rPr>
          <w:rFonts w:ascii="Arial" w:cs="Arial" w:eastAsia="Arial" w:hAnsi="Arial"/>
          <w:sz w:val="22"/>
          <w:szCs w:val="22"/>
          <w:b w:val="1"/>
          <w:bCs w:val="1"/>
          <w:color w:val="auto"/>
        </w:rPr>
        <w:t>Company:</w:t>
      </w:r>
      <w:r>
        <w:rPr>
          <w:sz w:val="20"/>
          <w:szCs w:val="20"/>
          <w:color w:val="auto"/>
        </w:rPr>
        <w:tab/>
      </w:r>
      <w:r>
        <w:rPr>
          <w:rFonts w:ascii="Arial" w:cs="Arial" w:eastAsia="Arial" w:hAnsi="Arial"/>
          <w:sz w:val="22"/>
          <w:szCs w:val="22"/>
          <w:color w:val="auto"/>
        </w:rPr>
        <w:t>EVERSPIN TECHNOLOGIES, INC., a Delaware corporation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Number of Shares:  </w:t>
      </w:r>
      <w:r>
        <w:rPr>
          <w:rFonts w:ascii="Arial" w:cs="Arial" w:eastAsia="Arial" w:hAnsi="Arial"/>
          <w:sz w:val="22"/>
          <w:szCs w:val="22"/>
          <w:color w:val="auto"/>
        </w:rPr>
        <w:t>9,375 shares of Common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720" w:type="dxa"/>
            <w:vAlign w:val="bottom"/>
          </w:tcPr>
          <w:p>
            <w:pPr>
              <w:spacing w:after="0"/>
              <w:rPr>
                <w:sz w:val="20"/>
                <w:szCs w:val="20"/>
                <w:color w:val="auto"/>
              </w:rPr>
            </w:pPr>
            <w:r>
              <w:rPr>
                <w:rFonts w:ascii="Arial" w:cs="Arial" w:eastAsia="Arial" w:hAnsi="Arial"/>
                <w:sz w:val="22"/>
                <w:szCs w:val="22"/>
                <w:b w:val="1"/>
                <w:bCs w:val="1"/>
                <w:color w:val="auto"/>
              </w:rPr>
              <w:t>Warrant Price:</w:t>
            </w:r>
          </w:p>
        </w:tc>
        <w:tc>
          <w:tcPr>
            <w:tcW w:w="1780" w:type="dxa"/>
            <w:vAlign w:val="bottom"/>
          </w:tcPr>
          <w:p>
            <w:pPr>
              <w:ind w:left="180"/>
              <w:spacing w:after="0"/>
              <w:rPr>
                <w:sz w:val="20"/>
                <w:szCs w:val="20"/>
                <w:color w:val="auto"/>
              </w:rPr>
            </w:pPr>
            <w:r>
              <w:rPr>
                <w:rFonts w:ascii="Arial" w:cs="Arial" w:eastAsia="Arial" w:hAnsi="Arial"/>
                <w:sz w:val="22"/>
                <w:szCs w:val="22"/>
                <w:color w:val="auto"/>
              </w:rPr>
              <w:t>8.91</w:t>
            </w:r>
            <w:r>
              <w:rPr>
                <w:rFonts w:ascii="Arial" w:cs="Arial" w:eastAsia="Arial" w:hAnsi="Arial"/>
                <w:sz w:val="10"/>
                <w:szCs w:val="10"/>
                <w:color w:val="auto"/>
              </w:rPr>
              <w:t>1</w:t>
            </w: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92"/>
        </w:trPr>
        <w:tc>
          <w:tcPr>
            <w:tcW w:w="1720" w:type="dxa"/>
            <w:vAlign w:val="bottom"/>
          </w:tcPr>
          <w:p>
            <w:pPr>
              <w:spacing w:after="0"/>
              <w:rPr>
                <w:sz w:val="20"/>
                <w:szCs w:val="20"/>
                <w:color w:val="auto"/>
              </w:rPr>
            </w:pPr>
            <w:r>
              <w:rPr>
                <w:rFonts w:ascii="Arial" w:cs="Arial" w:eastAsia="Arial" w:hAnsi="Arial"/>
                <w:sz w:val="22"/>
                <w:szCs w:val="22"/>
                <w:b w:val="1"/>
                <w:bCs w:val="1"/>
                <w:color w:val="auto"/>
              </w:rPr>
              <w:t>Issue Date:</w:t>
            </w:r>
          </w:p>
        </w:tc>
        <w:tc>
          <w:tcPr>
            <w:tcW w:w="1780" w:type="dxa"/>
            <w:vAlign w:val="bottom"/>
          </w:tcPr>
          <w:p>
            <w:pPr>
              <w:ind w:left="180"/>
              <w:spacing w:after="0"/>
              <w:rPr>
                <w:sz w:val="20"/>
                <w:szCs w:val="20"/>
                <w:color w:val="auto"/>
              </w:rPr>
            </w:pPr>
            <w:r>
              <w:rPr>
                <w:rFonts w:ascii="Arial" w:cs="Arial" w:eastAsia="Arial" w:hAnsi="Arial"/>
                <w:sz w:val="22"/>
                <w:szCs w:val="22"/>
                <w:color w:val="auto"/>
              </w:rPr>
              <w:t>July 06, 2018</w:t>
            </w: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8"/>
        </w:trPr>
        <w:tc>
          <w:tcPr>
            <w:tcW w:w="1720" w:type="dxa"/>
            <w:vAlign w:val="bottom"/>
          </w:tcPr>
          <w:p>
            <w:pPr>
              <w:spacing w:after="0"/>
              <w:rPr>
                <w:sz w:val="20"/>
                <w:szCs w:val="20"/>
                <w:color w:val="auto"/>
              </w:rPr>
            </w:pPr>
            <w:r>
              <w:rPr>
                <w:rFonts w:ascii="Arial" w:cs="Arial" w:eastAsia="Arial" w:hAnsi="Arial"/>
                <w:sz w:val="22"/>
                <w:szCs w:val="22"/>
                <w:b w:val="1"/>
                <w:bCs w:val="1"/>
                <w:color w:val="auto"/>
              </w:rPr>
              <w:t>Expiration Date:</w:t>
            </w:r>
          </w:p>
        </w:tc>
        <w:tc>
          <w:tcPr>
            <w:tcW w:w="1780" w:type="dxa"/>
            <w:vAlign w:val="bottom"/>
          </w:tcPr>
          <w:p>
            <w:pPr>
              <w:ind w:left="160"/>
              <w:spacing w:after="0"/>
              <w:rPr>
                <w:sz w:val="20"/>
                <w:szCs w:val="20"/>
                <w:color w:val="auto"/>
              </w:rPr>
            </w:pPr>
            <w:r>
              <w:rPr>
                <w:rFonts w:ascii="Arial" w:cs="Arial" w:eastAsia="Arial" w:hAnsi="Arial"/>
                <w:sz w:val="22"/>
                <w:szCs w:val="22"/>
                <w:color w:val="auto"/>
              </w:rPr>
              <w:t>July 06, 2023</w:t>
            </w:r>
          </w:p>
        </w:tc>
        <w:tc>
          <w:tcPr>
            <w:tcW w:w="5560" w:type="dxa"/>
            <w:vAlign w:val="bottom"/>
            <w:gridSpan w:val="5"/>
          </w:tcPr>
          <w:p>
            <w:pPr>
              <w:ind w:left="420"/>
              <w:spacing w:after="0"/>
              <w:rPr>
                <w:sz w:val="20"/>
                <w:szCs w:val="20"/>
                <w:color w:val="auto"/>
              </w:rPr>
            </w:pPr>
            <w:r>
              <w:rPr>
                <w:rFonts w:ascii="Arial" w:cs="Arial" w:eastAsia="Arial" w:hAnsi="Arial"/>
                <w:sz w:val="22"/>
                <w:szCs w:val="22"/>
                <w:b w:val="1"/>
                <w:bCs w:val="1"/>
                <w:color w:val="auto"/>
              </w:rPr>
              <w:t>See also Section 5.1(b).</w:t>
            </w:r>
          </w:p>
        </w:tc>
      </w:tr>
      <w:tr>
        <w:trPr>
          <w:trHeight w:val="341"/>
        </w:trPr>
        <w:tc>
          <w:tcPr>
            <w:tcW w:w="1720" w:type="dxa"/>
            <w:vAlign w:val="bottom"/>
          </w:tcPr>
          <w:p>
            <w:pPr>
              <w:spacing w:after="0"/>
              <w:rPr>
                <w:sz w:val="20"/>
                <w:szCs w:val="20"/>
                <w:color w:val="auto"/>
              </w:rPr>
            </w:pPr>
            <w:r>
              <w:rPr>
                <w:rFonts w:ascii="Arial" w:cs="Arial" w:eastAsia="Arial" w:hAnsi="Arial"/>
                <w:sz w:val="22"/>
                <w:szCs w:val="22"/>
                <w:b w:val="1"/>
                <w:bCs w:val="1"/>
                <w:color w:val="auto"/>
              </w:rPr>
              <w:t>Credit Facility:</w:t>
            </w:r>
          </w:p>
        </w:tc>
        <w:tc>
          <w:tcPr>
            <w:tcW w:w="7340" w:type="dxa"/>
            <w:vAlign w:val="bottom"/>
            <w:gridSpan w:val="6"/>
          </w:tcPr>
          <w:p>
            <w:pPr>
              <w:ind w:left="320"/>
              <w:spacing w:after="0"/>
              <w:rPr>
                <w:sz w:val="20"/>
                <w:szCs w:val="20"/>
                <w:color w:val="auto"/>
              </w:rPr>
            </w:pPr>
            <w:r>
              <w:rPr>
                <w:rFonts w:ascii="Arial" w:cs="Arial" w:eastAsia="Arial" w:hAnsi="Arial"/>
                <w:sz w:val="22"/>
                <w:szCs w:val="22"/>
                <w:color w:val="auto"/>
                <w:w w:val="93"/>
              </w:rPr>
              <w:t>This Warrant to Purchase Common Stock (“</w:t>
            </w:r>
            <w:r>
              <w:rPr>
                <w:rFonts w:ascii="Arial" w:cs="Arial" w:eastAsia="Arial" w:hAnsi="Arial"/>
                <w:sz w:val="22"/>
                <w:szCs w:val="22"/>
                <w:b w:val="1"/>
                <w:bCs w:val="1"/>
                <w:color w:val="auto"/>
                <w:w w:val="93"/>
              </w:rPr>
              <w:t>Warrant</w:t>
            </w:r>
            <w:r>
              <w:rPr>
                <w:rFonts w:ascii="Arial" w:cs="Arial" w:eastAsia="Arial" w:hAnsi="Arial"/>
                <w:sz w:val="22"/>
                <w:szCs w:val="22"/>
                <w:color w:val="auto"/>
                <w:w w:val="93"/>
              </w:rPr>
              <w:t>”) is issued in connection</w:t>
            </w:r>
          </w:p>
        </w:tc>
      </w:tr>
      <w:tr>
        <w:trPr>
          <w:trHeight w:val="20"/>
        </w:trPr>
        <w:tc>
          <w:tcPr>
            <w:tcW w:w="172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1720" w:type="dxa"/>
            <w:vAlign w:val="bottom"/>
          </w:tcPr>
          <w:p>
            <w:pPr>
              <w:spacing w:after="0"/>
              <w:rPr>
                <w:sz w:val="20"/>
                <w:szCs w:val="20"/>
                <w:color w:val="auto"/>
              </w:rPr>
            </w:pPr>
          </w:p>
        </w:tc>
        <w:tc>
          <w:tcPr>
            <w:tcW w:w="7340" w:type="dxa"/>
            <w:vAlign w:val="bottom"/>
            <w:gridSpan w:val="6"/>
          </w:tcPr>
          <w:p>
            <w:pPr>
              <w:ind w:left="140"/>
              <w:spacing w:after="0" w:line="237" w:lineRule="exact"/>
              <w:rPr>
                <w:sz w:val="20"/>
                <w:szCs w:val="20"/>
                <w:color w:val="auto"/>
              </w:rPr>
            </w:pPr>
            <w:r>
              <w:rPr>
                <w:rFonts w:ascii="Arial" w:cs="Arial" w:eastAsia="Arial" w:hAnsi="Arial"/>
                <w:sz w:val="22"/>
                <w:szCs w:val="22"/>
                <w:color w:val="auto"/>
                <w:w w:val="91"/>
              </w:rPr>
              <w:t>with that certain Loan and Security Agreement dated as of May 4, 2017, between</w:t>
            </w:r>
          </w:p>
        </w:tc>
      </w:tr>
      <w:tr>
        <w:trPr>
          <w:trHeight w:val="230"/>
        </w:trPr>
        <w:tc>
          <w:tcPr>
            <w:tcW w:w="1720" w:type="dxa"/>
            <w:vAlign w:val="bottom"/>
          </w:tcPr>
          <w:p>
            <w:pPr>
              <w:spacing w:after="0"/>
              <w:rPr>
                <w:sz w:val="20"/>
                <w:szCs w:val="20"/>
                <w:color w:val="auto"/>
              </w:rPr>
            </w:pPr>
          </w:p>
        </w:tc>
        <w:tc>
          <w:tcPr>
            <w:tcW w:w="7340" w:type="dxa"/>
            <w:vAlign w:val="bottom"/>
            <w:gridSpan w:val="6"/>
          </w:tcPr>
          <w:p>
            <w:pPr>
              <w:ind w:left="140"/>
              <w:spacing w:after="0" w:line="230" w:lineRule="exact"/>
              <w:rPr>
                <w:sz w:val="20"/>
                <w:szCs w:val="20"/>
                <w:color w:val="auto"/>
              </w:rPr>
            </w:pPr>
            <w:r>
              <w:rPr>
                <w:rFonts w:ascii="Arial" w:cs="Arial" w:eastAsia="Arial" w:hAnsi="Arial"/>
                <w:sz w:val="22"/>
                <w:szCs w:val="22"/>
                <w:color w:val="auto"/>
              </w:rPr>
              <w:t>Silicon Valley Bank and the Company (the “</w:t>
            </w:r>
            <w:r>
              <w:rPr>
                <w:rFonts w:ascii="Arial" w:cs="Arial" w:eastAsia="Arial" w:hAnsi="Arial"/>
                <w:sz w:val="22"/>
                <w:szCs w:val="22"/>
                <w:b w:val="1"/>
                <w:bCs w:val="1"/>
                <w:color w:val="auto"/>
              </w:rPr>
              <w:t>Loan Agreement</w:t>
            </w:r>
            <w:r>
              <w:rPr>
                <w:rFonts w:ascii="Arial" w:cs="Arial" w:eastAsia="Arial" w:hAnsi="Arial"/>
                <w:sz w:val="22"/>
                <w:szCs w:val="22"/>
                <w:color w:val="auto"/>
              </w:rPr>
              <w:t>”).</w:t>
            </w:r>
          </w:p>
        </w:tc>
      </w:tr>
      <w:tr>
        <w:trPr>
          <w:trHeight w:val="20"/>
        </w:trPr>
        <w:tc>
          <w:tcPr>
            <w:tcW w:w="1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9"/>
          <w:szCs w:val="19"/>
          <w:b w:val="1"/>
          <w:bCs w:val="1"/>
          <w:u w:val="single" w:color="auto"/>
          <w:color w:val="auto"/>
        </w:rPr>
        <w:t>Holder</w:t>
      </w:r>
      <w:r>
        <w:rPr>
          <w:rFonts w:ascii="Arial" w:cs="Arial" w:eastAsia="Arial" w:hAnsi="Arial"/>
          <w:sz w:val="19"/>
          <w:szCs w:val="19"/>
          <w:color w:val="auto"/>
        </w:rPr>
        <w:t>”) is entitled to purchase the number of fully paid and non-assessable shares (the “</w:t>
      </w:r>
      <w:r>
        <w:rPr>
          <w:rFonts w:ascii="Arial" w:cs="Arial" w:eastAsia="Arial" w:hAnsi="Arial"/>
          <w:sz w:val="19"/>
          <w:szCs w:val="19"/>
          <w:b w:val="1"/>
          <w:bCs w:val="1"/>
          <w:u w:val="single" w:color="auto"/>
          <w:color w:val="auto"/>
        </w:rPr>
        <w:t>Shares</w:t>
      </w:r>
      <w:r>
        <w:rPr>
          <w:rFonts w:ascii="Arial" w:cs="Arial" w:eastAsia="Arial" w:hAnsi="Arial"/>
          <w:sz w:val="19"/>
          <w:szCs w:val="19"/>
          <w:color w:val="auto"/>
        </w:rPr>
        <w:t>”) of the above-stated common stock (the “</w:t>
      </w:r>
      <w:r>
        <w:rPr>
          <w:rFonts w:ascii="Arial" w:cs="Arial" w:eastAsia="Arial" w:hAnsi="Arial"/>
          <w:sz w:val="19"/>
          <w:szCs w:val="19"/>
          <w:b w:val="1"/>
          <w:bCs w:val="1"/>
          <w:u w:val="single" w:color="auto"/>
          <w:color w:val="auto"/>
        </w:rPr>
        <w:t>Common Stock</w:t>
      </w:r>
      <w:r>
        <w:rPr>
          <w:rFonts w:ascii="Arial" w:cs="Arial" w:eastAsia="Arial" w:hAnsi="Arial"/>
          <w:sz w:val="19"/>
          <w:szCs w:val="19"/>
          <w:color w:val="auto"/>
        </w:rPr>
        <w:t>”) of the above-named company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EXERCISE</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Method of Exercise</w:t>
      </w:r>
      <w:r>
        <w:rPr>
          <w:rFonts w:ascii="Arial" w:cs="Arial" w:eastAsia="Arial" w:hAnsi="Arial"/>
          <w:sz w:val="19"/>
          <w:szCs w:val="19"/>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14408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57" w:lineRule="exact"/>
        <w:rPr>
          <w:sz w:val="20"/>
          <w:szCs w:val="20"/>
          <w:color w:val="auto"/>
        </w:rPr>
      </w:pPr>
    </w:p>
    <w:p>
      <w:pPr>
        <w:ind w:left="300" w:hanging="297"/>
        <w:spacing w:after="0"/>
        <w:tabs>
          <w:tab w:leader="none" w:pos="300" w:val="left"/>
        </w:tabs>
        <w:numPr>
          <w:ilvl w:val="0"/>
          <w:numId w:val="5"/>
        </w:numPr>
        <w:rPr>
          <w:rFonts w:ascii="Arial" w:cs="Arial" w:eastAsia="Arial" w:hAnsi="Arial"/>
          <w:sz w:val="11"/>
          <w:szCs w:val="11"/>
          <w:color w:val="auto"/>
        </w:rPr>
      </w:pPr>
      <w:r>
        <w:rPr>
          <w:rFonts w:ascii="Arial" w:cs="Arial" w:eastAsia="Arial" w:hAnsi="Arial"/>
          <w:sz w:val="20"/>
          <w:szCs w:val="20"/>
          <w:color w:val="auto"/>
        </w:rPr>
        <w:t>The average closing price for the previous five (5) consecutive days of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60" w:name="page61"/>
    <w:bookmarkEnd w:id="60"/>
    <w:p>
      <w:pPr>
        <w:jc w:val="both"/>
        <w:ind w:firstLine="648"/>
        <w:spacing w:after="0" w:line="235"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Cashless Exercise</w:t>
      </w:r>
      <w:r>
        <w:rPr>
          <w:rFonts w:ascii="Arial" w:cs="Arial" w:eastAsia="Arial" w:hAnsi="Arial"/>
          <w:sz w:val="22"/>
          <w:szCs w:val="22"/>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23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X = Y(A-B)/A</w:t>
      </w:r>
    </w:p>
    <w:p>
      <w:pPr>
        <w:spacing w:after="0" w:line="206" w:lineRule="exact"/>
        <w:rPr>
          <w:sz w:val="20"/>
          <w:szCs w:val="20"/>
          <w:color w:val="auto"/>
        </w:rPr>
      </w:pPr>
    </w:p>
    <w:p>
      <w:pPr>
        <w:ind w:left="620"/>
        <w:spacing w:after="0"/>
        <w:tabs>
          <w:tab w:leader="none" w:pos="1480" w:val="left"/>
        </w:tabs>
        <w:rPr>
          <w:sz w:val="20"/>
          <w:szCs w:val="20"/>
          <w:color w:val="auto"/>
        </w:rPr>
      </w:pPr>
      <w:r>
        <w:rPr>
          <w:rFonts w:ascii="Arial" w:cs="Arial" w:eastAsia="Arial" w:hAnsi="Arial"/>
          <w:sz w:val="22"/>
          <w:szCs w:val="22"/>
          <w:color w:val="auto"/>
        </w:rPr>
        <w:t>where:</w:t>
        <w:tab/>
        <w:t>X = the number of Shares to be issued to the Holder;</w:t>
      </w:r>
    </w:p>
    <w:p>
      <w:pPr>
        <w:spacing w:after="0" w:line="206" w:lineRule="exact"/>
        <w:rPr>
          <w:sz w:val="20"/>
          <w:szCs w:val="20"/>
          <w:color w:val="auto"/>
        </w:rPr>
      </w:pPr>
    </w:p>
    <w:p>
      <w:pPr>
        <w:jc w:val="both"/>
        <w:ind w:left="1960" w:hanging="458"/>
        <w:spacing w:after="0"/>
        <w:rPr>
          <w:sz w:val="20"/>
          <w:szCs w:val="20"/>
          <w:color w:val="auto"/>
        </w:rPr>
      </w:pPr>
      <w:r>
        <w:rPr>
          <w:rFonts w:ascii="Arial" w:cs="Arial" w:eastAsia="Arial" w:hAnsi="Arial"/>
          <w:sz w:val="22"/>
          <w:szCs w:val="22"/>
          <w:color w:val="auto"/>
        </w:rPr>
        <w:t>Y = the number of Shares with respect to which this Warrant is being exercised (inclusive of the Shares surrendered to the Company in payment of the aggregate Warrant Price);</w:t>
      </w:r>
    </w:p>
    <w:p>
      <w:pPr>
        <w:spacing w:after="0" w:line="186" w:lineRule="exact"/>
        <w:rPr>
          <w:sz w:val="20"/>
          <w:szCs w:val="20"/>
          <w:color w:val="auto"/>
        </w:rPr>
      </w:pPr>
    </w:p>
    <w:p>
      <w:pPr>
        <w:jc w:val="both"/>
        <w:ind w:left="1960" w:hanging="458"/>
        <w:spacing w:after="0" w:line="251" w:lineRule="auto"/>
        <w:rPr>
          <w:sz w:val="20"/>
          <w:szCs w:val="20"/>
          <w:color w:val="auto"/>
        </w:rPr>
      </w:pPr>
      <w:r>
        <w:rPr>
          <w:rFonts w:ascii="Arial" w:cs="Arial" w:eastAsia="Arial" w:hAnsi="Arial"/>
          <w:sz w:val="22"/>
          <w:szCs w:val="22"/>
          <w:color w:val="auto"/>
        </w:rPr>
        <w:t>A = the Fair Market Value (as determined pursuant to Section 1.3 below) of one Share; and</w:t>
      </w:r>
    </w:p>
    <w:p>
      <w:pPr>
        <w:spacing w:after="0" w:line="17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B =  the Warrant Price.</w:t>
      </w:r>
    </w:p>
    <w:p>
      <w:pPr>
        <w:spacing w:after="0" w:line="20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u w:val="single" w:color="auto"/>
          <w:color w:val="auto"/>
        </w:rPr>
        <w:t>Fair Market Value</w:t>
      </w:r>
      <w:r>
        <w:rPr>
          <w:rFonts w:ascii="Arial" w:cs="Arial" w:eastAsia="Arial" w:hAnsi="Arial"/>
          <w:sz w:val="21"/>
          <w:szCs w:val="21"/>
          <w:color w:val="auto"/>
        </w:rPr>
        <w:t>. If the Company’s Common Stock is then traded or quoted on a nationally recognized securities exchange, inter-dealer quotation system or over-the-counter market (a “</w:t>
      </w:r>
      <w:r>
        <w:rPr>
          <w:rFonts w:ascii="Arial" w:cs="Arial" w:eastAsia="Arial" w:hAnsi="Arial"/>
          <w:sz w:val="21"/>
          <w:szCs w:val="21"/>
          <w:b w:val="1"/>
          <w:bCs w:val="1"/>
          <w:u w:val="single" w:color="auto"/>
          <w:color w:val="auto"/>
        </w:rPr>
        <w:t>Trading Market</w:t>
      </w:r>
      <w:r>
        <w:rPr>
          <w:rFonts w:ascii="Arial" w:cs="Arial" w:eastAsia="Arial" w:hAnsi="Arial"/>
          <w:sz w:val="21"/>
          <w:szCs w:val="21"/>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7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Delivery of Certificate and New Warrant</w:t>
      </w:r>
      <w:r>
        <w:rPr>
          <w:rFonts w:ascii="Arial" w:cs="Arial" w:eastAsia="Arial" w:hAnsi="Arial"/>
          <w:sz w:val="22"/>
          <w:szCs w:val="22"/>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8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Replacement of Warrant</w:t>
      </w:r>
      <w:r>
        <w:rPr>
          <w:rFonts w:ascii="Arial" w:cs="Arial" w:eastAsia="Arial" w:hAnsi="Arial"/>
          <w:sz w:val="22"/>
          <w:szCs w:val="22"/>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Treatment of Warrant Upon Acquisition of Company</w:t>
      </w:r>
      <w:r>
        <w:rPr>
          <w:rFonts w:ascii="Arial" w:cs="Arial" w:eastAsia="Arial" w:hAnsi="Arial"/>
          <w:sz w:val="19"/>
          <w:szCs w:val="19"/>
          <w:color w:val="auto"/>
        </w:rPr>
        <w:t>.</w:t>
      </w:r>
    </w:p>
    <w:p>
      <w:pPr>
        <w:spacing w:after="0" w:line="200" w:lineRule="exact"/>
        <w:rPr>
          <w:sz w:val="20"/>
          <w:szCs w:val="20"/>
          <w:color w:val="auto"/>
        </w:rPr>
      </w:pPr>
    </w:p>
    <w:p>
      <w:pPr>
        <w:jc w:val="both"/>
        <w:ind w:firstLine="1299"/>
        <w:spacing w:after="0" w:line="289" w:lineRule="auto"/>
        <w:tabs>
          <w:tab w:leader="none" w:pos="2360"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Acquisition</w:t>
      </w:r>
      <w:r>
        <w:rPr>
          <w:rFonts w:ascii="Arial" w:cs="Arial" w:eastAsia="Arial" w:hAnsi="Arial"/>
          <w:sz w:val="19"/>
          <w:szCs w:val="19"/>
          <w:color w:val="auto"/>
        </w:rPr>
        <w:t>. For the purpose of this Warrant, “</w:t>
      </w:r>
      <w:r>
        <w:rPr>
          <w:rFonts w:ascii="Arial" w:cs="Arial" w:eastAsia="Arial" w:hAnsi="Arial"/>
          <w:sz w:val="19"/>
          <w:szCs w:val="19"/>
          <w:b w:val="1"/>
          <w:bCs w:val="1"/>
          <w:u w:val="single" w:color="auto"/>
          <w:color w:val="auto"/>
        </w:rPr>
        <w:t>Acquisition</w:t>
      </w:r>
      <w:r>
        <w:rPr>
          <w:rFonts w:ascii="Arial" w:cs="Arial" w:eastAsia="Arial" w:hAnsi="Arial"/>
          <w:sz w:val="19"/>
          <w:szCs w:val="19"/>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1" w:name="page62"/>
    <w:bookmarkEnd w:id="61"/>
    <w:p>
      <w:pPr>
        <w:jc w:val="both"/>
        <w:spacing w:after="0" w:line="248" w:lineRule="auto"/>
        <w:rPr>
          <w:sz w:val="20"/>
          <w:szCs w:val="20"/>
          <w:color w:val="auto"/>
        </w:rPr>
      </w:pPr>
      <w:r>
        <w:rPr>
          <w:rFonts w:ascii="Arial" w:cs="Arial" w:eastAsia="Arial" w:hAnsi="Arial"/>
          <w:sz w:val="21"/>
          <w:szCs w:val="21"/>
          <w:color w:val="auto"/>
        </w:rPr>
        <w:t>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78" w:lineRule="exact"/>
        <w:rPr>
          <w:sz w:val="20"/>
          <w:szCs w:val="20"/>
          <w:color w:val="auto"/>
        </w:rPr>
      </w:pPr>
    </w:p>
    <w:p>
      <w:pPr>
        <w:jc w:val="both"/>
        <w:ind w:firstLine="1299"/>
        <w:spacing w:after="0" w:line="271" w:lineRule="auto"/>
        <w:tabs>
          <w:tab w:leader="none" w:pos="2008"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b w:val="1"/>
          <w:bCs w:val="1"/>
          <w:u w:val="single" w:color="auto"/>
          <w:color w:val="auto"/>
        </w:rPr>
        <w:t>Cash/Public</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Acquisition</w:t>
      </w:r>
      <w:r>
        <w:rPr>
          <w:rFonts w:ascii="Arial" w:cs="Arial" w:eastAsia="Arial" w:hAnsi="Arial"/>
          <w:sz w:val="19"/>
          <w:szCs w:val="19"/>
          <w:color w:val="auto"/>
        </w:rPr>
        <w:t>”), and the fair market value of one Share as determined in accordance with Section 1.3</w:t>
      </w:r>
      <w:r>
        <w:rPr>
          <w:rFonts w:ascii="Arial" w:cs="Arial" w:eastAsia="Arial" w:hAnsi="Arial"/>
          <w:sz w:val="19"/>
          <w:szCs w:val="19"/>
          <w:b w:val="1"/>
          <w:bCs w:val="1"/>
          <w:color w:val="auto"/>
        </w:rPr>
        <w:t xml:space="preserve"> </w:t>
      </w:r>
      <w:r>
        <w:rPr>
          <w:rFonts w:ascii="Arial" w:cs="Arial" w:eastAsia="Arial" w:hAnsi="Arial"/>
          <w:sz w:val="19"/>
          <w:szCs w:val="19"/>
          <w:color w:val="auto"/>
        </w:rPr>
        <w:t>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1299"/>
        <w:spacing w:after="0" w:line="279" w:lineRule="auto"/>
        <w:tabs>
          <w:tab w:leader="none" w:pos="1974" w:val="left"/>
        </w:tabs>
        <w:numPr>
          <w:ilvl w:val="0"/>
          <w:numId w:val="7"/>
        </w:numPr>
        <w:rPr>
          <w:rFonts w:ascii="Arial" w:cs="Arial" w:eastAsia="Arial" w:hAnsi="Arial"/>
          <w:sz w:val="19"/>
          <w:szCs w:val="19"/>
          <w:color w:val="auto"/>
        </w:rPr>
      </w:pPr>
      <w:r>
        <w:rPr>
          <w:rFonts w:ascii="Arial" w:cs="Arial" w:eastAsia="Arial" w:hAnsi="Arial"/>
          <w:sz w:val="19"/>
          <w:szCs w:val="19"/>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44" w:lineRule="exact"/>
        <w:rPr>
          <w:rFonts w:ascii="Arial" w:cs="Arial" w:eastAsia="Arial" w:hAnsi="Arial"/>
          <w:sz w:val="19"/>
          <w:szCs w:val="19"/>
          <w:color w:val="auto"/>
        </w:rPr>
      </w:pPr>
    </w:p>
    <w:p>
      <w:pPr>
        <w:jc w:val="both"/>
        <w:ind w:firstLine="1299"/>
        <w:spacing w:after="0" w:line="273" w:lineRule="auto"/>
        <w:tabs>
          <w:tab w:leader="none" w:pos="1969" w:val="left"/>
        </w:tabs>
        <w:numPr>
          <w:ilvl w:val="0"/>
          <w:numId w:val="7"/>
        </w:numPr>
        <w:rPr>
          <w:rFonts w:ascii="Arial" w:cs="Arial" w:eastAsia="Arial" w:hAnsi="Arial"/>
          <w:sz w:val="19"/>
          <w:szCs w:val="19"/>
          <w:color w:val="auto"/>
        </w:rPr>
      </w:pPr>
      <w:r>
        <w:rPr>
          <w:rFonts w:ascii="Arial" w:cs="Arial" w:eastAsia="Arial" w:hAnsi="Arial"/>
          <w:sz w:val="19"/>
          <w:szCs w:val="19"/>
          <w:color w:val="auto"/>
        </w:rPr>
        <w:t>As used in this Warrant, “</w:t>
      </w:r>
      <w:r>
        <w:rPr>
          <w:rFonts w:ascii="Arial" w:cs="Arial" w:eastAsia="Arial" w:hAnsi="Arial"/>
          <w:sz w:val="19"/>
          <w:szCs w:val="19"/>
          <w:b w:val="1"/>
          <w:bCs w:val="1"/>
          <w:u w:val="single" w:color="auto"/>
          <w:color w:val="auto"/>
        </w:rPr>
        <w:t>Marketable Securities</w:t>
      </w:r>
      <w:r>
        <w:rPr>
          <w:rFonts w:ascii="Arial" w:cs="Arial" w:eastAsia="Arial" w:hAnsi="Arial"/>
          <w:sz w:val="19"/>
          <w:szCs w:val="19"/>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ADJUSTMENTS TO THE SHARES AND WARRANT PRICE</w:t>
      </w:r>
      <w:r>
        <w:rPr>
          <w:rFonts w:ascii="Arial" w:cs="Arial" w:eastAsia="Arial" w:hAnsi="Arial"/>
          <w:sz w:val="22"/>
          <w:szCs w:val="22"/>
          <w:color w:val="auto"/>
        </w:rPr>
        <w:t>.</w:t>
      </w:r>
    </w:p>
    <w:p>
      <w:pPr>
        <w:spacing w:after="0" w:line="20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Stock Dividends, Splits, Etc.</w:t>
      </w:r>
      <w:r>
        <w:rPr>
          <w:rFonts w:ascii="Arial" w:cs="Arial" w:eastAsia="Arial" w:hAnsi="Arial"/>
          <w:sz w:val="21"/>
          <w:szCs w:val="21"/>
          <w:color w:val="auto"/>
        </w:rPr>
        <w:t xml:space="preserve">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9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Reclassification, Exchange, Combinations or Substitution</w:t>
      </w:r>
      <w:r>
        <w:rPr>
          <w:rFonts w:ascii="Arial" w:cs="Arial" w:eastAsia="Arial" w:hAnsi="Arial"/>
          <w:sz w:val="21"/>
          <w:szCs w:val="21"/>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No Fractional Share</w:t>
      </w:r>
      <w:r>
        <w:rPr>
          <w:rFonts w:ascii="Arial" w:cs="Arial" w:eastAsia="Arial" w:hAnsi="Arial"/>
          <w:sz w:val="19"/>
          <w:szCs w:val="19"/>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w:t>
      </w:r>
    </w:p>
    <w:p>
      <w:pPr>
        <w:spacing w:after="0" w:line="4" w:lineRule="exact"/>
        <w:rPr>
          <w:sz w:val="20"/>
          <w:szCs w:val="20"/>
          <w:color w:val="auto"/>
        </w:rPr>
      </w:pPr>
    </w:p>
    <w:p>
      <w:pPr>
        <w:ind w:left="300" w:hanging="297"/>
        <w:spacing w:after="0"/>
        <w:tabs>
          <w:tab w:leader="none" w:pos="30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fair market value (as determined in accordance with Section 1.3 above) of a full Share, less</w:t>
      </w:r>
    </w:p>
    <w:p>
      <w:pPr>
        <w:spacing w:after="0" w:line="24" w:lineRule="exact"/>
        <w:rPr>
          <w:rFonts w:ascii="Arial" w:cs="Arial" w:eastAsia="Arial" w:hAnsi="Arial"/>
          <w:sz w:val="19"/>
          <w:szCs w:val="19"/>
          <w:color w:val="auto"/>
        </w:rPr>
      </w:pPr>
    </w:p>
    <w:p>
      <w:pPr>
        <w:ind w:left="320" w:hanging="317"/>
        <w:spacing w:after="0"/>
        <w:tabs>
          <w:tab w:leader="none" w:pos="32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then-effective Warrant Price.</w:t>
      </w:r>
    </w:p>
    <w:p>
      <w:pPr>
        <w:spacing w:after="0" w:line="18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Notice/Certificate as to Adjustments</w:t>
      </w:r>
      <w:r>
        <w:rPr>
          <w:rFonts w:ascii="Arial" w:cs="Arial" w:eastAsia="Arial" w:hAnsi="Arial"/>
          <w:sz w:val="22"/>
          <w:szCs w:val="22"/>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REPRESENTATIONS AND COVENANTS OF THE COMPANY</w:t>
      </w:r>
      <w:r>
        <w:rPr>
          <w:rFonts w:ascii="Arial" w:cs="Arial" w:eastAsia="Arial" w:hAnsi="Arial"/>
          <w:sz w:val="22"/>
          <w:szCs w:val="22"/>
          <w:color w:val="auto"/>
        </w:rPr>
        <w:t>.</w:t>
      </w:r>
    </w:p>
    <w:p>
      <w:pPr>
        <w:spacing w:after="0" w:line="207"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Company represents and warrants to, and agrees with, the Holder as follows:</w:t>
      </w:r>
    </w:p>
    <w:p>
      <w:pPr>
        <w:spacing w:after="0" w:line="173" w:lineRule="exact"/>
        <w:rPr>
          <w:sz w:val="20"/>
          <w:szCs w:val="20"/>
          <w:color w:val="auto"/>
        </w:rPr>
      </w:pPr>
    </w:p>
    <w:p>
      <w:pPr>
        <w:jc w:val="both"/>
        <w:ind w:firstLine="1299"/>
        <w:spacing w:after="0" w:line="297" w:lineRule="auto"/>
        <w:tabs>
          <w:tab w:leader="none" w:pos="1969"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initial Warrant Price referenced on the first page of this Warrant is not greater than the price per share at which shares of Company Common Stock or options to purchase shares of Company Common Stock were issued immediately prior to the Issue Date hereof.</w:t>
      </w:r>
    </w:p>
    <w:p>
      <w:pPr>
        <w:spacing w:after="0" w:line="134" w:lineRule="exact"/>
        <w:rPr>
          <w:rFonts w:ascii="Arial" w:cs="Arial" w:eastAsia="Arial" w:hAnsi="Arial"/>
          <w:sz w:val="19"/>
          <w:szCs w:val="19"/>
          <w:color w:val="auto"/>
        </w:rPr>
      </w:pPr>
    </w:p>
    <w:p>
      <w:pPr>
        <w:jc w:val="both"/>
        <w:ind w:firstLine="1299"/>
        <w:spacing w:after="0" w:line="248" w:lineRule="auto"/>
        <w:tabs>
          <w:tab w:leader="none" w:pos="2102" w:val="left"/>
        </w:tabs>
        <w:numPr>
          <w:ilvl w:val="0"/>
          <w:numId w:val="9"/>
        </w:numPr>
        <w:rPr>
          <w:rFonts w:ascii="Arial" w:cs="Arial" w:eastAsia="Arial" w:hAnsi="Arial"/>
          <w:sz w:val="21"/>
          <w:szCs w:val="21"/>
          <w:color w:val="auto"/>
        </w:rPr>
      </w:pPr>
      <w:r>
        <w:rPr>
          <w:rFonts w:ascii="Arial" w:cs="Arial" w:eastAsia="Arial" w:hAnsi="Arial"/>
          <w:sz w:val="21"/>
          <w:szCs w:val="21"/>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77" w:lineRule="exact"/>
        <w:rPr>
          <w:rFonts w:ascii="Arial" w:cs="Arial" w:eastAsia="Arial" w:hAnsi="Arial"/>
          <w:sz w:val="21"/>
          <w:szCs w:val="21"/>
          <w:color w:val="auto"/>
        </w:rPr>
      </w:pPr>
    </w:p>
    <w:p>
      <w:pPr>
        <w:ind w:firstLine="1299"/>
        <w:spacing w:after="0" w:line="251" w:lineRule="auto"/>
        <w:tabs>
          <w:tab w:leader="none" w:pos="2158"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Company’s capitalization table attached hereto as Schedule 1 is true and complete, in all material respects, as of the Issue Date.</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Notice of Certain Events</w:t>
      </w:r>
      <w:r>
        <w:rPr>
          <w:rFonts w:ascii="Arial" w:cs="Arial" w:eastAsia="Arial" w:hAnsi="Arial"/>
          <w:sz w:val="19"/>
          <w:szCs w:val="19"/>
          <w:color w:val="auto"/>
        </w:rPr>
        <w:t>. If the Company proposes at any time to:</w:t>
      </w:r>
    </w:p>
    <w:p>
      <w:pPr>
        <w:spacing w:after="0" w:line="206" w:lineRule="exact"/>
        <w:rPr>
          <w:sz w:val="20"/>
          <w:szCs w:val="20"/>
          <w:color w:val="auto"/>
        </w:rPr>
      </w:pPr>
    </w:p>
    <w:p>
      <w:pPr>
        <w:jc w:val="both"/>
        <w:ind w:firstLine="1299"/>
        <w:spacing w:after="0"/>
        <w:tabs>
          <w:tab w:leader="none" w:pos="2407" w:val="left"/>
        </w:tabs>
        <w:numPr>
          <w:ilvl w:val="0"/>
          <w:numId w:val="10"/>
        </w:numPr>
        <w:rPr>
          <w:rFonts w:ascii="Arial" w:cs="Arial" w:eastAsia="Arial" w:hAnsi="Arial"/>
          <w:sz w:val="22"/>
          <w:szCs w:val="22"/>
          <w:color w:val="auto"/>
        </w:rPr>
      </w:pPr>
      <w:r>
        <w:rPr>
          <w:rFonts w:ascii="Arial" w:cs="Arial" w:eastAsia="Arial" w:hAnsi="Arial"/>
          <w:sz w:val="22"/>
          <w:szCs w:val="22"/>
          <w:color w:val="auto"/>
        </w:rPr>
        <w:t>declare any dividend or distribution upon the outstanding shares of the Company’s stock, whether in cash, property, stock, or other securities and whether or not a regular cash dividend;</w:t>
      </w:r>
    </w:p>
    <w:p>
      <w:pPr>
        <w:spacing w:after="0" w:line="186" w:lineRule="exact"/>
        <w:rPr>
          <w:rFonts w:ascii="Arial" w:cs="Arial" w:eastAsia="Arial" w:hAnsi="Arial"/>
          <w:sz w:val="22"/>
          <w:szCs w:val="22"/>
          <w:color w:val="auto"/>
        </w:rPr>
      </w:pPr>
    </w:p>
    <w:p>
      <w:pPr>
        <w:jc w:val="both"/>
        <w:ind w:firstLine="1299"/>
        <w:spacing w:after="0"/>
        <w:tabs>
          <w:tab w:leader="none" w:pos="2015" w:val="left"/>
        </w:tabs>
        <w:numPr>
          <w:ilvl w:val="0"/>
          <w:numId w:val="10"/>
        </w:numPr>
        <w:rPr>
          <w:rFonts w:ascii="Arial" w:cs="Arial" w:eastAsia="Arial" w:hAnsi="Arial"/>
          <w:sz w:val="22"/>
          <w:szCs w:val="22"/>
          <w:color w:val="auto"/>
        </w:rPr>
      </w:pPr>
      <w:r>
        <w:rPr>
          <w:rFonts w:ascii="Arial" w:cs="Arial" w:eastAsia="Arial" w:hAnsi="Arial"/>
          <w:sz w:val="22"/>
          <w:szCs w:val="22"/>
          <w:color w:val="auto"/>
        </w:rPr>
        <w:t>offer for subscription or sale pro rata to the holders of the outstanding shares any additional shares of any class or series of the Company’s stock (other than pursuant to contractual pre-emptive rights);</w:t>
      </w:r>
    </w:p>
    <w:p>
      <w:pPr>
        <w:spacing w:after="0" w:line="186" w:lineRule="exact"/>
        <w:rPr>
          <w:rFonts w:ascii="Arial" w:cs="Arial" w:eastAsia="Arial" w:hAnsi="Arial"/>
          <w:sz w:val="22"/>
          <w:szCs w:val="22"/>
          <w:color w:val="auto"/>
        </w:rPr>
      </w:pPr>
    </w:p>
    <w:p>
      <w:pPr>
        <w:ind w:firstLine="1299"/>
        <w:spacing w:after="0" w:line="251" w:lineRule="auto"/>
        <w:tabs>
          <w:tab w:leader="none" w:pos="1997" w:val="left"/>
        </w:tabs>
        <w:numPr>
          <w:ilvl w:val="0"/>
          <w:numId w:val="10"/>
        </w:numPr>
        <w:rPr>
          <w:rFonts w:ascii="Arial" w:cs="Arial" w:eastAsia="Arial" w:hAnsi="Arial"/>
          <w:sz w:val="22"/>
          <w:szCs w:val="22"/>
          <w:color w:val="auto"/>
        </w:rPr>
      </w:pPr>
      <w:r>
        <w:rPr>
          <w:rFonts w:ascii="Arial" w:cs="Arial" w:eastAsia="Arial" w:hAnsi="Arial"/>
          <w:sz w:val="22"/>
          <w:szCs w:val="22"/>
          <w:color w:val="auto"/>
        </w:rPr>
        <w:t>effect any reclassification, exchange, combination, substitution, reorganization or recapitalization of the outstanding shares of the Common Stock; or</w:t>
      </w:r>
    </w:p>
    <w:p>
      <w:pPr>
        <w:spacing w:after="0" w:line="173" w:lineRule="exact"/>
        <w:rPr>
          <w:rFonts w:ascii="Arial" w:cs="Arial" w:eastAsia="Arial" w:hAnsi="Arial"/>
          <w:sz w:val="22"/>
          <w:szCs w:val="22"/>
          <w:color w:val="auto"/>
        </w:rPr>
      </w:pPr>
    </w:p>
    <w:p>
      <w:pPr>
        <w:ind w:left="1980" w:hanging="681"/>
        <w:spacing w:after="0"/>
        <w:tabs>
          <w:tab w:leader="none" w:pos="19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effect an Acquisition or to liquidate, dissolve or wind up.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then, in connection with each such event, the Company shall give Holder:</w:t>
      </w:r>
    </w:p>
    <w:p>
      <w:pPr>
        <w:spacing w:after="0" w:line="206" w:lineRule="exact"/>
        <w:rPr>
          <w:sz w:val="20"/>
          <w:szCs w:val="20"/>
          <w:color w:val="auto"/>
        </w:rPr>
      </w:pPr>
    </w:p>
    <w:p>
      <w:pPr>
        <w:jc w:val="both"/>
        <w:ind w:left="1300" w:firstLine="648"/>
        <w:spacing w:after="0" w:line="282" w:lineRule="auto"/>
        <w:tabs>
          <w:tab w:leader="none" w:pos="2937"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 and</w:t>
      </w:r>
    </w:p>
    <w:p>
      <w:pPr>
        <w:spacing w:after="0" w:line="147" w:lineRule="exact"/>
        <w:rPr>
          <w:rFonts w:ascii="Arial" w:cs="Arial" w:eastAsia="Arial" w:hAnsi="Arial"/>
          <w:sz w:val="19"/>
          <w:szCs w:val="19"/>
          <w:color w:val="auto"/>
        </w:rPr>
      </w:pPr>
    </w:p>
    <w:p>
      <w:pPr>
        <w:jc w:val="both"/>
        <w:ind w:left="1300" w:firstLine="648"/>
        <w:spacing w:after="0" w:line="249" w:lineRule="auto"/>
        <w:tabs>
          <w:tab w:leader="none" w:pos="2646"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4" w:name="page65"/>
    <w:bookmarkEnd w:id="64"/>
    <w:p>
      <w:pPr>
        <w:ind w:left="1300"/>
        <w:spacing w:after="0" w:line="251" w:lineRule="auto"/>
        <w:rPr>
          <w:sz w:val="20"/>
          <w:szCs w:val="20"/>
          <w:color w:val="auto"/>
        </w:rPr>
      </w:pPr>
      <w:r>
        <w:rPr>
          <w:rFonts w:ascii="Arial" w:cs="Arial" w:eastAsia="Arial" w:hAnsi="Arial"/>
          <w:sz w:val="22"/>
          <w:szCs w:val="22"/>
          <w:color w:val="auto"/>
        </w:rPr>
        <w:t>Holder may reasonably require regarding the treatment of this Warrant in connection with such event giving rise to the notice).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Company will also provide information requested by Holder that is reasonably necessary to enable Holder to comply with Holder’s accounting or reporting requirements.</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REPRESENTATIONS, WARRANTIES OF THE HOLDER</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Holder represents and warrants to the Company as follows:</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Purchase for Own Account</w:t>
      </w:r>
      <w:r>
        <w:rPr>
          <w:rFonts w:ascii="Arial" w:cs="Arial" w:eastAsia="Arial" w:hAnsi="Arial"/>
          <w:sz w:val="19"/>
          <w:szCs w:val="19"/>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4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5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Investment Experience</w:t>
      </w:r>
      <w:r>
        <w:rPr>
          <w:rFonts w:ascii="Arial" w:cs="Arial" w:eastAsia="Arial" w:hAnsi="Arial"/>
          <w:sz w:val="21"/>
          <w:szCs w:val="21"/>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Accredited Investor Status</w:t>
      </w:r>
      <w:r>
        <w:rPr>
          <w:rFonts w:ascii="Arial" w:cs="Arial" w:eastAsia="Arial" w:hAnsi="Arial"/>
          <w:sz w:val="22"/>
          <w:szCs w:val="22"/>
          <w:color w:val="auto"/>
        </w:rPr>
        <w:t>. Holder is an “accredited investor” within the meaning of Regulation D promulgated under the Act.</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The Act</w:t>
      </w:r>
      <w:r>
        <w:rPr>
          <w:rFonts w:ascii="Arial" w:cs="Arial" w:eastAsia="Arial" w:hAnsi="Arial"/>
          <w:sz w:val="19"/>
          <w:szCs w:val="19"/>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5" w:name="page66"/>
    <w:bookmarkEnd w:id="65"/>
    <w:p>
      <w:pPr>
        <w:ind w:firstLine="648"/>
        <w:spacing w:after="0" w:line="329"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Market Stand-off Agreement</w:t>
      </w:r>
      <w:r>
        <w:rPr>
          <w:rFonts w:ascii="Arial" w:cs="Arial" w:eastAsia="Arial" w:hAnsi="Arial"/>
          <w:sz w:val="19"/>
          <w:szCs w:val="19"/>
          <w:color w:val="auto"/>
        </w:rPr>
        <w:t>. The Holder agrees that the Shares shall be subject to the Market Standoff provisions in Section 2.11 of the Investor Rights Agreement or similar agreement.</w:t>
      </w:r>
    </w:p>
    <w:p>
      <w:pPr>
        <w:spacing w:after="0" w:line="104"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No Voting Rights</w:t>
      </w:r>
      <w:r>
        <w:rPr>
          <w:rFonts w:ascii="Arial" w:cs="Arial" w:eastAsia="Arial" w:hAnsi="Arial"/>
          <w:sz w:val="22"/>
          <w:szCs w:val="22"/>
          <w:color w:val="auto"/>
        </w:rPr>
        <w:t>. Holder, as a Holder of this Warrant, will not have any voting rights until the exercise of this Warrant.</w:t>
      </w:r>
    </w:p>
    <w:p>
      <w:pPr>
        <w:spacing w:after="0" w:line="173"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Term and Automatic Conversion Upon Expiration</w:t>
      </w:r>
      <w:r>
        <w:rPr>
          <w:rFonts w:ascii="Arial" w:cs="Arial" w:eastAsia="Arial" w:hAnsi="Arial"/>
          <w:sz w:val="19"/>
          <w:szCs w:val="19"/>
          <w:color w:val="auto"/>
        </w:rPr>
        <w:t>.</w:t>
      </w:r>
    </w:p>
    <w:p>
      <w:pPr>
        <w:spacing w:after="0" w:line="206" w:lineRule="exact"/>
        <w:rPr>
          <w:sz w:val="20"/>
          <w:szCs w:val="20"/>
          <w:color w:val="auto"/>
        </w:rPr>
      </w:pPr>
    </w:p>
    <w:p>
      <w:pPr>
        <w:jc w:val="both"/>
        <w:ind w:firstLine="1299"/>
        <w:spacing w:after="0"/>
        <w:tabs>
          <w:tab w:leader="none" w:pos="2009"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Subject to the provisions of Section 1.6 above, this Warrant is exercisable in whole or in part at any time and from time to time on or before 6:00 PM, Pacific time, on the Expiration Date and shall be void thereafter.</w:t>
      </w:r>
    </w:p>
    <w:p>
      <w:pPr>
        <w:spacing w:after="0" w:line="186" w:lineRule="exact"/>
        <w:rPr>
          <w:rFonts w:ascii="Arial" w:cs="Arial" w:eastAsia="Arial" w:hAnsi="Arial"/>
          <w:sz w:val="22"/>
          <w:szCs w:val="22"/>
          <w:color w:val="auto"/>
        </w:rPr>
      </w:pPr>
    </w:p>
    <w:p>
      <w:pPr>
        <w:jc w:val="both"/>
        <w:ind w:firstLine="1299"/>
        <w:spacing w:after="0" w:line="277" w:lineRule="auto"/>
        <w:tabs>
          <w:tab w:leader="none" w:pos="2264"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Automatic Cashless Exercise upon Expiration</w:t>
      </w:r>
      <w:r>
        <w:rPr>
          <w:rFonts w:ascii="Arial" w:cs="Arial" w:eastAsia="Arial" w:hAnsi="Arial"/>
          <w:sz w:val="19"/>
          <w:szCs w:val="19"/>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5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Legends</w:t>
      </w:r>
      <w:r>
        <w:rPr>
          <w:rFonts w:ascii="Arial" w:cs="Arial" w:eastAsia="Arial" w:hAnsi="Arial"/>
          <w:sz w:val="19"/>
          <w:szCs w:val="19"/>
          <w:color w:val="auto"/>
        </w:rPr>
        <w:t>. The Shares (and the securities issuable, directly or indirectly, upon conversion of the Shares, if any) shall be imprinted with a legend in substantially the following form:</w:t>
      </w:r>
    </w:p>
    <w:p>
      <w:pPr>
        <w:spacing w:after="0" w:line="105" w:lineRule="exact"/>
        <w:rPr>
          <w:sz w:val="20"/>
          <w:szCs w:val="20"/>
          <w:color w:val="auto"/>
        </w:rPr>
      </w:pPr>
    </w:p>
    <w:p>
      <w:pPr>
        <w:jc w:val="both"/>
        <w:ind w:left="660"/>
        <w:spacing w:after="0" w:line="233" w:lineRule="auto"/>
        <w:rPr>
          <w:sz w:val="20"/>
          <w:szCs w:val="20"/>
          <w:color w:val="auto"/>
        </w:rPr>
      </w:pPr>
      <w:r>
        <w:rPr>
          <w:rFonts w:ascii="Arial" w:cs="Arial" w:eastAsia="Arial" w:hAnsi="Arial"/>
          <w:sz w:val="22"/>
          <w:szCs w:val="22"/>
          <w:color w:val="auto"/>
        </w:rPr>
        <w:t>THE SHARES EVIDENCED BY THIS CERTIFICATE HAVE NOT BEEN REGISTERED UNDER THE SECURITIES ACT OF 1933, AS AMENDED (THE “</w:t>
      </w:r>
      <w:r>
        <w:rPr>
          <w:rFonts w:ascii="Arial" w:cs="Arial" w:eastAsia="Arial" w:hAnsi="Arial"/>
          <w:sz w:val="22"/>
          <w:szCs w:val="22"/>
          <w:b w:val="1"/>
          <w:bCs w:val="1"/>
          <w:u w:val="single" w:color="auto"/>
          <w:color w:val="auto"/>
        </w:rPr>
        <w:t>ACT</w:t>
      </w:r>
      <w:r>
        <w:rPr>
          <w:rFonts w:ascii="Arial" w:cs="Arial" w:eastAsia="Arial" w:hAnsi="Arial"/>
          <w:sz w:val="22"/>
          <w:szCs w:val="22"/>
          <w:color w:val="auto"/>
        </w:rPr>
        <w:t>”), OR THE SECURITIES LAWS OF ANY STATE AND, EXCEPT AS SET FORTH IN THAT CERTAIN WARRANT TO PURCHASE COMMON STOCK ISSUED BY THE ISSUER TO SILICON VALLEY BANK DATED JUNE [__], 2018, MAY NOT BE OFFERED, SOLD, PLEDGED OR OTHERWISE TRANSFERRED UNLESS AND UNTIL REGISTERED UNDER SAID ACT AND LAWS OR IN FORM AND SUBSTANCE SATISFACTORY TO THE ISSUER, SUCH OFFER, SALE, PLEDGE OR OTHER TRANSFER IS EXEMPT FROM SUCH REGISTRATION.</w:t>
      </w:r>
    </w:p>
    <w:p>
      <w:pPr>
        <w:spacing w:after="0" w:line="19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Compliance with Securities Laws on Transfer</w:t>
      </w:r>
      <w:r>
        <w:rPr>
          <w:rFonts w:ascii="Arial" w:cs="Arial" w:eastAsia="Arial" w:hAnsi="Arial"/>
          <w:sz w:val="21"/>
          <w:szCs w:val="21"/>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6" w:name="page67"/>
    <w:bookmarkEnd w:id="66"/>
    <w:p>
      <w:pPr>
        <w:jc w:val="both"/>
        <w:spacing w:after="0" w:line="251" w:lineRule="auto"/>
        <w:rPr>
          <w:sz w:val="20"/>
          <w:szCs w:val="20"/>
          <w:color w:val="auto"/>
        </w:rPr>
      </w:pPr>
      <w:r>
        <w:rPr>
          <w:rFonts w:ascii="Arial" w:cs="Arial" w:eastAsia="Arial" w:hAnsi="Arial"/>
          <w:sz w:val="22"/>
          <w:szCs w:val="22"/>
          <w:color w:val="auto"/>
        </w:rPr>
        <w:t>Additionally, the Company shall also not require an opinion of counsel if there is no material question as to the availability of Rule 144 promulgated under the Act.</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Transfer Procedure</w:t>
      </w:r>
      <w:r>
        <w:rPr>
          <w:rFonts w:ascii="Arial" w:cs="Arial" w:eastAsia="Arial" w:hAnsi="Arial"/>
          <w:sz w:val="19"/>
          <w:szCs w:val="19"/>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from the Company to the Holder, or vice versa, shall be deemed delivered and effective (i) when given personally, (ii)on the third (3</w:t>
      </w:r>
      <w:r>
        <w:rPr>
          <w:rFonts w:ascii="Arial" w:cs="Arial" w:eastAsia="Arial" w:hAnsi="Arial"/>
          <w:sz w:val="9"/>
          <w:szCs w:val="9"/>
          <w:color w:val="auto"/>
        </w:rPr>
        <w:t>rd</w:t>
      </w:r>
      <w:r>
        <w:rPr>
          <w:rFonts w:ascii="Arial" w:cs="Arial" w:eastAsia="Arial" w:hAnsi="Arial"/>
          <w:sz w:val="19"/>
          <w:szCs w:val="19"/>
          <w:color w:val="auto"/>
        </w:rPr>
        <w:t>) Business Day after being mailed by first-class registered or certified mail, postage prepaid,</w:t>
      </w:r>
    </w:p>
    <w:p>
      <w:pPr>
        <w:spacing w:after="0" w:line="2" w:lineRule="exact"/>
        <w:rPr>
          <w:sz w:val="20"/>
          <w:szCs w:val="20"/>
          <w:color w:val="auto"/>
        </w:rPr>
      </w:pPr>
    </w:p>
    <w:p>
      <w:pPr>
        <w:jc w:val="both"/>
        <w:ind w:firstLine="3"/>
        <w:spacing w:after="0" w:line="275" w:lineRule="auto"/>
        <w:tabs>
          <w:tab w:leader="none" w:pos="385" w:val="left"/>
        </w:tabs>
        <w:numPr>
          <w:ilvl w:val="0"/>
          <w:numId w:val="13"/>
        </w:numPr>
        <w:rPr>
          <w:rFonts w:ascii="Arial" w:cs="Arial" w:eastAsia="Arial" w:hAnsi="Arial"/>
          <w:sz w:val="19"/>
          <w:szCs w:val="19"/>
          <w:color w:val="auto"/>
        </w:rPr>
      </w:pPr>
      <w:r>
        <w:rPr>
          <w:rFonts w:ascii="Arial" w:cs="Arial" w:eastAsia="Arial" w:hAnsi="Arial"/>
          <w:sz w:val="19"/>
          <w:szCs w:val="19"/>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SVB Financial Group</w:t>
      </w:r>
    </w:p>
    <w:p>
      <w:pPr>
        <w:ind w:left="1300"/>
        <w:spacing w:after="0" w:line="238" w:lineRule="auto"/>
        <w:rPr>
          <w:sz w:val="20"/>
          <w:szCs w:val="20"/>
          <w:color w:val="auto"/>
        </w:rPr>
      </w:pPr>
      <w:r>
        <w:rPr>
          <w:rFonts w:ascii="Arial" w:cs="Arial" w:eastAsia="Arial" w:hAnsi="Arial"/>
          <w:sz w:val="22"/>
          <w:szCs w:val="22"/>
          <w:color w:val="auto"/>
        </w:rPr>
        <w:t>Attn: Treasury Department</w:t>
      </w:r>
    </w:p>
    <w:p>
      <w:pPr>
        <w:ind w:left="1300"/>
        <w:spacing w:after="0" w:line="230" w:lineRule="auto"/>
        <w:rPr>
          <w:sz w:val="20"/>
          <w:szCs w:val="20"/>
          <w:color w:val="auto"/>
        </w:rPr>
      </w:pPr>
      <w:r>
        <w:rPr>
          <w:rFonts w:ascii="Arial" w:cs="Arial" w:eastAsia="Arial" w:hAnsi="Arial"/>
          <w:sz w:val="22"/>
          <w:szCs w:val="22"/>
          <w:color w:val="auto"/>
        </w:rPr>
        <w:t>3003 Tasman Drive, HC 215</w:t>
      </w:r>
    </w:p>
    <w:p>
      <w:pPr>
        <w:ind w:left="1300"/>
        <w:spacing w:after="0" w:line="231" w:lineRule="auto"/>
        <w:rPr>
          <w:sz w:val="20"/>
          <w:szCs w:val="20"/>
          <w:color w:val="auto"/>
        </w:rPr>
      </w:pPr>
      <w:r>
        <w:rPr>
          <w:rFonts w:ascii="Arial" w:cs="Arial" w:eastAsia="Arial" w:hAnsi="Arial"/>
          <w:sz w:val="22"/>
          <w:szCs w:val="22"/>
          <w:color w:val="auto"/>
        </w:rPr>
        <w:t>Santa Clara, CA 95054</w:t>
      </w:r>
    </w:p>
    <w:p>
      <w:pPr>
        <w:ind w:left="1300"/>
        <w:spacing w:after="0" w:line="231" w:lineRule="auto"/>
        <w:rPr>
          <w:sz w:val="20"/>
          <w:szCs w:val="20"/>
          <w:color w:val="auto"/>
        </w:rPr>
      </w:pPr>
      <w:r>
        <w:rPr>
          <w:rFonts w:ascii="Arial" w:cs="Arial" w:eastAsia="Arial" w:hAnsi="Arial"/>
          <w:sz w:val="22"/>
          <w:szCs w:val="22"/>
          <w:color w:val="auto"/>
        </w:rPr>
        <w:t>Telephone: (408) 654-7400</w:t>
      </w:r>
    </w:p>
    <w:p>
      <w:pPr>
        <w:ind w:left="1300"/>
        <w:spacing w:after="0" w:line="230" w:lineRule="auto"/>
        <w:rPr>
          <w:sz w:val="20"/>
          <w:szCs w:val="20"/>
          <w:color w:val="auto"/>
        </w:rPr>
      </w:pPr>
      <w:r>
        <w:rPr>
          <w:rFonts w:ascii="Arial" w:cs="Arial" w:eastAsia="Arial" w:hAnsi="Arial"/>
          <w:sz w:val="22"/>
          <w:szCs w:val="22"/>
          <w:color w:val="auto"/>
        </w:rPr>
        <w:t>Facsimile: (408) 988-8317</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address: derivatives@svb.com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7" w:name="page68"/>
    <w:bookmarkEnd w:id="67"/>
    <w:p>
      <w:pPr>
        <w:jc w:val="both"/>
        <w:ind w:firstLine="648"/>
        <w:spacing w:after="0" w:line="251" w:lineRule="auto"/>
        <w:rPr>
          <w:sz w:val="20"/>
          <w:szCs w:val="20"/>
          <w:color w:val="auto"/>
        </w:rPr>
      </w:pPr>
      <w:r>
        <w:rPr>
          <w:rFonts w:ascii="Arial" w:cs="Arial" w:eastAsia="Arial" w:hAnsi="Arial"/>
          <w:sz w:val="22"/>
          <w:szCs w:val="22"/>
          <w:color w:val="auto"/>
        </w:rPr>
        <w:t>Notice to the Company shall be addressed as follows until Holder receives notice of a change in address: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Everspin Technologies, Inc.</w:t>
      </w:r>
    </w:p>
    <w:p>
      <w:pPr>
        <w:ind w:left="1300"/>
        <w:spacing w:after="0" w:line="238" w:lineRule="auto"/>
        <w:rPr>
          <w:sz w:val="20"/>
          <w:szCs w:val="20"/>
          <w:color w:val="auto"/>
        </w:rPr>
      </w:pPr>
      <w:r>
        <w:rPr>
          <w:rFonts w:ascii="Arial" w:cs="Arial" w:eastAsia="Arial" w:hAnsi="Arial"/>
          <w:sz w:val="22"/>
          <w:szCs w:val="22"/>
          <w:color w:val="auto"/>
        </w:rPr>
        <w:t>Attn: Jeff Winzeler, CFO</w:t>
      </w:r>
    </w:p>
    <w:p>
      <w:pPr>
        <w:ind w:left="1300"/>
        <w:spacing w:after="0" w:line="230" w:lineRule="auto"/>
        <w:rPr>
          <w:sz w:val="20"/>
          <w:szCs w:val="20"/>
          <w:color w:val="auto"/>
        </w:rPr>
      </w:pPr>
      <w:r>
        <w:rPr>
          <w:rFonts w:ascii="Arial" w:cs="Arial" w:eastAsia="Arial" w:hAnsi="Arial"/>
          <w:sz w:val="22"/>
          <w:szCs w:val="22"/>
          <w:color w:val="auto"/>
        </w:rPr>
        <w:t>1347 North Alma School Road, Suite 220</w:t>
      </w:r>
    </w:p>
    <w:p>
      <w:pPr>
        <w:ind w:left="1300"/>
        <w:spacing w:after="0" w:line="231" w:lineRule="auto"/>
        <w:rPr>
          <w:sz w:val="20"/>
          <w:szCs w:val="20"/>
          <w:color w:val="auto"/>
        </w:rPr>
      </w:pPr>
      <w:r>
        <w:rPr>
          <w:rFonts w:ascii="Arial" w:cs="Arial" w:eastAsia="Arial" w:hAnsi="Arial"/>
          <w:sz w:val="22"/>
          <w:szCs w:val="22"/>
          <w:color w:val="auto"/>
        </w:rPr>
        <w:t>Chandler, Arizona 85224</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jeff.winzeler@everspin.com</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Waiver</w:t>
      </w:r>
      <w:r>
        <w:rPr>
          <w:rFonts w:ascii="Arial" w:cs="Arial" w:eastAsia="Arial" w:hAnsi="Arial"/>
          <w:sz w:val="22"/>
          <w:szCs w:val="22"/>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u w:val="single" w:color="auto"/>
          <w:color w:val="auto"/>
        </w:rPr>
        <w:t>Attorney’s Fees</w:t>
      </w:r>
      <w:r>
        <w:rPr>
          <w:rFonts w:ascii="Arial" w:cs="Arial" w:eastAsia="Arial" w:hAnsi="Arial"/>
          <w:sz w:val="21"/>
          <w:szCs w:val="21"/>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Counterparts; Facsimile/Electronic Signatures</w:t>
      </w:r>
      <w:r>
        <w:rPr>
          <w:rFonts w:ascii="Arial" w:cs="Arial" w:eastAsia="Arial" w:hAnsi="Arial"/>
          <w:sz w:val="19"/>
          <w:szCs w:val="19"/>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5.9 </w:t>
      </w:r>
      <w:r>
        <w:rPr>
          <w:rFonts w:ascii="Arial" w:cs="Arial" w:eastAsia="Arial" w:hAnsi="Arial"/>
          <w:sz w:val="21"/>
          <w:szCs w:val="21"/>
          <w:u w:val="single" w:color="auto"/>
          <w:color w:val="auto"/>
        </w:rPr>
        <w:t>Governing Law</w:t>
      </w:r>
      <w:r>
        <w:rPr>
          <w:rFonts w:ascii="Arial" w:cs="Arial" w:eastAsia="Arial" w:hAnsi="Arial"/>
          <w:sz w:val="21"/>
          <w:szCs w:val="21"/>
          <w:color w:val="auto"/>
        </w:rPr>
        <w:t>. This Warrant shall be governed by and construed in accordance with the laws of the State of California, without giving effect to its principles regarding conflicts of law.</w:t>
      </w:r>
    </w:p>
    <w:p>
      <w:pPr>
        <w:spacing w:after="0" w:line="15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Warrant are for purposes of reference only and shall not limit or otherwise affect the meaning of any provision of this Warrant.</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u w:val="single" w:color="auto"/>
          <w:color w:val="auto"/>
        </w:rPr>
        <w:t>Business Days</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Business Day</w:t>
      </w:r>
      <w:r>
        <w:rPr>
          <w:rFonts w:ascii="Arial" w:cs="Arial" w:eastAsia="Arial" w:hAnsi="Arial"/>
          <w:sz w:val="22"/>
          <w:szCs w:val="22"/>
          <w:color w:val="auto"/>
        </w:rPr>
        <w:t>” is any day that is not a Saturday, Sunday or a day on which Silicon Valley Bank is closed.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left blank intentionally]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68" w:name="page69"/>
    <w:bookmarkEnd w:id="68"/>
    <w:p>
      <w:pPr>
        <w:ind w:firstLine="648"/>
        <w:spacing w:after="0" w:line="251" w:lineRule="auto"/>
        <w:rPr>
          <w:sz w:val="20"/>
          <w:szCs w:val="20"/>
          <w:color w:val="auto"/>
        </w:rPr>
      </w:pPr>
      <w:r>
        <w:rPr>
          <w:rFonts w:ascii="Arial" w:cs="Arial" w:eastAsia="Arial" w:hAnsi="Arial"/>
          <w:sz w:val="22"/>
          <w:szCs w:val="22"/>
          <w:color w:val="auto"/>
        </w:rPr>
        <w:t>IN WITNESS WHEREOF, the parties have caused this Warrant to be executed by their duly authorized representatives effective as of the Issue Date written above.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Arial" w:cs="Arial" w:eastAsia="Arial" w:hAnsi="Arial"/>
                <w:sz w:val="22"/>
                <w:szCs w:val="22"/>
                <w:b w:val="1"/>
                <w:bCs w:val="1"/>
                <w:color w:val="auto"/>
              </w:rPr>
              <w:t>“HOLDER”</w:t>
            </w:r>
          </w:p>
        </w:tc>
        <w:tc>
          <w:tcPr>
            <w:tcW w:w="4380" w:type="dxa"/>
            <w:vAlign w:val="bottom"/>
          </w:tcPr>
          <w:p>
            <w:pPr>
              <w:spacing w:after="0"/>
              <w:rPr>
                <w:sz w:val="20"/>
                <w:szCs w:val="20"/>
                <w:color w:val="auto"/>
              </w:rPr>
            </w:pPr>
            <w:r>
              <w:rPr>
                <w:rFonts w:ascii="Arial" w:cs="Arial" w:eastAsia="Arial" w:hAnsi="Arial"/>
                <w:sz w:val="22"/>
                <w:szCs w:val="22"/>
                <w:b w:val="1"/>
                <w:bCs w:val="1"/>
                <w:color w:val="auto"/>
              </w:rPr>
              <w:t>“COMPANY”</w:t>
            </w:r>
          </w:p>
        </w:tc>
      </w:tr>
      <w:tr>
        <w:trPr>
          <w:trHeight w:val="243"/>
        </w:trPr>
        <w:tc>
          <w:tcPr>
            <w:tcW w:w="620" w:type="dxa"/>
            <w:vAlign w:val="bottom"/>
          </w:tcPr>
          <w:p>
            <w:pPr>
              <w:spacing w:after="0"/>
              <w:rPr>
                <w:sz w:val="21"/>
                <w:szCs w:val="21"/>
                <w:color w:val="auto"/>
              </w:rPr>
            </w:pPr>
          </w:p>
        </w:tc>
        <w:tc>
          <w:tcPr>
            <w:tcW w:w="4060" w:type="dxa"/>
            <w:vAlign w:val="bottom"/>
            <w:gridSpan w:val="2"/>
          </w:tcPr>
          <w:p>
            <w:pPr>
              <w:spacing w:after="0" w:line="243" w:lineRule="exact"/>
              <w:rPr>
                <w:sz w:val="20"/>
                <w:szCs w:val="20"/>
                <w:color w:val="auto"/>
              </w:rPr>
            </w:pPr>
            <w:r>
              <w:rPr>
                <w:rFonts w:ascii="Arial" w:cs="Arial" w:eastAsia="Arial" w:hAnsi="Arial"/>
                <w:sz w:val="22"/>
                <w:szCs w:val="22"/>
                <w:color w:val="auto"/>
              </w:rPr>
              <w:t>SILICON VALLEY BANK</w:t>
            </w:r>
          </w:p>
        </w:tc>
        <w:tc>
          <w:tcPr>
            <w:tcW w:w="4380" w:type="dxa"/>
            <w:vAlign w:val="bottom"/>
          </w:tcPr>
          <w:p>
            <w:pPr>
              <w:spacing w:after="0" w:line="243" w:lineRule="exact"/>
              <w:rPr>
                <w:sz w:val="20"/>
                <w:szCs w:val="20"/>
                <w:color w:val="auto"/>
              </w:rPr>
            </w:pPr>
            <w:r>
              <w:rPr>
                <w:rFonts w:ascii="Arial" w:cs="Arial" w:eastAsia="Arial" w:hAnsi="Arial"/>
                <w:sz w:val="22"/>
                <w:szCs w:val="22"/>
                <w:color w:val="auto"/>
              </w:rPr>
              <w:t>EVERSPIN TECHNOLOGIES, INC.</w:t>
            </w:r>
          </w:p>
        </w:tc>
      </w:tr>
      <w:tr>
        <w:trPr>
          <w:trHeight w:val="26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4060" w:type="dxa"/>
            <w:vAlign w:val="bottom"/>
            <w:gridSpan w:val="2"/>
          </w:tcPr>
          <w:p>
            <w:pPr>
              <w:spacing w:after="0"/>
              <w:rPr>
                <w:sz w:val="20"/>
                <w:szCs w:val="20"/>
                <w:color w:val="auto"/>
              </w:rPr>
            </w:pPr>
            <w:r>
              <w:rPr>
                <w:rFonts w:ascii="Arial" w:cs="Arial" w:eastAsia="Arial" w:hAnsi="Arial"/>
                <w:sz w:val="22"/>
                <w:szCs w:val="22"/>
                <w:color w:val="auto"/>
              </w:rPr>
              <w:t>/s/ Chris Goodwin</w:t>
            </w:r>
          </w:p>
        </w:tc>
        <w:tc>
          <w:tcPr>
            <w:tcW w:w="4380" w:type="dxa"/>
            <w:vAlign w:val="bottom"/>
          </w:tcPr>
          <w:p>
            <w:pPr>
              <w:spacing w:after="0"/>
              <w:rPr>
                <w:sz w:val="20"/>
                <w:szCs w:val="20"/>
                <w:color w:val="auto"/>
              </w:rPr>
            </w:pPr>
            <w:r>
              <w:rPr>
                <w:rFonts w:ascii="Arial" w:cs="Arial" w:eastAsia="Arial" w:hAnsi="Arial"/>
                <w:sz w:val="22"/>
                <w:szCs w:val="22"/>
                <w:color w:val="auto"/>
              </w:rPr>
              <w:t>/s/ Jeff Winzeler</w:t>
            </w:r>
          </w:p>
        </w:tc>
      </w:tr>
      <w:tr>
        <w:trPr>
          <w:trHeight w:val="215"/>
        </w:trPr>
        <w:tc>
          <w:tcPr>
            <w:tcW w:w="620" w:type="dxa"/>
            <w:vAlign w:val="bottom"/>
          </w:tcPr>
          <w:p>
            <w:pPr>
              <w:spacing w:after="0" w:line="216" w:lineRule="exact"/>
              <w:rPr>
                <w:sz w:val="20"/>
                <w:szCs w:val="20"/>
                <w:color w:val="auto"/>
              </w:rPr>
            </w:pPr>
            <w:r>
              <w:rPr>
                <w:rFonts w:ascii="Arial" w:cs="Arial" w:eastAsia="Arial" w:hAnsi="Arial"/>
                <w:sz w:val="22"/>
                <w:szCs w:val="22"/>
                <w:color w:val="auto"/>
                <w:w w:val="92"/>
              </w:rPr>
              <w:t>Name:</w:t>
            </w:r>
          </w:p>
        </w:tc>
        <w:tc>
          <w:tcPr>
            <w:tcW w:w="384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Chris Goodwin</w:t>
            </w:r>
          </w:p>
        </w:tc>
        <w:tc>
          <w:tcPr>
            <w:tcW w:w="220" w:type="dxa"/>
            <w:vAlign w:val="bottom"/>
          </w:tcPr>
          <w:p>
            <w:pPr>
              <w:spacing w:after="0"/>
              <w:rPr>
                <w:sz w:val="18"/>
                <w:szCs w:val="18"/>
                <w:color w:val="auto"/>
              </w:rPr>
            </w:pPr>
          </w:p>
        </w:tc>
        <w:tc>
          <w:tcPr>
            <w:tcW w:w="438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Jeff Winzeler</w:t>
            </w:r>
          </w:p>
        </w:tc>
      </w:tr>
      <w:tr>
        <w:trPr>
          <w:trHeight w:val="275"/>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4060" w:type="dxa"/>
            <w:vAlign w:val="bottom"/>
            <w:gridSpan w:val="2"/>
          </w:tcPr>
          <w:p>
            <w:pPr>
              <w:spacing w:after="0"/>
              <w:rPr>
                <w:sz w:val="20"/>
                <w:szCs w:val="20"/>
                <w:color w:val="auto"/>
              </w:rPr>
            </w:pPr>
            <w:r>
              <w:rPr>
                <w:rFonts w:ascii="Arial" w:cs="Arial" w:eastAsia="Arial" w:hAnsi="Arial"/>
                <w:sz w:val="22"/>
                <w:szCs w:val="22"/>
                <w:color w:val="auto"/>
              </w:rPr>
              <w:t>VP</w:t>
            </w:r>
          </w:p>
        </w:tc>
        <w:tc>
          <w:tcPr>
            <w:tcW w:w="4380" w:type="dxa"/>
            <w:vAlign w:val="bottom"/>
          </w:tcPr>
          <w:p>
            <w:pPr>
              <w:spacing w:after="0"/>
              <w:rPr>
                <w:sz w:val="20"/>
                <w:szCs w:val="20"/>
                <w:color w:val="auto"/>
              </w:rPr>
            </w:pPr>
            <w:r>
              <w:rPr>
                <w:rFonts w:ascii="Arial" w:cs="Arial" w:eastAsia="Arial" w:hAnsi="Arial"/>
                <w:sz w:val="22"/>
                <w:szCs w:val="22"/>
                <w:color w:val="auto"/>
              </w:rPr>
              <w:t>Chief Financial Officer</w:t>
            </w:r>
          </w:p>
        </w:tc>
      </w:tr>
      <w:tr>
        <w:trPr>
          <w:trHeight w:val="456"/>
        </w:trPr>
        <w:tc>
          <w:tcPr>
            <w:tcW w:w="6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8" w:right="1419" w:bottom="1440" w:gutter="0" w:footer="0" w:header="0"/>
        </w:sectPr>
      </w:pPr>
    </w:p>
    <w:bookmarkStart w:id="69" w:name="page70"/>
    <w:bookmarkEnd w:id="69"/>
    <w:p>
      <w:pPr>
        <w:jc w:val="center"/>
        <w:spacing w:after="0"/>
        <w:rPr>
          <w:sz w:val="20"/>
          <w:szCs w:val="20"/>
          <w:color w:val="auto"/>
        </w:rPr>
      </w:pPr>
      <w:r>
        <w:rPr>
          <w:rFonts w:ascii="Arial" w:cs="Arial" w:eastAsia="Arial" w:hAnsi="Arial"/>
          <w:sz w:val="22"/>
          <w:szCs w:val="22"/>
          <w:color w:val="auto"/>
        </w:rPr>
        <w:t>APPENDIX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NOTICE OF EXERCISE</w:t>
      </w:r>
    </w:p>
    <w:p>
      <w:pPr>
        <w:spacing w:after="0" w:line="206" w:lineRule="exact"/>
        <w:rPr>
          <w:sz w:val="20"/>
          <w:szCs w:val="20"/>
          <w:color w:val="auto"/>
        </w:rPr>
      </w:pPr>
    </w:p>
    <w:p>
      <w:pPr>
        <w:jc w:val="both"/>
        <w:ind w:firstLine="651"/>
        <w:spacing w:after="0" w:line="238" w:lineRule="auto"/>
        <w:tabs>
          <w:tab w:leader="none" w:pos="1304"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undersigned Holder hereby exercises its right to purchase ___________ shares of the Common Stock of __________________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in accordance with the attached Warrant To Purchase Common Stock, and tenders payment of the aggregate Warrant Price for such shares as follows: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180" w:type="dxa"/>
            <w:vAlign w:val="bottom"/>
          </w:tcPr>
          <w:p>
            <w:pPr>
              <w:jc w:val="right"/>
              <w:ind w:right="23"/>
              <w:spacing w:after="0"/>
              <w:rPr>
                <w:sz w:val="20"/>
                <w:szCs w:val="20"/>
                <w:color w:val="auto"/>
              </w:rPr>
            </w:pPr>
            <w:r>
              <w:rPr>
                <w:rFonts w:ascii="Arial" w:cs="Arial" w:eastAsia="Arial" w:hAnsi="Arial"/>
                <w:sz w:val="19"/>
                <w:szCs w:val="19"/>
                <w:color w:val="auto"/>
                <w:w w:val="74"/>
              </w:rPr>
              <w:t>[</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7680" w:type="dxa"/>
            <w:vAlign w:val="bottom"/>
          </w:tcPr>
          <w:p>
            <w:pPr>
              <w:ind w:left="160"/>
              <w:spacing w:after="0"/>
              <w:rPr>
                <w:sz w:val="20"/>
                <w:szCs w:val="20"/>
                <w:color w:val="auto"/>
              </w:rPr>
            </w:pPr>
            <w:r>
              <w:rPr>
                <w:rFonts w:ascii="Arial" w:cs="Arial" w:eastAsia="Arial" w:hAnsi="Arial"/>
                <w:sz w:val="22"/>
                <w:szCs w:val="22"/>
                <w:color w:val="auto"/>
                <w:w w:val="88"/>
              </w:rPr>
              <w:t>check in the amount of $________ payable to order of the Company enclosed herewith</w:t>
            </w:r>
          </w:p>
        </w:tc>
      </w:tr>
      <w:tr>
        <w:trPr>
          <w:trHeight w:val="459"/>
        </w:trPr>
        <w:tc>
          <w:tcPr>
            <w:tcW w:w="180" w:type="dxa"/>
            <w:vAlign w:val="bottom"/>
          </w:tcPr>
          <w:p>
            <w:pPr>
              <w:jc w:val="right"/>
              <w:ind w:right="23"/>
              <w:spacing w:after="0"/>
              <w:rPr>
                <w:sz w:val="20"/>
                <w:szCs w:val="20"/>
                <w:color w:val="auto"/>
              </w:rPr>
            </w:pPr>
            <w:r>
              <w:rPr>
                <w:rFonts w:ascii="Arial" w:cs="Arial" w:eastAsia="Arial" w:hAnsi="Arial"/>
                <w:sz w:val="19"/>
                <w:szCs w:val="19"/>
                <w:color w:val="auto"/>
                <w:w w:val="74"/>
              </w:rPr>
              <w:t>[</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7680" w:type="dxa"/>
            <w:vAlign w:val="bottom"/>
          </w:tcPr>
          <w:p>
            <w:pPr>
              <w:ind w:left="160"/>
              <w:spacing w:after="0"/>
              <w:rPr>
                <w:sz w:val="20"/>
                <w:szCs w:val="20"/>
                <w:color w:val="auto"/>
              </w:rPr>
            </w:pPr>
            <w:r>
              <w:rPr>
                <w:rFonts w:ascii="Arial" w:cs="Arial" w:eastAsia="Arial" w:hAnsi="Arial"/>
                <w:sz w:val="22"/>
                <w:szCs w:val="22"/>
                <w:color w:val="auto"/>
              </w:rPr>
              <w:t>Wire transfer of immediately available funds to the Company’s account</w:t>
            </w:r>
          </w:p>
        </w:tc>
      </w:tr>
      <w:tr>
        <w:trPr>
          <w:trHeight w:val="459"/>
        </w:trPr>
        <w:tc>
          <w:tcPr>
            <w:tcW w:w="180" w:type="dxa"/>
            <w:vAlign w:val="bottom"/>
          </w:tcPr>
          <w:p>
            <w:pPr>
              <w:jc w:val="right"/>
              <w:ind w:right="23"/>
              <w:spacing w:after="0"/>
              <w:rPr>
                <w:sz w:val="20"/>
                <w:szCs w:val="20"/>
                <w:color w:val="auto"/>
              </w:rPr>
            </w:pPr>
            <w:r>
              <w:rPr>
                <w:rFonts w:ascii="Arial" w:cs="Arial" w:eastAsia="Arial" w:hAnsi="Arial"/>
                <w:sz w:val="19"/>
                <w:szCs w:val="19"/>
                <w:color w:val="auto"/>
                <w:w w:val="74"/>
              </w:rPr>
              <w:t>[</w:t>
            </w: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7680" w:type="dxa"/>
            <w:vAlign w:val="bottom"/>
          </w:tcPr>
          <w:p>
            <w:pPr>
              <w:ind w:left="160"/>
              <w:spacing w:after="0"/>
              <w:rPr>
                <w:sz w:val="20"/>
                <w:szCs w:val="20"/>
                <w:color w:val="auto"/>
              </w:rPr>
            </w:pPr>
            <w:r>
              <w:rPr>
                <w:rFonts w:ascii="Arial" w:cs="Arial" w:eastAsia="Arial" w:hAnsi="Arial"/>
                <w:sz w:val="22"/>
                <w:szCs w:val="22"/>
                <w:color w:val="auto"/>
              </w:rPr>
              <w:t>Cashless Exercise pursuant to Section 1.2 of the Warrant</w:t>
            </w:r>
          </w:p>
        </w:tc>
      </w:tr>
    </w:tbl>
    <w:p>
      <w:pPr>
        <w:spacing w:after="0" w:line="185" w:lineRule="exact"/>
        <w:rPr>
          <w:sz w:val="20"/>
          <w:szCs w:val="20"/>
          <w:color w:val="auto"/>
        </w:rPr>
      </w:pPr>
    </w:p>
    <w:p>
      <w:pPr>
        <w:ind w:left="940" w:hanging="289"/>
        <w:spacing w:after="0"/>
        <w:tabs>
          <w:tab w:leader="none" w:pos="9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   Other [Describe] </w:t>
      </w:r>
      <w:r>
        <w:rPr>
          <w:rFonts w:ascii="Arial" w:cs="Arial" w:eastAsia="Arial" w:hAnsi="Arial"/>
          <w:sz w:val="22"/>
          <w:szCs w:val="22"/>
          <w:u w:val="single" w:color="auto"/>
          <w:color w:val="auto"/>
        </w:rPr>
        <w:t>__________________________________________</w:t>
      </w:r>
    </w:p>
    <w:p>
      <w:pPr>
        <w:spacing w:after="0" w:line="206" w:lineRule="exact"/>
        <w:rPr>
          <w:sz w:val="20"/>
          <w:szCs w:val="20"/>
          <w:color w:val="auto"/>
        </w:rPr>
      </w:pPr>
    </w:p>
    <w:p>
      <w:pPr>
        <w:ind w:left="1500" w:hanging="849"/>
        <w:spacing w:after="0"/>
        <w:tabs>
          <w:tab w:leader="none" w:pos="15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Please issue a certificate or certificates representing the Shares in the name specified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___________________________________________</w:t>
      </w:r>
    </w:p>
    <w:p>
      <w:pPr>
        <w:spacing w:after="0" w:line="125"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Holder’s Name</w:t>
      </w: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___________________________________________</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___________________________________________</w:t>
      </w:r>
    </w:p>
    <w:p>
      <w:pPr>
        <w:spacing w:after="0" w:line="139"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(Address)</w:t>
      </w:r>
    </w:p>
    <w:p>
      <w:pPr>
        <w:spacing w:after="0" w:line="206" w:lineRule="exact"/>
        <w:rPr>
          <w:sz w:val="20"/>
          <w:szCs w:val="20"/>
          <w:color w:val="auto"/>
        </w:rPr>
      </w:pPr>
    </w:p>
    <w:p>
      <w:pPr>
        <w:jc w:val="both"/>
        <w:ind w:firstLine="651"/>
        <w:spacing w:after="0"/>
        <w:tabs>
          <w:tab w:leader="none" w:pos="1370" w:val="left"/>
        </w:tabs>
        <w:numPr>
          <w:ilvl w:val="0"/>
          <w:numId w:val="17"/>
        </w:numPr>
        <w:rPr>
          <w:rFonts w:ascii="Arial" w:cs="Arial" w:eastAsia="Arial" w:hAnsi="Arial"/>
          <w:sz w:val="22"/>
          <w:szCs w:val="22"/>
          <w:color w:val="auto"/>
        </w:rPr>
      </w:pPr>
      <w:r>
        <w:rPr>
          <w:rFonts w:ascii="Arial" w:cs="Arial" w:eastAsia="Arial" w:hAnsi="Arial"/>
          <w:sz w:val="22"/>
          <w:szCs w:val="22"/>
          <w:color w:val="auto"/>
        </w:rPr>
        <w:t>By its execution below and for the benefit of the Company, Holder hereby restates each of the representations and warranties in Section 4 of the Warrant to Purchase Common Stock as of the date hereof.</w:t>
      </w:r>
    </w:p>
    <w:p>
      <w:pPr>
        <w:spacing w:after="0" w:line="186"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161925</wp:posOffset>
            </wp:positionV>
            <wp:extent cx="27959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7620</wp:posOffset>
            </wp:positionV>
            <wp:extent cx="23323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32"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7620</wp:posOffset>
            </wp:positionV>
            <wp:extent cx="23323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32"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7620</wp:posOffset>
            </wp:positionV>
            <wp:extent cx="23323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32"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7620</wp:posOffset>
            </wp:positionV>
            <wp:extent cx="23323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307340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0" w:right="141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10.2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LOAN AND SECURITY AGREEMENT</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THIS FIRST AMENDMENT TO LOAN AND SECURITY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this 6</w:t>
      </w:r>
      <w:r>
        <w:rPr>
          <w:rFonts w:ascii="Arial" w:cs="Arial" w:eastAsia="Arial" w:hAnsi="Arial"/>
          <w:sz w:val="10"/>
          <w:szCs w:val="10"/>
          <w:color w:val="auto"/>
        </w:rPr>
        <w:t>th</w:t>
      </w:r>
      <w:r>
        <w:rPr>
          <w:rFonts w:ascii="Arial" w:cs="Arial" w:eastAsia="Arial" w:hAnsi="Arial"/>
          <w:sz w:val="22"/>
          <w:szCs w:val="22"/>
          <w:color w:val="auto"/>
        </w:rPr>
        <w:t xml:space="preserve"> day of July, 2018, by and between SILICON VALLEY BANK, a California corporation (“</w:t>
      </w:r>
      <w:r>
        <w:rPr>
          <w:rFonts w:ascii="Arial" w:cs="Arial" w:eastAsia="Arial" w:hAnsi="Arial"/>
          <w:sz w:val="22"/>
          <w:szCs w:val="22"/>
          <w:b w:val="1"/>
          <w:bCs w:val="1"/>
          <w:color w:val="auto"/>
        </w:rPr>
        <w:t>Bank</w:t>
      </w:r>
      <w:r>
        <w:rPr>
          <w:rFonts w:ascii="Arial" w:cs="Arial" w:eastAsia="Arial" w:hAnsi="Arial"/>
          <w:sz w:val="22"/>
          <w:szCs w:val="22"/>
          <w:color w:val="auto"/>
        </w:rPr>
        <w:t>”), and EVERSPIN TECHNOLOGIES, INC., a Delaware corporation (“</w:t>
      </w:r>
      <w:r>
        <w:rPr>
          <w:rFonts w:ascii="Arial" w:cs="Arial" w:eastAsia="Arial" w:hAnsi="Arial"/>
          <w:sz w:val="22"/>
          <w:szCs w:val="22"/>
          <w:b w:val="1"/>
          <w:bCs w:val="1"/>
          <w:color w:val="auto"/>
        </w:rPr>
        <w:t>Borrower</w:t>
      </w:r>
      <w:r>
        <w:rPr>
          <w:rFonts w:ascii="Arial" w:cs="Arial" w:eastAsia="Arial" w:hAnsi="Arial"/>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firstLine="648"/>
        <w:spacing w:after="0" w:line="328" w:lineRule="auto"/>
        <w:tabs>
          <w:tab w:leader="none" w:pos="971" w:val="left"/>
        </w:tabs>
        <w:numPr>
          <w:ilvl w:val="0"/>
          <w:numId w:val="18"/>
        </w:numPr>
        <w:rPr>
          <w:rFonts w:ascii="Arial" w:cs="Arial" w:eastAsia="Arial" w:hAnsi="Arial"/>
          <w:sz w:val="19"/>
          <w:szCs w:val="19"/>
          <w:color w:val="auto"/>
        </w:rPr>
      </w:pPr>
      <w:r>
        <w:rPr>
          <w:rFonts w:ascii="Arial" w:cs="Arial" w:eastAsia="Arial" w:hAnsi="Arial"/>
          <w:sz w:val="19"/>
          <w:szCs w:val="19"/>
          <w:color w:val="auto"/>
        </w:rPr>
        <w:t>Bank and Borrower have entered into that certain Loan and Security Agreement dated as of May 4, 2017 (as the same may from time to time be amended, modified, supplemented or restated, the “</w:t>
      </w:r>
      <w:r>
        <w:rPr>
          <w:rFonts w:ascii="Arial" w:cs="Arial" w:eastAsia="Arial" w:hAnsi="Arial"/>
          <w:sz w:val="19"/>
          <w:szCs w:val="19"/>
          <w:b w:val="1"/>
          <w:bCs w:val="1"/>
          <w:color w:val="auto"/>
        </w:rPr>
        <w:t>Loan Agreement</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left="1000" w:hanging="352"/>
        <w:spacing w:after="0"/>
        <w:tabs>
          <w:tab w:leader="none" w:pos="10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Bank has extended credit to Borrower for the purposes permitted in the Loan Agreement.</w:t>
      </w:r>
    </w:p>
    <w:p>
      <w:pPr>
        <w:spacing w:after="0" w:line="206" w:lineRule="exact"/>
        <w:rPr>
          <w:rFonts w:ascii="Arial" w:cs="Arial" w:eastAsia="Arial" w:hAnsi="Arial"/>
          <w:sz w:val="22"/>
          <w:szCs w:val="22"/>
          <w:color w:val="auto"/>
        </w:rPr>
      </w:pPr>
    </w:p>
    <w:p>
      <w:pPr>
        <w:ind w:firstLine="648"/>
        <w:spacing w:after="0" w:line="251" w:lineRule="auto"/>
        <w:tabs>
          <w:tab w:leader="none" w:pos="1074" w:val="left"/>
        </w:tabs>
        <w:numPr>
          <w:ilvl w:val="0"/>
          <w:numId w:val="18"/>
        </w:numPr>
        <w:rPr>
          <w:rFonts w:ascii="Arial" w:cs="Arial" w:eastAsia="Arial" w:hAnsi="Arial"/>
          <w:sz w:val="22"/>
          <w:szCs w:val="22"/>
          <w:color w:val="auto"/>
        </w:rPr>
      </w:pPr>
      <w:r>
        <w:rPr>
          <w:rFonts w:ascii="Arial" w:cs="Arial" w:eastAsia="Arial" w:hAnsi="Arial"/>
          <w:sz w:val="22"/>
          <w:szCs w:val="22"/>
          <w:color w:val="auto"/>
        </w:rPr>
        <w:t>Borrower has requested that Bank amend the Loan Agreement to make certain revisions to the Loan Agreement as more fully set forth herein.</w:t>
      </w:r>
    </w:p>
    <w:p>
      <w:pPr>
        <w:spacing w:after="0" w:line="173" w:lineRule="exact"/>
        <w:rPr>
          <w:rFonts w:ascii="Arial" w:cs="Arial" w:eastAsia="Arial" w:hAnsi="Arial"/>
          <w:sz w:val="22"/>
          <w:szCs w:val="22"/>
          <w:color w:val="auto"/>
        </w:rPr>
      </w:pPr>
    </w:p>
    <w:p>
      <w:pPr>
        <w:jc w:val="both"/>
        <w:ind w:firstLine="648"/>
        <w:spacing w:after="0"/>
        <w:tabs>
          <w:tab w:leader="none" w:pos="1070" w:val="left"/>
        </w:tabs>
        <w:numPr>
          <w:ilvl w:val="0"/>
          <w:numId w:val="18"/>
        </w:numPr>
        <w:rPr>
          <w:rFonts w:ascii="Arial" w:cs="Arial" w:eastAsia="Arial" w:hAnsi="Arial"/>
          <w:sz w:val="22"/>
          <w:szCs w:val="22"/>
          <w:color w:val="auto"/>
        </w:rPr>
      </w:pPr>
      <w:r>
        <w:rPr>
          <w:rFonts w:ascii="Arial" w:cs="Arial" w:eastAsia="Arial" w:hAnsi="Arial"/>
          <w:sz w:val="22"/>
          <w:szCs w:val="22"/>
          <w:color w:val="auto"/>
        </w:rPr>
        <w:t>Bank has agreed to amend certain provisions of the Loan Agreement, but only to the extent, in accordance with the terms, subject to the conditions and in reliance upon the representations and warranties set forth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foregoing recitals and other good and valuable 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receipt and adequacy of which is hereby acknowledged, and intending to be legally bound, the parties hereto agree as follows:</w:t>
      </w:r>
    </w:p>
    <w:p>
      <w:pPr>
        <w:spacing w:after="0" w:line="177" w:lineRule="exact"/>
        <w:rPr>
          <w:sz w:val="20"/>
          <w:szCs w:val="20"/>
          <w:color w:val="auto"/>
        </w:rPr>
      </w:pPr>
    </w:p>
    <w:p>
      <w:pPr>
        <w:ind w:firstLine="648"/>
        <w:spacing w:after="0" w:line="256" w:lineRule="auto"/>
        <w:tabs>
          <w:tab w:leader="none" w:pos="1459"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Capitalized terms used but not defined in this Amendment shall have the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given to them in the Loan Agreement.</w:t>
      </w:r>
    </w:p>
    <w:p>
      <w:pPr>
        <w:spacing w:after="0" w:line="162" w:lineRule="exact"/>
        <w:rPr>
          <w:rFonts w:ascii="Arial" w:cs="Arial" w:eastAsia="Arial" w:hAnsi="Arial"/>
          <w:sz w:val="22"/>
          <w:szCs w:val="22"/>
          <w:b w:val="1"/>
          <w:bCs w:val="1"/>
          <w:color w:val="auto"/>
        </w:rPr>
      </w:pPr>
    </w:p>
    <w:p>
      <w:pPr>
        <w:ind w:left="1280" w:hanging="632"/>
        <w:spacing w:after="0"/>
        <w:tabs>
          <w:tab w:leader="none" w:pos="128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to Loan Agreement.</w:t>
      </w:r>
    </w:p>
    <w:p>
      <w:pPr>
        <w:spacing w:after="0" w:line="206" w:lineRule="exact"/>
        <w:rPr>
          <w:sz w:val="20"/>
          <w:szCs w:val="20"/>
          <w:color w:val="auto"/>
        </w:rPr>
      </w:pPr>
    </w:p>
    <w:p>
      <w:pPr>
        <w:ind w:firstLine="1297"/>
        <w:spacing w:after="0" w:line="256" w:lineRule="auto"/>
        <w:rPr>
          <w:sz w:val="20"/>
          <w:szCs w:val="20"/>
          <w:color w:val="auto"/>
        </w:rPr>
      </w:pPr>
      <w:r>
        <w:rPr>
          <w:rFonts w:ascii="Arial" w:cs="Arial" w:eastAsia="Arial" w:hAnsi="Arial"/>
          <w:sz w:val="22"/>
          <w:szCs w:val="22"/>
          <w:b w:val="1"/>
          <w:bCs w:val="1"/>
          <w:color w:val="auto"/>
        </w:rPr>
        <w:t xml:space="preserve">2.1 Section 2.1.1 </w:t>
      </w:r>
      <w:r>
        <w:rPr>
          <w:rFonts w:ascii="Arial" w:cs="Arial" w:eastAsia="Arial" w:hAnsi="Arial"/>
          <w:sz w:val="22"/>
          <w:szCs w:val="22"/>
          <w:color w:val="auto"/>
        </w:rPr>
        <w:t>(</w:t>
      </w:r>
      <w:r>
        <w:rPr>
          <w:rFonts w:ascii="Arial" w:cs="Arial" w:eastAsia="Arial" w:hAnsi="Arial"/>
          <w:sz w:val="22"/>
          <w:szCs w:val="22"/>
          <w:b w:val="1"/>
          <w:bCs w:val="1"/>
          <w:color w:val="auto"/>
        </w:rPr>
        <w:t>Term Loan Advance</w:t>
      </w:r>
      <w:r>
        <w:rPr>
          <w:rFonts w:ascii="Arial" w:cs="Arial" w:eastAsia="Arial" w:hAnsi="Arial"/>
          <w:sz w:val="22"/>
          <w:szCs w:val="22"/>
          <w:color w:val="auto"/>
        </w:rPr>
        <w:t>). Section 2.1.1(c) of the Loan Agreement is hereby</w:t>
      </w:r>
      <w:r>
        <w:rPr>
          <w:rFonts w:ascii="Arial" w:cs="Arial" w:eastAsia="Arial" w:hAnsi="Arial"/>
          <w:sz w:val="22"/>
          <w:szCs w:val="22"/>
          <w:b w:val="1"/>
          <w:bCs w:val="1"/>
          <w:color w:val="auto"/>
        </w:rPr>
        <w:t xml:space="preserve"> </w:t>
      </w:r>
      <w:r>
        <w:rPr>
          <w:rFonts w:ascii="Arial" w:cs="Arial" w:eastAsia="Arial" w:hAnsi="Arial"/>
          <w:sz w:val="22"/>
          <w:szCs w:val="22"/>
          <w:color w:val="auto"/>
        </w:rPr>
        <w:t>deleted in its entirety and replaced with the following:</w:t>
      </w:r>
    </w:p>
    <w:p>
      <w:pPr>
        <w:spacing w:after="0" w:line="169" w:lineRule="exact"/>
        <w:rPr>
          <w:sz w:val="20"/>
          <w:szCs w:val="20"/>
          <w:color w:val="auto"/>
        </w:rPr>
      </w:pPr>
    </w:p>
    <w:p>
      <w:pPr>
        <w:ind w:left="2620" w:hanging="676"/>
        <w:spacing w:after="0"/>
        <w:tabs>
          <w:tab w:leader="none" w:pos="262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Prepayment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40" w:firstLine="1952"/>
        <w:spacing w:after="0" w:line="250" w:lineRule="auto"/>
        <w:tabs>
          <w:tab w:leader="none" w:pos="3383" w:val="left"/>
        </w:tabs>
        <w:numPr>
          <w:ilvl w:val="2"/>
          <w:numId w:val="20"/>
        </w:numPr>
        <w:rPr>
          <w:rFonts w:ascii="Arial" w:cs="Arial" w:eastAsia="Arial" w:hAnsi="Arial"/>
          <w:sz w:val="21"/>
          <w:szCs w:val="21"/>
          <w:color w:val="auto"/>
        </w:rPr>
      </w:pPr>
      <w:r>
        <w:rPr>
          <w:rFonts w:ascii="Arial" w:cs="Arial" w:eastAsia="Arial" w:hAnsi="Arial"/>
          <w:sz w:val="21"/>
          <w:szCs w:val="21"/>
          <w:u w:val="single" w:color="auto"/>
          <w:color w:val="auto"/>
        </w:rPr>
        <w:t>Voluntary Prepayment</w:t>
      </w:r>
      <w:r>
        <w:rPr>
          <w:rFonts w:ascii="Arial" w:cs="Arial" w:eastAsia="Arial" w:hAnsi="Arial"/>
          <w:sz w:val="21"/>
          <w:szCs w:val="21"/>
          <w:color w:val="auto"/>
        </w:rPr>
        <w:t>. Borrower shall have the option to prepay all or any portion of the Term Loan Advances advanced by Bank under this Agreement, provided Borrower</w:t>
      </w:r>
    </w:p>
    <w:p>
      <w:pPr>
        <w:spacing w:after="0" w:line="1" w:lineRule="exact"/>
        <w:rPr>
          <w:rFonts w:ascii="Arial" w:cs="Arial" w:eastAsia="Arial" w:hAnsi="Arial"/>
          <w:sz w:val="21"/>
          <w:szCs w:val="21"/>
          <w:color w:val="auto"/>
        </w:rPr>
      </w:pPr>
    </w:p>
    <w:p>
      <w:pPr>
        <w:jc w:val="both"/>
        <w:ind w:left="640" w:firstLine="8"/>
        <w:spacing w:after="0" w:line="267" w:lineRule="auto"/>
        <w:tabs>
          <w:tab w:leader="none" w:pos="1006" w:val="left"/>
        </w:tabs>
        <w:numPr>
          <w:ilvl w:val="0"/>
          <w:numId w:val="21"/>
        </w:numPr>
        <w:rPr>
          <w:rFonts w:ascii="Arial" w:cs="Arial" w:eastAsia="Arial" w:hAnsi="Arial"/>
          <w:sz w:val="19"/>
          <w:szCs w:val="19"/>
          <w:color w:val="auto"/>
        </w:rPr>
      </w:pPr>
      <w:r>
        <w:rPr>
          <w:rFonts w:ascii="Arial" w:cs="Arial" w:eastAsia="Arial" w:hAnsi="Arial"/>
          <w:sz w:val="19"/>
          <w:szCs w:val="19"/>
          <w:color w:val="auto"/>
        </w:rPr>
        <w:t>delivers written notice to Bank of its election to prepay the Term Loan Advances at least ten (10) days prior to such prepayment, and (B) pays, on the date of such prepayment (1) all accrued and unpaid interest with respect to such Term Loan Advances being prepaid through the date the prepayment is made, plus</w:t>
      </w:r>
    </w:p>
    <w:p>
      <w:pPr>
        <w:ind w:left="640"/>
        <w:spacing w:after="0"/>
        <w:rPr>
          <w:rFonts w:ascii="Arial" w:cs="Arial" w:eastAsia="Arial" w:hAnsi="Arial"/>
          <w:sz w:val="19"/>
          <w:szCs w:val="19"/>
          <w:color w:val="auto"/>
        </w:rPr>
      </w:pPr>
      <w:r>
        <w:rPr>
          <w:rFonts w:ascii="Arial" w:cs="Arial" w:eastAsia="Arial" w:hAnsi="Arial"/>
          <w:sz w:val="22"/>
          <w:szCs w:val="22"/>
          <w:color w:val="auto"/>
        </w:rPr>
        <w:t>(2) all unpaid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3887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71" w:name="page72"/>
    <w:bookmarkEnd w:id="71"/>
    <w:p>
      <w:pPr>
        <w:jc w:val="both"/>
        <w:ind w:left="640"/>
        <w:spacing w:after="0" w:line="238" w:lineRule="auto"/>
        <w:rPr>
          <w:sz w:val="20"/>
          <w:szCs w:val="20"/>
          <w:color w:val="auto"/>
        </w:rPr>
      </w:pPr>
      <w:r>
        <w:rPr>
          <w:rFonts w:ascii="Arial" w:cs="Arial" w:eastAsia="Arial" w:hAnsi="Arial"/>
          <w:sz w:val="22"/>
          <w:szCs w:val="22"/>
          <w:color w:val="auto"/>
        </w:rPr>
        <w:t>principal with respect to such Term Loan Advances being prepaid, plus (3) the Final Payment, plus (4) the Prepayment Fee, plus (5) all other sums, if any, that shall have become due and payable hereunder in connection with the Term Loan Advances, including interest at the Default Rate with respect to any past due amounts.</w:t>
      </w:r>
    </w:p>
    <w:p>
      <w:pPr>
        <w:spacing w:after="0" w:line="186" w:lineRule="exact"/>
        <w:rPr>
          <w:sz w:val="20"/>
          <w:szCs w:val="20"/>
          <w:color w:val="auto"/>
        </w:rPr>
      </w:pPr>
    </w:p>
    <w:p>
      <w:pPr>
        <w:jc w:val="both"/>
        <w:ind w:left="640" w:firstLine="1952"/>
        <w:spacing w:after="0" w:line="279" w:lineRule="auto"/>
        <w:tabs>
          <w:tab w:leader="none" w:pos="3294"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Mandatory Prepayment Upon an Acceleration</w:t>
      </w:r>
      <w:r>
        <w:rPr>
          <w:rFonts w:ascii="Arial" w:cs="Arial" w:eastAsia="Arial" w:hAnsi="Arial"/>
          <w:sz w:val="19"/>
          <w:szCs w:val="19"/>
          <w:color w:val="auto"/>
        </w:rPr>
        <w:t>. If the Term Loan Advance is accelerated following the occurrence of an Event of Default or otherwise, Borrower shall immediately pay to Bank an amount equal to the sum of (A) all accrued and unpaid interest with respect to the Term Loan Advance through the date the prepayment is made, plus (B) all outstanding principal with respect to the Term Loan Advance, plus (C) the Final Payment, plus (D) the Prepayment Fee, plus (E) all other sums, if any, that shall have become due and payable hereunder in connection with the Term Loan Advance.</w:t>
      </w:r>
    </w:p>
    <w:p>
      <w:pPr>
        <w:spacing w:after="0" w:line="145" w:lineRule="exact"/>
        <w:rPr>
          <w:sz w:val="20"/>
          <w:szCs w:val="20"/>
          <w:color w:val="auto"/>
        </w:rPr>
      </w:pPr>
    </w:p>
    <w:p>
      <w:pPr>
        <w:ind w:firstLine="1297"/>
        <w:spacing w:after="0" w:line="256" w:lineRule="auto"/>
        <w:rPr>
          <w:sz w:val="20"/>
          <w:szCs w:val="20"/>
          <w:color w:val="auto"/>
        </w:rPr>
      </w:pPr>
      <w:r>
        <w:rPr>
          <w:rFonts w:ascii="Arial" w:cs="Arial" w:eastAsia="Arial" w:hAnsi="Arial"/>
          <w:sz w:val="22"/>
          <w:szCs w:val="22"/>
          <w:b w:val="1"/>
          <w:bCs w:val="1"/>
          <w:color w:val="auto"/>
        </w:rPr>
        <w:t xml:space="preserve">2.2 Section 2.3 </w:t>
      </w:r>
      <w:r>
        <w:rPr>
          <w:rFonts w:ascii="Arial" w:cs="Arial" w:eastAsia="Arial" w:hAnsi="Arial"/>
          <w:sz w:val="22"/>
          <w:szCs w:val="22"/>
          <w:color w:val="auto"/>
        </w:rPr>
        <w:t>(</w:t>
      </w:r>
      <w:r>
        <w:rPr>
          <w:rFonts w:ascii="Arial" w:cs="Arial" w:eastAsia="Arial" w:hAnsi="Arial"/>
          <w:sz w:val="22"/>
          <w:szCs w:val="22"/>
          <w:b w:val="1"/>
          <w:bCs w:val="1"/>
          <w:color w:val="auto"/>
        </w:rPr>
        <w:t>Fees</w:t>
      </w:r>
      <w:r>
        <w:rPr>
          <w:rFonts w:ascii="Arial" w:cs="Arial" w:eastAsia="Arial" w:hAnsi="Arial"/>
          <w:sz w:val="22"/>
          <w:szCs w:val="22"/>
          <w:color w:val="auto"/>
        </w:rPr>
        <w:t>). Section 2.3(e) is hereby inserted in the Loan Agreement immediately</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Section 2.3(d) of the Loan Agreement:</w:t>
      </w:r>
    </w:p>
    <w:p>
      <w:pPr>
        <w:spacing w:after="0" w:line="169" w:lineRule="exact"/>
        <w:rPr>
          <w:sz w:val="20"/>
          <w:szCs w:val="20"/>
          <w:color w:val="auto"/>
        </w:rPr>
      </w:pPr>
    </w:p>
    <w:p>
      <w:pPr>
        <w:ind w:left="2620" w:hanging="676"/>
        <w:spacing w:after="0"/>
        <w:tabs>
          <w:tab w:leader="none" w:pos="262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Prepayment Fee</w:t>
      </w:r>
      <w:r>
        <w:rPr>
          <w:rFonts w:ascii="Arial" w:cs="Arial" w:eastAsia="Arial" w:hAnsi="Arial"/>
          <w:sz w:val="22"/>
          <w:szCs w:val="22"/>
          <w:color w:val="auto"/>
        </w:rPr>
        <w:t>. The Prepayment Fee, when due hereunder.</w:t>
      </w:r>
    </w:p>
    <w:p>
      <w:pPr>
        <w:spacing w:after="0" w:line="200" w:lineRule="exact"/>
        <w:rPr>
          <w:sz w:val="20"/>
          <w:szCs w:val="20"/>
          <w:color w:val="auto"/>
        </w:rPr>
      </w:pPr>
    </w:p>
    <w:p>
      <w:pPr>
        <w:ind w:firstLine="1297"/>
        <w:spacing w:after="0" w:line="256" w:lineRule="auto"/>
        <w:rPr>
          <w:sz w:val="20"/>
          <w:szCs w:val="20"/>
          <w:color w:val="auto"/>
        </w:rPr>
      </w:pPr>
      <w:r>
        <w:rPr>
          <w:rFonts w:ascii="Arial" w:cs="Arial" w:eastAsia="Arial" w:hAnsi="Arial"/>
          <w:sz w:val="22"/>
          <w:szCs w:val="22"/>
          <w:b w:val="1"/>
          <w:bCs w:val="1"/>
          <w:color w:val="auto"/>
        </w:rPr>
        <w:t xml:space="preserve">2.3 Section 6.2 </w:t>
      </w:r>
      <w:r>
        <w:rPr>
          <w:rFonts w:ascii="Arial" w:cs="Arial" w:eastAsia="Arial" w:hAnsi="Arial"/>
          <w:sz w:val="22"/>
          <w:szCs w:val="22"/>
          <w:color w:val="auto"/>
        </w:rPr>
        <w:t>(</w:t>
      </w:r>
      <w:r>
        <w:rPr>
          <w:rFonts w:ascii="Arial" w:cs="Arial" w:eastAsia="Arial" w:hAnsi="Arial"/>
          <w:sz w:val="22"/>
          <w:szCs w:val="22"/>
          <w:b w:val="1"/>
          <w:bCs w:val="1"/>
          <w:color w:val="auto"/>
        </w:rPr>
        <w:t>Financial Statements, Reports, Certificates</w:t>
      </w:r>
      <w:r>
        <w:rPr>
          <w:rFonts w:ascii="Arial" w:cs="Arial" w:eastAsia="Arial" w:hAnsi="Arial"/>
          <w:sz w:val="22"/>
          <w:szCs w:val="22"/>
          <w:color w:val="auto"/>
        </w:rPr>
        <w:t>). Section 6.2(i) is hereby inserted</w:t>
      </w:r>
      <w:r>
        <w:rPr>
          <w:rFonts w:ascii="Arial" w:cs="Arial" w:eastAsia="Arial" w:hAnsi="Arial"/>
          <w:sz w:val="22"/>
          <w:szCs w:val="22"/>
          <w:b w:val="1"/>
          <w:bCs w:val="1"/>
          <w:color w:val="auto"/>
        </w:rPr>
        <w:t xml:space="preserve"> </w:t>
      </w:r>
      <w:r>
        <w:rPr>
          <w:rFonts w:ascii="Arial" w:cs="Arial" w:eastAsia="Arial" w:hAnsi="Arial"/>
          <w:sz w:val="22"/>
          <w:szCs w:val="22"/>
          <w:color w:val="auto"/>
        </w:rPr>
        <w:t>in the Loan Agreement immediately following Section 6.2(h) of the Loan Agreement:</w:t>
      </w:r>
    </w:p>
    <w:p>
      <w:pPr>
        <w:spacing w:after="0" w:line="169" w:lineRule="exact"/>
        <w:rPr>
          <w:sz w:val="20"/>
          <w:szCs w:val="20"/>
          <w:color w:val="auto"/>
        </w:rPr>
      </w:pPr>
    </w:p>
    <w:p>
      <w:pPr>
        <w:jc w:val="both"/>
        <w:ind w:left="640" w:firstLine="1304"/>
        <w:spacing w:after="0" w:line="282" w:lineRule="auto"/>
        <w:tabs>
          <w:tab w:leader="none" w:pos="2951"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Beneficial Ownership Information</w:t>
      </w:r>
      <w:r>
        <w:rPr>
          <w:rFonts w:ascii="Arial" w:cs="Arial" w:eastAsia="Arial" w:hAnsi="Arial"/>
          <w:sz w:val="19"/>
          <w:szCs w:val="19"/>
          <w:color w:val="auto"/>
        </w:rPr>
        <w:t>. Borrower shall provide Bank with prompt written notice of any changes to the beneficial ownership information set out in the Beneficial Ownership Information Disclosure Form. Borrower understands and acknowledges that Bank relies on such true, accurate and up-to-date beneficial ownership information to meet Bank’s regulatory obligations to obtain, verify and record information about the beneficial owners of its legal entity customers.</w:t>
      </w:r>
    </w:p>
    <w:p>
      <w:pPr>
        <w:spacing w:after="0" w:line="142" w:lineRule="exact"/>
        <w:rPr>
          <w:sz w:val="20"/>
          <w:szCs w:val="20"/>
          <w:color w:val="auto"/>
        </w:rPr>
      </w:pPr>
    </w:p>
    <w:p>
      <w:pPr>
        <w:ind w:firstLine="1297"/>
        <w:spacing w:after="0" w:line="256" w:lineRule="auto"/>
        <w:rPr>
          <w:sz w:val="20"/>
          <w:szCs w:val="20"/>
          <w:color w:val="auto"/>
        </w:rPr>
      </w:pPr>
      <w:r>
        <w:rPr>
          <w:rFonts w:ascii="Arial" w:cs="Arial" w:eastAsia="Arial" w:hAnsi="Arial"/>
          <w:sz w:val="22"/>
          <w:szCs w:val="22"/>
          <w:b w:val="1"/>
          <w:bCs w:val="1"/>
          <w:color w:val="auto"/>
        </w:rPr>
        <w:t xml:space="preserve">2.4 Section 6.7 </w:t>
      </w:r>
      <w:r>
        <w:rPr>
          <w:rFonts w:ascii="Arial" w:cs="Arial" w:eastAsia="Arial" w:hAnsi="Arial"/>
          <w:sz w:val="22"/>
          <w:szCs w:val="22"/>
          <w:color w:val="auto"/>
        </w:rPr>
        <w:t>(</w:t>
      </w:r>
      <w:r>
        <w:rPr>
          <w:rFonts w:ascii="Arial" w:cs="Arial" w:eastAsia="Arial" w:hAnsi="Arial"/>
          <w:sz w:val="22"/>
          <w:szCs w:val="22"/>
          <w:b w:val="1"/>
          <w:bCs w:val="1"/>
          <w:color w:val="auto"/>
        </w:rPr>
        <w:t>Financial Covenants</w:t>
      </w:r>
      <w:r>
        <w:rPr>
          <w:rFonts w:ascii="Arial" w:cs="Arial" w:eastAsia="Arial" w:hAnsi="Arial"/>
          <w:sz w:val="22"/>
          <w:szCs w:val="22"/>
          <w:color w:val="auto"/>
        </w:rPr>
        <w:t>). Section 6.7 of the Loan Agreement is hereby deleted in</w:t>
      </w:r>
      <w:r>
        <w:rPr>
          <w:rFonts w:ascii="Arial" w:cs="Arial" w:eastAsia="Arial" w:hAnsi="Arial"/>
          <w:sz w:val="22"/>
          <w:szCs w:val="22"/>
          <w:b w:val="1"/>
          <w:bCs w:val="1"/>
          <w:color w:val="auto"/>
        </w:rPr>
        <w:t xml:space="preserve"> </w:t>
      </w:r>
      <w:r>
        <w:rPr>
          <w:rFonts w:ascii="Arial" w:cs="Arial" w:eastAsia="Arial" w:hAnsi="Arial"/>
          <w:sz w:val="22"/>
          <w:szCs w:val="22"/>
          <w:color w:val="auto"/>
        </w:rPr>
        <w:t>its entirety and replaced with the following:</w:t>
      </w:r>
    </w:p>
    <w:p>
      <w:pPr>
        <w:spacing w:after="0" w:line="163" w:lineRule="exact"/>
        <w:rPr>
          <w:sz w:val="20"/>
          <w:szCs w:val="20"/>
          <w:color w:val="auto"/>
        </w:rPr>
      </w:pPr>
    </w:p>
    <w:p>
      <w:pPr>
        <w:jc w:val="both"/>
        <w:ind w:left="640" w:firstLine="1296"/>
        <w:spacing w:after="0" w:line="243" w:lineRule="auto"/>
        <w:rPr>
          <w:sz w:val="20"/>
          <w:szCs w:val="20"/>
          <w:color w:val="auto"/>
        </w:rPr>
      </w:pPr>
      <w:r>
        <w:rPr>
          <w:rFonts w:ascii="Arial" w:cs="Arial" w:eastAsia="Arial" w:hAnsi="Arial"/>
          <w:sz w:val="22"/>
          <w:szCs w:val="22"/>
          <w:b w:val="1"/>
          <w:bCs w:val="1"/>
          <w:color w:val="auto"/>
        </w:rPr>
        <w:t>6.7 Financial Covenants</w:t>
      </w:r>
      <w:r>
        <w:rPr>
          <w:rFonts w:ascii="Arial" w:cs="Arial" w:eastAsia="Arial" w:hAnsi="Arial"/>
          <w:sz w:val="22"/>
          <w:szCs w:val="22"/>
          <w:color w:val="auto"/>
        </w:rPr>
        <w:t>. Maintain at all times, subject to periodic reporting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last day of each month, unless otherwise noted, on a consolidated basis with respect to Borrower and its Subsidiaries:</w:t>
      </w:r>
    </w:p>
    <w:p>
      <w:pPr>
        <w:spacing w:after="0" w:line="183" w:lineRule="exact"/>
        <w:rPr>
          <w:sz w:val="20"/>
          <w:szCs w:val="20"/>
          <w:color w:val="auto"/>
        </w:rPr>
      </w:pPr>
    </w:p>
    <w:p>
      <w:pPr>
        <w:jc w:val="both"/>
        <w:ind w:left="640" w:firstLine="1952"/>
        <w:spacing w:after="0"/>
        <w:tabs>
          <w:tab w:leader="none" w:pos="3378"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Liquidity Ratio</w:t>
      </w:r>
      <w:r>
        <w:rPr>
          <w:rFonts w:ascii="Arial" w:cs="Arial" w:eastAsia="Arial" w:hAnsi="Arial"/>
          <w:sz w:val="22"/>
          <w:szCs w:val="22"/>
          <w:color w:val="auto"/>
        </w:rPr>
        <w:t>. As of the last day of each month, a Liquidity Ratio of not less than (i) 1.25:1.00 for each month prior to Borrower achieving the Extension Milestone, and (ii) 1.50:1.00 for each month after Borrower achieves the Extension Milestone.</w:t>
      </w:r>
    </w:p>
    <w:p>
      <w:pPr>
        <w:spacing w:after="0" w:line="186" w:lineRule="exact"/>
        <w:rPr>
          <w:rFonts w:ascii="Arial" w:cs="Arial" w:eastAsia="Arial" w:hAnsi="Arial"/>
          <w:sz w:val="22"/>
          <w:szCs w:val="22"/>
          <w:color w:val="auto"/>
        </w:rPr>
      </w:pPr>
    </w:p>
    <w:p>
      <w:pPr>
        <w:jc w:val="both"/>
        <w:ind w:left="640" w:firstLine="1952"/>
        <w:spacing w:after="0" w:line="258" w:lineRule="auto"/>
        <w:tabs>
          <w:tab w:leader="none" w:pos="3471"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Performance to Plan</w:t>
      </w:r>
      <w:r>
        <w:rPr>
          <w:rFonts w:ascii="Arial" w:cs="Arial" w:eastAsia="Arial" w:hAnsi="Arial"/>
          <w:sz w:val="21"/>
          <w:szCs w:val="21"/>
          <w:color w:val="auto"/>
        </w:rPr>
        <w:t xml:space="preserve">. As of the last day of each month, Borrower’s TFS Revenue for such month calculated on a cumulative fiscal year to date basis, shall be equal to or greater than the amount set forth for such month on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of the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2" w:name="page73"/>
    <w:bookmarkEnd w:id="72"/>
    <w:p>
      <w:pPr>
        <w:jc w:val="both"/>
        <w:ind w:left="640" w:firstLine="1945"/>
        <w:spacing w:after="0" w:line="277" w:lineRule="auto"/>
        <w:rPr>
          <w:sz w:val="20"/>
          <w:szCs w:val="20"/>
          <w:color w:val="auto"/>
        </w:rPr>
      </w:pPr>
      <w:r>
        <w:rPr>
          <w:rFonts w:ascii="Arial" w:cs="Arial" w:eastAsia="Arial" w:hAnsi="Arial"/>
          <w:sz w:val="19"/>
          <w:szCs w:val="19"/>
          <w:color w:val="auto"/>
        </w:rPr>
        <w:t>Commencing with the month ending January 31, 2020, the Performance to Plan financial covenant set forth in this Section shall be calculated based on the annual financial projections approved by Borrower’s Board of Directors and delivered and accepted by Bank for the 2020 fiscal year (the “</w:t>
      </w:r>
      <w:r>
        <w:rPr>
          <w:rFonts w:ascii="Arial" w:cs="Arial" w:eastAsia="Arial" w:hAnsi="Arial"/>
          <w:sz w:val="19"/>
          <w:szCs w:val="19"/>
          <w:b w:val="1"/>
          <w:bCs w:val="1"/>
          <w:color w:val="auto"/>
        </w:rPr>
        <w:t>2020 Performance to Plan Financial Covenant</w:t>
      </w:r>
      <w:r>
        <w:rPr>
          <w:rFonts w:ascii="Arial" w:cs="Arial" w:eastAsia="Arial" w:hAnsi="Arial"/>
          <w:sz w:val="19"/>
          <w:szCs w:val="19"/>
          <w:color w:val="auto"/>
        </w:rPr>
        <w:t>”). Borrower and Bank shall negotiate in good faith to reach an agreement on such 2020 Performance to Plan Financial Covenant and, upon reaching such agreement, will execute and deliver to Bank an amendment to this Agreement which provides the terms for the 2020 Performance to Plan Financial Covenant no later than February 28, 2020.</w:t>
      </w:r>
    </w:p>
    <w:p>
      <w:pPr>
        <w:spacing w:after="0" w:line="147"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Section 6.10 (Access to Collateral; Books and Records)</w:t>
      </w:r>
      <w:r>
        <w:rPr>
          <w:rFonts w:ascii="Arial" w:cs="Arial" w:eastAsia="Arial" w:hAnsi="Arial"/>
          <w:sz w:val="19"/>
          <w:szCs w:val="19"/>
          <w:color w:val="auto"/>
        </w:rPr>
        <w:t>.  The last paragraph of Section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6.10 of the Loan Agreement is hereby deleted in its entirety and replaced with the following:</w:t>
      </w:r>
    </w:p>
    <w:p>
      <w:pPr>
        <w:spacing w:after="0" w:line="188" w:lineRule="exact"/>
        <w:rPr>
          <w:sz w:val="20"/>
          <w:szCs w:val="20"/>
          <w:color w:val="auto"/>
        </w:rPr>
      </w:pPr>
    </w:p>
    <w:p>
      <w:pPr>
        <w:jc w:val="both"/>
        <w:ind w:left="640" w:firstLine="1296"/>
        <w:spacing w:after="0" w:line="236" w:lineRule="auto"/>
        <w:rPr>
          <w:sz w:val="20"/>
          <w:szCs w:val="20"/>
          <w:color w:val="auto"/>
        </w:rPr>
      </w:pPr>
      <w:r>
        <w:rPr>
          <w:rFonts w:ascii="Arial" w:cs="Arial" w:eastAsia="Arial" w:hAnsi="Arial"/>
          <w:sz w:val="22"/>
          <w:szCs w:val="22"/>
          <w:color w:val="auto"/>
        </w:rPr>
        <w:t>“In the event Borrower and Bank schedule an audit more than eight (8) days in advance, and Borrower cancels or seeks to or reschedules the audit with less than eight (8) days written notice to Bank, then (without limiting any of Bank’s rights or remedies) Borrower shall pay Bank a fee of Two Thousand Dollars ($2,000) plus any out-of-pocket expenses incurred by Bank to compensate Bank for the anticipated costs and expenses of the cancellation or rescheduling.”</w:t>
      </w:r>
    </w:p>
    <w:p>
      <w:pPr>
        <w:spacing w:after="0" w:line="182" w:lineRule="exact"/>
        <w:rPr>
          <w:sz w:val="20"/>
          <w:szCs w:val="20"/>
          <w:color w:val="auto"/>
        </w:rPr>
      </w:pPr>
    </w:p>
    <w:p>
      <w:pPr>
        <w:ind w:firstLine="1297"/>
        <w:spacing w:after="0" w:line="256" w:lineRule="auto"/>
        <w:rPr>
          <w:sz w:val="20"/>
          <w:szCs w:val="20"/>
          <w:color w:val="auto"/>
        </w:rPr>
      </w:pPr>
      <w:r>
        <w:rPr>
          <w:rFonts w:ascii="Arial" w:cs="Arial" w:eastAsia="Arial" w:hAnsi="Arial"/>
          <w:sz w:val="22"/>
          <w:szCs w:val="22"/>
          <w:b w:val="1"/>
          <w:bCs w:val="1"/>
          <w:color w:val="auto"/>
        </w:rPr>
        <w:t xml:space="preserve">2.6 Section 12.2 </w:t>
      </w:r>
      <w:r>
        <w:rPr>
          <w:rFonts w:ascii="Arial" w:cs="Arial" w:eastAsia="Arial" w:hAnsi="Arial"/>
          <w:sz w:val="22"/>
          <w:szCs w:val="22"/>
          <w:color w:val="auto"/>
        </w:rPr>
        <w:t>(</w:t>
      </w:r>
      <w:r>
        <w:rPr>
          <w:rFonts w:ascii="Arial" w:cs="Arial" w:eastAsia="Arial" w:hAnsi="Arial"/>
          <w:sz w:val="22"/>
          <w:szCs w:val="22"/>
          <w:b w:val="1"/>
          <w:bCs w:val="1"/>
          <w:color w:val="auto"/>
        </w:rPr>
        <w:t>Successors and Assigns</w:t>
      </w:r>
      <w:r>
        <w:rPr>
          <w:rFonts w:ascii="Arial" w:cs="Arial" w:eastAsia="Arial" w:hAnsi="Arial"/>
          <w:sz w:val="22"/>
          <w:szCs w:val="22"/>
          <w:color w:val="auto"/>
        </w:rPr>
        <w:t>). Section 12.2 of the Loan Agreement is hereby</w:t>
      </w:r>
      <w:r>
        <w:rPr>
          <w:rFonts w:ascii="Arial" w:cs="Arial" w:eastAsia="Arial" w:hAnsi="Arial"/>
          <w:sz w:val="22"/>
          <w:szCs w:val="22"/>
          <w:b w:val="1"/>
          <w:bCs w:val="1"/>
          <w:color w:val="auto"/>
        </w:rPr>
        <w:t xml:space="preserve"> </w:t>
      </w:r>
      <w:r>
        <w:rPr>
          <w:rFonts w:ascii="Arial" w:cs="Arial" w:eastAsia="Arial" w:hAnsi="Arial"/>
          <w:sz w:val="22"/>
          <w:szCs w:val="22"/>
          <w:color w:val="auto"/>
        </w:rPr>
        <w:t>deleted in its entirety and replaced with the following:</w:t>
      </w:r>
    </w:p>
    <w:p>
      <w:pPr>
        <w:spacing w:after="0" w:line="163" w:lineRule="exact"/>
        <w:rPr>
          <w:sz w:val="20"/>
          <w:szCs w:val="20"/>
          <w:color w:val="auto"/>
        </w:rPr>
      </w:pPr>
    </w:p>
    <w:p>
      <w:pPr>
        <w:jc w:val="both"/>
        <w:ind w:left="640" w:firstLine="1296"/>
        <w:spacing w:after="0" w:line="248" w:lineRule="auto"/>
        <w:rPr>
          <w:sz w:val="20"/>
          <w:szCs w:val="20"/>
          <w:color w:val="auto"/>
        </w:rPr>
      </w:pPr>
      <w:r>
        <w:rPr>
          <w:rFonts w:ascii="Arial" w:cs="Arial" w:eastAsia="Arial" w:hAnsi="Arial"/>
          <w:sz w:val="21"/>
          <w:szCs w:val="21"/>
          <w:b w:val="1"/>
          <w:bCs w:val="1"/>
          <w:color w:val="auto"/>
        </w:rPr>
        <w:t>12.2 Successors and Assigns</w:t>
      </w:r>
      <w:r>
        <w:rPr>
          <w:rFonts w:ascii="Arial" w:cs="Arial" w:eastAsia="Arial" w:hAnsi="Arial"/>
          <w:sz w:val="21"/>
          <w:szCs w:val="21"/>
          <w:color w:val="auto"/>
        </w:rPr>
        <w:t>. This Agreement binds and is for the benefit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successors and permitted assigns of each party. Borrower may not 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thereof).</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color w:val="auto"/>
        </w:rPr>
        <w:t xml:space="preserve">Section 13 </w:t>
      </w:r>
      <w:r>
        <w:rPr>
          <w:rFonts w:ascii="Arial" w:cs="Arial" w:eastAsia="Arial" w:hAnsi="Arial"/>
          <w:sz w:val="19"/>
          <w:szCs w:val="19"/>
          <w:color w:val="auto"/>
        </w:rPr>
        <w:t>(</w:t>
      </w:r>
      <w:r>
        <w:rPr>
          <w:rFonts w:ascii="Arial" w:cs="Arial" w:eastAsia="Arial" w:hAnsi="Arial"/>
          <w:sz w:val="19"/>
          <w:szCs w:val="19"/>
          <w:b w:val="1"/>
          <w:bCs w:val="1"/>
          <w:color w:val="auto"/>
        </w:rPr>
        <w:t>Definitions</w:t>
      </w:r>
      <w:r>
        <w:rPr>
          <w:rFonts w:ascii="Arial" w:cs="Arial" w:eastAsia="Arial" w:hAnsi="Arial"/>
          <w:sz w:val="19"/>
          <w:szCs w:val="19"/>
          <w:color w:val="auto"/>
        </w:rPr>
        <w:t>).</w:t>
      </w:r>
    </w:p>
    <w:p>
      <w:pPr>
        <w:spacing w:after="0" w:line="212" w:lineRule="exact"/>
        <w:rPr>
          <w:sz w:val="20"/>
          <w:szCs w:val="20"/>
          <w:color w:val="auto"/>
        </w:rPr>
      </w:pPr>
    </w:p>
    <w:p>
      <w:pPr>
        <w:ind w:firstLine="1296"/>
        <w:spacing w:after="0" w:line="251" w:lineRule="auto"/>
        <w:tabs>
          <w:tab w:leader="none" w:pos="2122"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following terms and their respective definitions set forth in Section 13.1 of the Loan Agreement are hereby deleted in their entirety and replaced with the following:</w:t>
      </w:r>
    </w:p>
    <w:p>
      <w:pPr>
        <w:spacing w:after="0" w:line="167" w:lineRule="exact"/>
        <w:rPr>
          <w:sz w:val="20"/>
          <w:szCs w:val="20"/>
          <w:color w:val="auto"/>
        </w:rPr>
      </w:pPr>
    </w:p>
    <w:p>
      <w:pPr>
        <w:ind w:left="640" w:firstLine="129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Number</w:t>
      </w:r>
      <w:r>
        <w:rPr>
          <w:rFonts w:ascii="Arial" w:cs="Arial" w:eastAsia="Arial" w:hAnsi="Arial"/>
          <w:sz w:val="22"/>
          <w:szCs w:val="22"/>
          <w:color w:val="auto"/>
        </w:rPr>
        <w:t>” means (a) twenty-four (24) if Borrower does not achieve the Extension Milestone, and (b) thirty-six (36) if Borrower achieves the Extension Milestone.</w:t>
      </w:r>
    </w:p>
    <w:p>
      <w:pPr>
        <w:spacing w:after="0" w:line="163"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Final Payment Percentage</w:t>
      </w:r>
      <w:r>
        <w:rPr>
          <w:rFonts w:ascii="Arial" w:cs="Arial" w:eastAsia="Arial" w:hAnsi="Arial"/>
          <w:sz w:val="21"/>
          <w:szCs w:val="21"/>
          <w:color w:val="auto"/>
        </w:rPr>
        <w:t>” is, for each Term Loan Advance, equal to seven percent</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(7.00%).</w:t>
      </w:r>
    </w:p>
    <w:p>
      <w:pPr>
        <w:spacing w:after="0" w:line="182"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Interest-Only Period</w:t>
      </w:r>
      <w:r>
        <w:rPr>
          <w:rFonts w:ascii="Arial" w:cs="Arial" w:eastAsia="Arial" w:hAnsi="Arial"/>
          <w:sz w:val="19"/>
          <w:szCs w:val="19"/>
          <w:color w:val="auto"/>
        </w:rPr>
        <w:t>” is the period of time from the Effective Date through December 31,</w:t>
      </w:r>
    </w:p>
    <w:p>
      <w:pPr>
        <w:spacing w:after="0" w:line="4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3" w:name="page74"/>
    <w:bookmarkEnd w:id="73"/>
    <w:p>
      <w:pPr>
        <w:jc w:val="both"/>
        <w:ind w:left="640"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 Documents</w:t>
      </w:r>
      <w:r>
        <w:rPr>
          <w:rFonts w:ascii="Arial" w:cs="Arial" w:eastAsia="Arial" w:hAnsi="Arial"/>
          <w:sz w:val="22"/>
          <w:szCs w:val="22"/>
          <w:color w:val="auto"/>
        </w:rPr>
        <w:t>” are, collectively, this Agreement and any schedules, exhibits, certificates, notices, and any other documents related to this Agreement, any Bank Services Agreement, the Warrant, any subordination agreement, any note, or notes or guaranties executed by Borrower or any guarantor, and any other present or future agreement by Borrower and/or any guarantor with or for the benefit of Bank in connection with this Agreement or Bank Services, all as amended, restated, or otherwise modified.</w:t>
      </w:r>
    </w:p>
    <w:p>
      <w:pPr>
        <w:spacing w:after="0" w:line="183" w:lineRule="exact"/>
        <w:rPr>
          <w:sz w:val="20"/>
          <w:szCs w:val="20"/>
          <w:color w:val="auto"/>
        </w:rPr>
      </w:pPr>
    </w:p>
    <w:p>
      <w:pPr>
        <w:jc w:val="both"/>
        <w:ind w:left="640" w:firstLine="1296"/>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Obligations</w:t>
      </w:r>
      <w:r>
        <w:rPr>
          <w:rFonts w:ascii="Arial" w:cs="Arial" w:eastAsia="Arial" w:hAnsi="Arial"/>
          <w:sz w:val="19"/>
          <w:szCs w:val="19"/>
          <w:color w:val="auto"/>
        </w:rPr>
        <w:t>” are Borrower’s obligations to pay when due any debts, principal, interest, fees, Bank Expenses, the Final Payment, the Prepayment Fee, and other amounts Borrower owes Bank now or later, whether under this Agreement, the other Loan Documents,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and debts, liabilities, or obligations of Borrower assigned to Bank, and to perform Borrower’s duties under the Loan Documents.</w:t>
      </w:r>
    </w:p>
    <w:p>
      <w:pPr>
        <w:spacing w:after="0" w:line="146" w:lineRule="exact"/>
        <w:rPr>
          <w:sz w:val="20"/>
          <w:szCs w:val="20"/>
          <w:color w:val="auto"/>
        </w:rPr>
      </w:pPr>
    </w:p>
    <w:p>
      <w:pPr>
        <w:jc w:val="both"/>
        <w:ind w:left="640" w:firstLine="1296"/>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TFS Revenue</w:t>
      </w:r>
      <w:r>
        <w:rPr>
          <w:rFonts w:ascii="Arial" w:cs="Arial" w:eastAsia="Arial" w:hAnsi="Arial"/>
          <w:sz w:val="22"/>
          <w:szCs w:val="22"/>
          <w:color w:val="auto"/>
        </w:rPr>
        <w:t>” is the aggregate net revenue (gross revenue minus discounts and returns) received by Borrower from (a) the sale of Borrower’s Sensor, Toggle, and Foundry products, (b) any licensing of Borrower’s products, and (c) any non-recurring engineering services revenue received by Borrower. Evidence of such net revenue shall be received and approved by Bank in Bank’s sole and absolute discretion.</w:t>
      </w:r>
    </w:p>
    <w:p>
      <w:pPr>
        <w:spacing w:after="0" w:line="189" w:lineRule="exact"/>
        <w:rPr>
          <w:sz w:val="20"/>
          <w:szCs w:val="20"/>
          <w:color w:val="auto"/>
        </w:rPr>
      </w:pPr>
    </w:p>
    <w:p>
      <w:pPr>
        <w:ind w:left="2100" w:hanging="804"/>
        <w:spacing w:after="0"/>
        <w:tabs>
          <w:tab w:leader="none" w:pos="21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following new defined terms are hereby inserted alphabetically in Section 13.1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Loan Agreement:</w:t>
      </w:r>
    </w:p>
    <w:p>
      <w:pPr>
        <w:spacing w:after="0" w:line="182"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Beneficial Ownership Information Disclosure Form</w:t>
      </w:r>
      <w:r>
        <w:rPr>
          <w:rFonts w:ascii="Arial" w:cs="Arial" w:eastAsia="Arial" w:hAnsi="Arial"/>
          <w:sz w:val="19"/>
          <w:szCs w:val="19"/>
          <w:color w:val="auto"/>
        </w:rPr>
        <w:t>” means the form attached hereto as</w:t>
      </w:r>
    </w:p>
    <w:p>
      <w:pPr>
        <w:spacing w:after="0" w:line="49" w:lineRule="exact"/>
        <w:rPr>
          <w:sz w:val="20"/>
          <w:szCs w:val="20"/>
          <w:color w:val="auto"/>
        </w:rPr>
      </w:pPr>
    </w:p>
    <w:p>
      <w:pPr>
        <w:ind w:left="640"/>
        <w:spacing w:after="0"/>
        <w:rPr>
          <w:sz w:val="20"/>
          <w:szCs w:val="20"/>
          <w:color w:val="auto"/>
        </w:rPr>
      </w:pP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182" w:lineRule="exact"/>
        <w:rPr>
          <w:sz w:val="20"/>
          <w:szCs w:val="20"/>
          <w:color w:val="auto"/>
        </w:rPr>
      </w:pPr>
    </w:p>
    <w:p>
      <w:pPr>
        <w:jc w:val="both"/>
        <w:ind w:left="640" w:firstLine="1296"/>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EBIDA</w:t>
      </w:r>
      <w:r>
        <w:rPr>
          <w:rFonts w:ascii="Arial" w:cs="Arial" w:eastAsia="Arial" w:hAnsi="Arial"/>
          <w:sz w:val="21"/>
          <w:szCs w:val="21"/>
          <w:color w:val="auto"/>
        </w:rPr>
        <w:t>” shall mean (a) Net Income, plus (b) Interest Expense, plus (c) to the extent deducted in the calculation of Net Income, depreciation expense and amortization expense.</w:t>
      </w:r>
    </w:p>
    <w:p>
      <w:pPr>
        <w:spacing w:after="0" w:line="139" w:lineRule="exact"/>
        <w:rPr>
          <w:sz w:val="20"/>
          <w:szCs w:val="20"/>
          <w:color w:val="auto"/>
        </w:rPr>
      </w:pPr>
    </w:p>
    <w:p>
      <w:pPr>
        <w:jc w:val="both"/>
        <w:ind w:left="640"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Extension Milestone</w:t>
      </w:r>
      <w:r>
        <w:rPr>
          <w:rFonts w:ascii="Arial" w:cs="Arial" w:eastAsia="Arial" w:hAnsi="Arial"/>
          <w:sz w:val="22"/>
          <w:szCs w:val="22"/>
          <w:color w:val="auto"/>
        </w:rPr>
        <w:t>” is the date on which Bank receives and approves evidence satisfactory to Bank, in Bank’s sole and absolute discretion, on or before the Conversion Date, that for the fiscal year ended December 31, 2018, (i) Borrower has received gross revenue of at least Fifty-Four Million Eight Hundred Ninety-Three Thousand Eight Hundred Dollars ($54,893,800), and (ii) Borrower has achieved an EBIDA loss of no greater than Seven Million Three Hundred Sixty-Seven Thousand Eighty-Eight Dollars ($7,367,088).</w:t>
      </w:r>
    </w:p>
    <w:p>
      <w:pPr>
        <w:spacing w:after="0" w:line="182"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Amendment Effective Date</w:t>
      </w:r>
      <w:r>
        <w:rPr>
          <w:rFonts w:ascii="Arial" w:cs="Arial" w:eastAsia="Arial" w:hAnsi="Arial"/>
          <w:sz w:val="22"/>
          <w:szCs w:val="22"/>
          <w:color w:val="auto"/>
        </w:rPr>
        <w:t>” is July 6, 2018.</w:t>
      </w:r>
    </w:p>
    <w:p>
      <w:pPr>
        <w:spacing w:after="0" w:line="206" w:lineRule="exact"/>
        <w:rPr>
          <w:sz w:val="20"/>
          <w:szCs w:val="20"/>
          <w:color w:val="auto"/>
        </w:rPr>
      </w:pPr>
    </w:p>
    <w:p>
      <w:pPr>
        <w:jc w:val="both"/>
        <w:ind w:left="640"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Expense</w:t>
      </w:r>
      <w:r>
        <w:rPr>
          <w:rFonts w:ascii="Arial" w:cs="Arial" w:eastAsia="Arial" w:hAnsi="Arial"/>
          <w:sz w:val="22"/>
          <w:szCs w:val="22"/>
          <w:color w:val="auto"/>
        </w:rPr>
        <w:t>” means for any fiscal period, interest expense (whether cash or non-cash) determined in accordance with GAAP for the relevant period ending on such date, including, in any event, interest expense with respect to any Credit Extension and other Indebtedness of Borrower, including, without limitation or duplication, all commissions, discounts, or related amortization and other fees and charges with respect to letters of credit and bankers’ acceptance financing and the net costs associated with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74" w:name="page75"/>
    <w:bookmarkEnd w:id="74"/>
    <w:p>
      <w:pPr>
        <w:jc w:val="both"/>
        <w:ind w:left="640"/>
        <w:spacing w:after="0" w:line="251" w:lineRule="auto"/>
        <w:rPr>
          <w:sz w:val="20"/>
          <w:szCs w:val="20"/>
          <w:color w:val="auto"/>
        </w:rPr>
      </w:pPr>
      <w:r>
        <w:rPr>
          <w:rFonts w:ascii="Arial" w:cs="Arial" w:eastAsia="Arial" w:hAnsi="Arial"/>
          <w:sz w:val="22"/>
          <w:szCs w:val="22"/>
          <w:color w:val="auto"/>
        </w:rPr>
        <w:t>rate swap, cap, and similar arrangements, and the interest portion of any deferred payment obligation (including leases of all types).</w:t>
      </w:r>
    </w:p>
    <w:p>
      <w:pPr>
        <w:spacing w:after="0" w:line="168" w:lineRule="exact"/>
        <w:rPr>
          <w:sz w:val="20"/>
          <w:szCs w:val="20"/>
          <w:color w:val="auto"/>
        </w:rPr>
      </w:pPr>
    </w:p>
    <w:p>
      <w:pPr>
        <w:jc w:val="both"/>
        <w:ind w:left="640"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Income</w:t>
      </w:r>
      <w:r>
        <w:rPr>
          <w:rFonts w:ascii="Arial" w:cs="Arial" w:eastAsia="Arial" w:hAnsi="Arial"/>
          <w:sz w:val="22"/>
          <w:szCs w:val="22"/>
          <w:color w:val="auto"/>
        </w:rPr>
        <w:t>” means, as calculated on a consolidated basis for Borrower and its Subsidiaries for any period as at any date of determination, the net profit (or loss), after provision for taxes, of Borrower and its Subsidiaries for such period taken as a single accounting period.</w:t>
      </w:r>
    </w:p>
    <w:p>
      <w:pPr>
        <w:spacing w:after="0" w:line="177" w:lineRule="exact"/>
        <w:rPr>
          <w:sz w:val="20"/>
          <w:szCs w:val="20"/>
          <w:color w:val="auto"/>
        </w:rPr>
      </w:pPr>
    </w:p>
    <w:p>
      <w:pPr>
        <w:jc w:val="both"/>
        <w:ind w:left="640" w:firstLine="1296"/>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Prepayment Fee</w:t>
      </w:r>
      <w:r>
        <w:rPr>
          <w:rFonts w:ascii="Arial" w:cs="Arial" w:eastAsia="Arial" w:hAnsi="Arial"/>
          <w:sz w:val="19"/>
          <w:szCs w:val="19"/>
          <w:color w:val="auto"/>
        </w:rPr>
        <w:t>” shall be an additional fee, payable to Bank, with respect to the Term Loan Advances, in an amount equal to (a) Two Hundred Forty Thousand Dollars ($240,000) if the prepayment is made on or before the date that is twelve (12) months after the First Amendment Effective Date, and (b) One Hundred Twenty Thousand Dollars ($120,000) if the prepayment is made after the date that is twelve (12) months after the First Amendment Effective Date and on or before the Term Loan Maturity Date.</w:t>
      </w:r>
    </w:p>
    <w:p>
      <w:pPr>
        <w:spacing w:after="0" w:line="139" w:lineRule="exact"/>
        <w:rPr>
          <w:sz w:val="20"/>
          <w:szCs w:val="20"/>
          <w:color w:val="auto"/>
        </w:rPr>
      </w:pPr>
    </w:p>
    <w:p>
      <w:pPr>
        <w:jc w:val="both"/>
        <w:ind w:left="640" w:firstLine="1296"/>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w:t>
      </w:r>
      <w:r>
        <w:rPr>
          <w:rFonts w:ascii="Arial" w:cs="Arial" w:eastAsia="Arial" w:hAnsi="Arial"/>
          <w:sz w:val="22"/>
          <w:szCs w:val="22"/>
          <w:color w:val="auto"/>
        </w:rPr>
        <w:t>” is that certain Warrant to Purchase Common Stock dated as of the First Amendment Effective Date between Borrower and Bank, as amended, modified, supplemented and/or restated from time to time.</w:t>
      </w:r>
    </w:p>
    <w:p>
      <w:pPr>
        <w:spacing w:after="0" w:line="177" w:lineRule="exact"/>
        <w:rPr>
          <w:sz w:val="20"/>
          <w:szCs w:val="20"/>
          <w:color w:val="auto"/>
        </w:rPr>
      </w:pPr>
    </w:p>
    <w:p>
      <w:pPr>
        <w:jc w:val="both"/>
        <w:ind w:firstLine="1296"/>
        <w:spacing w:after="0" w:line="243" w:lineRule="auto"/>
        <w:tabs>
          <w:tab w:leader="none" w:pos="2132"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defined terms “</w:t>
      </w:r>
      <w:r>
        <w:rPr>
          <w:rFonts w:ascii="Arial" w:cs="Arial" w:eastAsia="Arial" w:hAnsi="Arial"/>
          <w:sz w:val="22"/>
          <w:szCs w:val="22"/>
          <w:b w:val="1"/>
          <w:bCs w:val="1"/>
          <w:color w:val="auto"/>
        </w:rPr>
        <w:t>Non Spin-Torque Product</w:t>
      </w:r>
      <w:r>
        <w:rPr>
          <w:rFonts w:ascii="Arial" w:cs="Arial" w:eastAsia="Arial" w:hAnsi="Arial"/>
          <w:sz w:val="22"/>
          <w:szCs w:val="22"/>
          <w:color w:val="auto"/>
        </w:rPr>
        <w:t>”, “</w:t>
      </w:r>
      <w:r>
        <w:rPr>
          <w:rFonts w:ascii="Arial" w:cs="Arial" w:eastAsia="Arial" w:hAnsi="Arial"/>
          <w:sz w:val="22"/>
          <w:szCs w:val="22"/>
          <w:b w:val="1"/>
          <w:bCs w:val="1"/>
          <w:color w:val="auto"/>
        </w:rPr>
        <w:t>Spin-Torque Milestone</w:t>
      </w:r>
      <w:r>
        <w:rPr>
          <w:rFonts w:ascii="Arial" w:cs="Arial" w:eastAsia="Arial" w:hAnsi="Arial"/>
          <w:sz w:val="22"/>
          <w:szCs w:val="22"/>
          <w:color w:val="auto"/>
        </w:rPr>
        <w:t>”, and “</w:t>
      </w:r>
      <w:r>
        <w:rPr>
          <w:rFonts w:ascii="Arial" w:cs="Arial" w:eastAsia="Arial" w:hAnsi="Arial"/>
          <w:sz w:val="22"/>
          <w:szCs w:val="22"/>
          <w:b w:val="1"/>
          <w:bCs w:val="1"/>
          <w:color w:val="auto"/>
        </w:rPr>
        <w:t>Spin-Torque Product</w:t>
      </w:r>
      <w:r>
        <w:rPr>
          <w:rFonts w:ascii="Arial" w:cs="Arial" w:eastAsia="Arial" w:hAnsi="Arial"/>
          <w:sz w:val="22"/>
          <w:szCs w:val="22"/>
          <w:color w:val="auto"/>
        </w:rPr>
        <w:t>”, set forth in Section 13.1 of the Loan Agreement and all references thereto in the Loan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are deleted in their entirety.</w:t>
      </w:r>
    </w:p>
    <w:p>
      <w:pPr>
        <w:spacing w:after="0" w:line="177"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2"/>
          <w:szCs w:val="22"/>
          <w:b w:val="1"/>
          <w:bCs w:val="1"/>
          <w:color w:val="auto"/>
        </w:rPr>
        <w:t>2.8 Compliance Certificate</w:t>
      </w:r>
      <w:r>
        <w:rPr>
          <w:rFonts w:ascii="Arial" w:cs="Arial" w:eastAsia="Arial" w:hAnsi="Arial"/>
          <w:sz w:val="22"/>
          <w:szCs w:val="22"/>
          <w:color w:val="auto"/>
        </w:rPr>
        <w:t>. From and after the date hereof,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B</w:t>
      </w:r>
      <w:r>
        <w:rPr>
          <w:rFonts w:ascii="Arial" w:cs="Arial" w:eastAsia="Arial" w:hAnsi="Arial"/>
          <w:sz w:val="22"/>
          <w:szCs w:val="22"/>
          <w:b w:val="1"/>
          <w:bCs w:val="1"/>
          <w:color w:val="auto"/>
        </w:rPr>
        <w:t xml:space="preserve"> </w:t>
      </w:r>
      <w:r>
        <w:rPr>
          <w:rFonts w:ascii="Arial" w:cs="Arial" w:eastAsia="Arial" w:hAnsi="Arial"/>
          <w:sz w:val="22"/>
          <w:szCs w:val="22"/>
          <w:color w:val="auto"/>
        </w:rPr>
        <w:t>of the Loan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is replaced in its entirety with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 and all references in the Loan Agreement to the Compliance Certificate shall be deemed to refer to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w:t>
      </w:r>
    </w:p>
    <w:p>
      <w:pPr>
        <w:spacing w:after="0" w:line="177" w:lineRule="exact"/>
        <w:rPr>
          <w:sz w:val="20"/>
          <w:szCs w:val="20"/>
          <w:color w:val="auto"/>
        </w:rPr>
      </w:pPr>
    </w:p>
    <w:p>
      <w:pPr>
        <w:jc w:val="both"/>
        <w:ind w:firstLine="1297"/>
        <w:spacing w:after="0" w:line="237" w:lineRule="auto"/>
        <w:rPr>
          <w:sz w:val="20"/>
          <w:szCs w:val="20"/>
          <w:color w:val="auto"/>
        </w:rPr>
      </w:pPr>
      <w:r>
        <w:rPr>
          <w:rFonts w:ascii="Arial" w:cs="Arial" w:eastAsia="Arial" w:hAnsi="Arial"/>
          <w:sz w:val="22"/>
          <w:szCs w:val="22"/>
          <w:b w:val="1"/>
          <w:bCs w:val="1"/>
          <w:color w:val="auto"/>
        </w:rPr>
        <w:t>2.9 Exhibit E (Beneficial Ownership Information Disclosure Form)</w:t>
      </w:r>
      <w:r>
        <w:rPr>
          <w:rFonts w:ascii="Arial" w:cs="Arial" w:eastAsia="Arial" w:hAnsi="Arial"/>
          <w:sz w:val="22"/>
          <w:szCs w:val="22"/>
          <w:color w:val="auto"/>
        </w:rPr>
        <w:t>. The Loan Agreement 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hereby amended by adding the Beneficial Ownership Information Disclosure Form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as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to the Loan Agreement. From and after the date hereof, all references in the Loan Agreement to the Beneficial Ownership Information Disclosure Form shall be deemed to refer to the Beneficial Ownership Information Disclosure Form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183" w:lineRule="exact"/>
        <w:rPr>
          <w:sz w:val="20"/>
          <w:szCs w:val="20"/>
          <w:color w:val="auto"/>
        </w:rPr>
      </w:pPr>
    </w:p>
    <w:p>
      <w:pPr>
        <w:jc w:val="both"/>
        <w:ind w:firstLine="648"/>
        <w:spacing w:after="0" w:line="239" w:lineRule="auto"/>
        <w:tabs>
          <w:tab w:leader="none" w:pos="1491"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Original Warrant</w:t>
      </w:r>
      <w:r>
        <w:rPr>
          <w:rFonts w:ascii="Arial" w:cs="Arial" w:eastAsia="Arial" w:hAnsi="Arial"/>
          <w:sz w:val="22"/>
          <w:szCs w:val="22"/>
          <w:color w:val="auto"/>
        </w:rPr>
        <w:t>. Bank and Borrower hereby agree that, as of the date hereof, that each of (i)</w:t>
      </w:r>
      <w:r>
        <w:rPr>
          <w:rFonts w:ascii="Arial" w:cs="Arial" w:eastAsia="Arial" w:hAnsi="Arial"/>
          <w:sz w:val="22"/>
          <w:szCs w:val="22"/>
          <w:b w:val="1"/>
          <w:bCs w:val="1"/>
          <w:color w:val="auto"/>
        </w:rPr>
        <w:t xml:space="preserve"> </w:t>
      </w:r>
      <w:r>
        <w:rPr>
          <w:rFonts w:ascii="Arial" w:cs="Arial" w:eastAsia="Arial" w:hAnsi="Arial"/>
          <w:sz w:val="22"/>
          <w:szCs w:val="22"/>
          <w:color w:val="auto"/>
        </w:rPr>
        <w:t>Warrant to Purchase Stock issued by Borrower to Bank on November 14, 2010, and (ii) Warrant to Purchase Stock issued by Borrower to Bank on February 14, is hereby cancelled and will be returned to Borrower promptly hereafter.</w:t>
      </w:r>
    </w:p>
    <w:p>
      <w:pPr>
        <w:spacing w:after="0" w:line="180" w:lineRule="exact"/>
        <w:rPr>
          <w:rFonts w:ascii="Arial" w:cs="Arial" w:eastAsia="Arial" w:hAnsi="Arial"/>
          <w:sz w:val="22"/>
          <w:szCs w:val="22"/>
          <w:b w:val="1"/>
          <w:bCs w:val="1"/>
          <w:color w:val="auto"/>
        </w:rPr>
      </w:pPr>
    </w:p>
    <w:p>
      <w:pPr>
        <w:ind w:left="1300" w:hanging="652"/>
        <w:spacing w:after="0"/>
        <w:tabs>
          <w:tab w:leader="none" w:pos="130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Amendments.</w:t>
      </w:r>
    </w:p>
    <w:p>
      <w:pPr>
        <w:spacing w:after="0" w:line="206" w:lineRule="exact"/>
        <w:rPr>
          <w:sz w:val="20"/>
          <w:szCs w:val="20"/>
          <w:color w:val="auto"/>
        </w:rPr>
      </w:pPr>
    </w:p>
    <w:p>
      <w:pPr>
        <w:jc w:val="both"/>
        <w:ind w:firstLine="1297"/>
        <w:spacing w:after="0" w:line="237"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The amendments and waiver set forth in Sections 2 through 4, above, are effective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5" w:name="page76"/>
    <w:bookmarkEnd w:id="75"/>
    <w:p>
      <w:pPr>
        <w:jc w:val="both"/>
        <w:ind w:firstLine="1297"/>
        <w:spacing w:after="0" w:line="301"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color w:val="auto"/>
        </w:rPr>
        <w:t>This Amendment shall be construed in connection with and as part of the Loan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and all terms, conditions, representations, warranties, covenants and agreements set forth in the Loan Documents, except as herein amended, are hereby ratified and confirmed and shall remain in full force and effect.</w:t>
      </w:r>
    </w:p>
    <w:p>
      <w:pPr>
        <w:spacing w:after="0" w:line="124" w:lineRule="exact"/>
        <w:rPr>
          <w:sz w:val="20"/>
          <w:szCs w:val="20"/>
          <w:color w:val="auto"/>
        </w:rPr>
      </w:pPr>
    </w:p>
    <w:p>
      <w:pPr>
        <w:ind w:firstLine="648"/>
        <w:spacing w:after="0" w:line="256" w:lineRule="auto"/>
        <w:tabs>
          <w:tab w:leader="none" w:pos="133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To induce Bank to enter into this Amendment, Borrower hereby</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and warrants to Bank as follows:</w:t>
      </w:r>
    </w:p>
    <w:p>
      <w:pPr>
        <w:spacing w:after="0" w:line="16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21"/>
          <w:szCs w:val="21"/>
          <w:b w:val="1"/>
          <w:bCs w:val="1"/>
          <w:color w:val="auto"/>
        </w:rPr>
        <w:t xml:space="preserve">5.1 </w:t>
      </w:r>
      <w:r>
        <w:rPr>
          <w:rFonts w:ascii="Arial" w:cs="Arial" w:eastAsia="Arial" w:hAnsi="Arial"/>
          <w:sz w:val="21"/>
          <w:szCs w:val="21"/>
          <w:color w:val="auto"/>
        </w:rPr>
        <w:t>Immediately after giving effect to this Amendment (a) the representations and warranties</w:t>
      </w:r>
      <w:r>
        <w:rPr>
          <w:rFonts w:ascii="Arial" w:cs="Arial" w:eastAsia="Arial" w:hAnsi="Arial"/>
          <w:sz w:val="21"/>
          <w:szCs w:val="21"/>
          <w:b w:val="1"/>
          <w:bCs w:val="1"/>
          <w:color w:val="auto"/>
        </w:rPr>
        <w:t xml:space="preserve"> </w:t>
      </w:r>
      <w:r>
        <w:rPr>
          <w:rFonts w:ascii="Arial" w:cs="Arial" w:eastAsia="Arial" w:hAnsi="Arial"/>
          <w:sz w:val="21"/>
          <w:szCs w:val="21"/>
          <w:color w:val="auto"/>
        </w:rPr>
        <w:t>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6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Borrower has the power and authority to execute and deliver this Amendment and to perform</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the Loan Agreement, as amended by this Amendment;</w:t>
      </w:r>
    </w:p>
    <w:p>
      <w:pPr>
        <w:spacing w:after="0" w:line="163"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The organizational documents of Borrower delivered to Bank on the Effective Date remain</w:t>
      </w:r>
      <w:r>
        <w:rPr>
          <w:rFonts w:ascii="Arial" w:cs="Arial" w:eastAsia="Arial" w:hAnsi="Arial"/>
          <w:sz w:val="22"/>
          <w:szCs w:val="22"/>
          <w:b w:val="1"/>
          <w:bCs w:val="1"/>
          <w:color w:val="auto"/>
        </w:rPr>
        <w:t xml:space="preserve"> </w:t>
      </w:r>
      <w:r>
        <w:rPr>
          <w:rFonts w:ascii="Arial" w:cs="Arial" w:eastAsia="Arial" w:hAnsi="Arial"/>
          <w:sz w:val="22"/>
          <w:szCs w:val="22"/>
          <w:color w:val="auto"/>
        </w:rPr>
        <w:t>true, accurate and complete and have not been amended, supplemented or restated and are and continue to be in full force and effect;</w:t>
      </w:r>
    </w:p>
    <w:p>
      <w:pPr>
        <w:spacing w:after="0" w:line="177"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b w:val="1"/>
          <w:bCs w:val="1"/>
          <w:color w:val="auto"/>
        </w:rPr>
        <w:t xml:space="preserve">5.4 </w:t>
      </w:r>
      <w:r>
        <w:rPr>
          <w:rFonts w:ascii="Arial" w:cs="Arial" w:eastAsia="Arial" w:hAnsi="Arial"/>
          <w:sz w:val="19"/>
          <w:szCs w:val="19"/>
          <w:color w:val="auto"/>
        </w:rPr>
        <w:t>The execution and delivery by Borrower of this Amendment and the performance by</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of its obligations under the Loan Agreement, as amended by this Amendment, have been duly authorized;</w:t>
      </w:r>
    </w:p>
    <w:p>
      <w:pPr>
        <w:spacing w:after="0" w:line="92"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b w:val="1"/>
          <w:bCs w:val="1"/>
          <w:color w:val="auto"/>
        </w:rPr>
        <w:t xml:space="preserve">5.5 </w:t>
      </w:r>
      <w:r>
        <w:rPr>
          <w:rFonts w:ascii="Arial" w:cs="Arial" w:eastAsia="Arial" w:hAnsi="Arial"/>
          <w:sz w:val="19"/>
          <w:szCs w:val="19"/>
          <w:color w:val="auto"/>
        </w:rPr>
        <w:t>The execution and delivery by Borrower of this Amendment and the performance by</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39" w:lineRule="exact"/>
        <w:rPr>
          <w:sz w:val="20"/>
          <w:szCs w:val="20"/>
          <w:color w:val="auto"/>
        </w:rPr>
      </w:pPr>
    </w:p>
    <w:p>
      <w:pPr>
        <w:jc w:val="both"/>
        <w:ind w:firstLine="1297"/>
        <w:spacing w:after="0" w:line="237" w:lineRule="auto"/>
        <w:rPr>
          <w:sz w:val="20"/>
          <w:szCs w:val="20"/>
          <w:color w:val="auto"/>
        </w:rPr>
      </w:pPr>
      <w:r>
        <w:rPr>
          <w:rFonts w:ascii="Arial" w:cs="Arial" w:eastAsia="Arial" w:hAnsi="Arial"/>
          <w:sz w:val="22"/>
          <w:szCs w:val="22"/>
          <w:b w:val="1"/>
          <w:bCs w:val="1"/>
          <w:color w:val="auto"/>
        </w:rPr>
        <w:t xml:space="preserve">5.6 </w:t>
      </w:r>
      <w:r>
        <w:rPr>
          <w:rFonts w:ascii="Arial" w:cs="Arial" w:eastAsia="Arial" w:hAnsi="Arial"/>
          <w:sz w:val="22"/>
          <w:szCs w:val="22"/>
          <w:color w:val="auto"/>
        </w:rPr>
        <w:t>The execution and delivery by Borrower of this Amendment and the performance by</w:t>
      </w:r>
      <w:r>
        <w:rPr>
          <w:rFonts w:ascii="Arial" w:cs="Arial" w:eastAsia="Arial" w:hAnsi="Arial"/>
          <w:sz w:val="22"/>
          <w:szCs w:val="22"/>
          <w:b w:val="1"/>
          <w:bCs w:val="1"/>
          <w:color w:val="auto"/>
        </w:rPr>
        <w:t xml:space="preserve"> </w:t>
      </w:r>
      <w:r>
        <w:rPr>
          <w:rFonts w:ascii="Arial" w:cs="Arial" w:eastAsia="Arial" w:hAnsi="Arial"/>
          <w:sz w:val="22"/>
          <w:szCs w:val="22"/>
          <w:color w:val="auto"/>
        </w:rPr>
        <w:t>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83" w:lineRule="exact"/>
        <w:rPr>
          <w:sz w:val="20"/>
          <w:szCs w:val="20"/>
          <w:color w:val="auto"/>
        </w:rPr>
      </w:pPr>
    </w:p>
    <w:p>
      <w:pPr>
        <w:jc w:val="both"/>
        <w:ind w:firstLine="1297"/>
        <w:spacing w:after="0" w:line="239" w:lineRule="auto"/>
        <w:rPr>
          <w:sz w:val="20"/>
          <w:szCs w:val="20"/>
          <w:color w:val="auto"/>
        </w:rPr>
      </w:pPr>
      <w:r>
        <w:rPr>
          <w:rFonts w:ascii="Arial" w:cs="Arial" w:eastAsia="Arial" w:hAnsi="Arial"/>
          <w:sz w:val="22"/>
          <w:szCs w:val="22"/>
          <w:b w:val="1"/>
          <w:bCs w:val="1"/>
          <w:color w:val="auto"/>
        </w:rPr>
        <w:t xml:space="preserve">5.7 </w:t>
      </w:r>
      <w:r>
        <w:rPr>
          <w:rFonts w:ascii="Arial" w:cs="Arial" w:eastAsia="Arial" w:hAnsi="Arial"/>
          <w:sz w:val="22"/>
          <w:szCs w:val="22"/>
          <w:color w:val="auto"/>
        </w:rPr>
        <w:t>This Amendment has been duly executed and delivered by Borrower and is the binding</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1" w:lineRule="exact"/>
        <w:rPr>
          <w:sz w:val="20"/>
          <w:szCs w:val="20"/>
          <w:color w:val="auto"/>
        </w:rPr>
      </w:pPr>
    </w:p>
    <w:p>
      <w:pPr>
        <w:ind w:firstLine="648"/>
        <w:spacing w:after="0" w:line="256" w:lineRule="auto"/>
        <w:tabs>
          <w:tab w:leader="none" w:pos="1405"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Amendment and the Loan Documents represent the entire agreement about this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matter and supersede prior negotiations or agreements. All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388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76" w:name="page77"/>
    <w:bookmarkEnd w:id="76"/>
    <w:p>
      <w:pPr>
        <w:spacing w:after="0" w:line="329" w:lineRule="auto"/>
        <w:rPr>
          <w:sz w:val="20"/>
          <w:szCs w:val="20"/>
          <w:color w:val="auto"/>
        </w:rPr>
      </w:pPr>
      <w:r>
        <w:rPr>
          <w:rFonts w:ascii="Arial" w:cs="Arial" w:eastAsia="Arial" w:hAnsi="Arial"/>
          <w:sz w:val="19"/>
          <w:szCs w:val="19"/>
          <w:color w:val="auto"/>
        </w:rPr>
        <w:t>agreements, understandings, representations, warranties, and negotiations between the parties about the subject matter of this Amendment and the Loan Documents merge into this Amendment and the Loan Documents.</w:t>
      </w:r>
    </w:p>
    <w:p>
      <w:pPr>
        <w:spacing w:after="0" w:line="98" w:lineRule="exact"/>
        <w:rPr>
          <w:sz w:val="20"/>
          <w:szCs w:val="20"/>
          <w:color w:val="auto"/>
        </w:rPr>
      </w:pPr>
    </w:p>
    <w:p>
      <w:pPr>
        <w:ind w:firstLine="648"/>
        <w:spacing w:after="0" w:line="256" w:lineRule="auto"/>
        <w:tabs>
          <w:tab w:leader="none" w:pos="1432"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Amendment may be executed in any number of counterparts and all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taken together shall be deemed to constitute one and the same instrument.</w:t>
      </w:r>
    </w:p>
    <w:p>
      <w:pPr>
        <w:spacing w:after="0" w:line="162" w:lineRule="exact"/>
        <w:rPr>
          <w:rFonts w:ascii="Arial" w:cs="Arial" w:eastAsia="Arial" w:hAnsi="Arial"/>
          <w:sz w:val="22"/>
          <w:szCs w:val="22"/>
          <w:b w:val="1"/>
          <w:bCs w:val="1"/>
          <w:color w:val="auto"/>
        </w:rPr>
      </w:pPr>
    </w:p>
    <w:p>
      <w:pPr>
        <w:jc w:val="both"/>
        <w:ind w:firstLine="648"/>
        <w:spacing w:after="0" w:line="254" w:lineRule="auto"/>
        <w:tabs>
          <w:tab w:leader="none" w:pos="1351" w:val="left"/>
        </w:tabs>
        <w:numPr>
          <w:ilvl w:val="0"/>
          <w:numId w:val="32"/>
        </w:numPr>
        <w:rPr>
          <w:rFonts w:ascii="Arial" w:cs="Arial" w:eastAsia="Arial" w:hAnsi="Arial"/>
          <w:sz w:val="21"/>
          <w:szCs w:val="21"/>
          <w:b w:val="1"/>
          <w:bCs w:val="1"/>
          <w:color w:val="auto"/>
        </w:rPr>
      </w:pPr>
      <w:r>
        <w:rPr>
          <w:rFonts w:ascii="Arial" w:cs="Arial" w:eastAsia="Arial" w:hAnsi="Arial"/>
          <w:sz w:val="21"/>
          <w:szCs w:val="21"/>
          <w:b w:val="1"/>
          <w:bCs w:val="1"/>
          <w:color w:val="auto"/>
        </w:rPr>
        <w:t>Effectiveness</w:t>
      </w:r>
      <w:r>
        <w:rPr>
          <w:rFonts w:ascii="Arial" w:cs="Arial" w:eastAsia="Arial" w:hAnsi="Arial"/>
          <w:sz w:val="21"/>
          <w:szCs w:val="21"/>
          <w:color w:val="auto"/>
        </w:rPr>
        <w:t>. This Amendment shall be deemed effective upon (a) the due execution and delivery</w:t>
      </w:r>
      <w:r>
        <w:rPr>
          <w:rFonts w:ascii="Arial" w:cs="Arial" w:eastAsia="Arial" w:hAnsi="Arial"/>
          <w:sz w:val="21"/>
          <w:szCs w:val="21"/>
          <w:b w:val="1"/>
          <w:bCs w:val="1"/>
          <w:color w:val="auto"/>
        </w:rPr>
        <w:t xml:space="preserve"> </w:t>
      </w:r>
      <w:r>
        <w:rPr>
          <w:rFonts w:ascii="Arial" w:cs="Arial" w:eastAsia="Arial" w:hAnsi="Arial"/>
          <w:sz w:val="21"/>
          <w:szCs w:val="21"/>
          <w:color w:val="auto"/>
        </w:rPr>
        <w:t>to Bank of this Amendment by each party hereto, (b) the due execution and delivery to Bank of a Warrant to Purchase Common Stock dated on or about the date hereof by each party thereto, and (c)Borrower’s payment of Bank’s legal fees and expenses incurred in connection with this Amendment.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63887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7" w:name="page78"/>
    <w:bookmarkEnd w:id="77"/>
    <w:p>
      <w:pPr>
        <w:ind w:firstLine="648"/>
        <w:spacing w:after="0" w:line="257"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caused this Amendment to be duly executed and</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as of the date first written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00" w:type="dxa"/>
            <w:vAlign w:val="bottom"/>
          </w:tcPr>
          <w:p>
            <w:pPr>
              <w:spacing w:after="0"/>
              <w:rPr>
                <w:sz w:val="24"/>
                <w:szCs w:val="24"/>
                <w:color w:val="auto"/>
              </w:rPr>
            </w:pPr>
          </w:p>
        </w:tc>
        <w:tc>
          <w:tcPr>
            <w:tcW w:w="4700" w:type="dxa"/>
            <w:vAlign w:val="bottom"/>
            <w:gridSpan w:val="3"/>
          </w:tcPr>
          <w:p>
            <w:pPr>
              <w:ind w:left="100"/>
              <w:spacing w:after="0"/>
              <w:rPr>
                <w:sz w:val="20"/>
                <w:szCs w:val="20"/>
                <w:color w:val="auto"/>
              </w:rPr>
            </w:pPr>
            <w:r>
              <w:rPr>
                <w:rFonts w:ascii="Arial" w:cs="Arial" w:eastAsia="Arial" w:hAnsi="Arial"/>
                <w:sz w:val="22"/>
                <w:szCs w:val="22"/>
                <w:b w:val="1"/>
                <w:bCs w:val="1"/>
                <w:color w:val="auto"/>
              </w:rPr>
              <w:t>BANK</w:t>
            </w:r>
          </w:p>
        </w:tc>
        <w:tc>
          <w:tcPr>
            <w:tcW w:w="4860" w:type="dxa"/>
            <w:vAlign w:val="bottom"/>
          </w:tcPr>
          <w:p>
            <w:pPr>
              <w:spacing w:after="0"/>
              <w:rPr>
                <w:sz w:val="20"/>
                <w:szCs w:val="20"/>
                <w:color w:val="auto"/>
              </w:rPr>
            </w:pPr>
            <w:r>
              <w:rPr>
                <w:rFonts w:ascii="Arial" w:cs="Arial" w:eastAsia="Arial" w:hAnsi="Arial"/>
                <w:sz w:val="22"/>
                <w:szCs w:val="22"/>
                <w:b w:val="1"/>
                <w:bCs w:val="1"/>
                <w:color w:val="auto"/>
              </w:rPr>
              <w:t>BORROWER</w:t>
            </w:r>
          </w:p>
        </w:tc>
      </w:tr>
      <w:tr>
        <w:trPr>
          <w:trHeight w:val="567"/>
        </w:trPr>
        <w:tc>
          <w:tcPr>
            <w:tcW w:w="500" w:type="dxa"/>
            <w:vAlign w:val="bottom"/>
          </w:tcPr>
          <w:p>
            <w:pPr>
              <w:spacing w:after="0"/>
              <w:rPr>
                <w:sz w:val="24"/>
                <w:szCs w:val="24"/>
                <w:color w:val="auto"/>
              </w:rPr>
            </w:pPr>
          </w:p>
        </w:tc>
        <w:tc>
          <w:tcPr>
            <w:tcW w:w="4700" w:type="dxa"/>
            <w:vAlign w:val="bottom"/>
            <w:gridSpan w:val="3"/>
          </w:tcPr>
          <w:p>
            <w:pPr>
              <w:ind w:left="100"/>
              <w:spacing w:after="0"/>
              <w:rPr>
                <w:sz w:val="20"/>
                <w:szCs w:val="20"/>
                <w:color w:val="auto"/>
              </w:rPr>
            </w:pPr>
            <w:r>
              <w:rPr>
                <w:rFonts w:ascii="Arial" w:cs="Arial" w:eastAsia="Arial" w:hAnsi="Arial"/>
                <w:sz w:val="22"/>
                <w:szCs w:val="22"/>
                <w:color w:val="auto"/>
              </w:rPr>
              <w:t>SILICON VALLEY BANK</w:t>
            </w:r>
          </w:p>
        </w:tc>
        <w:tc>
          <w:tcPr>
            <w:tcW w:w="4860" w:type="dxa"/>
            <w:vAlign w:val="bottom"/>
          </w:tcPr>
          <w:p>
            <w:pPr>
              <w:spacing w:after="0"/>
              <w:rPr>
                <w:sz w:val="20"/>
                <w:szCs w:val="20"/>
                <w:color w:val="auto"/>
              </w:rPr>
            </w:pPr>
            <w:r>
              <w:rPr>
                <w:rFonts w:ascii="Arial" w:cs="Arial" w:eastAsia="Arial" w:hAnsi="Arial"/>
                <w:sz w:val="22"/>
                <w:szCs w:val="22"/>
                <w:color w:val="auto"/>
              </w:rPr>
              <w:t>EVERSPIN TECHNOLOGIES, INC.</w:t>
            </w:r>
          </w:p>
        </w:tc>
      </w:tr>
      <w:tr>
        <w:trPr>
          <w:trHeight w:val="578"/>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gridSpan w:val="3"/>
          </w:tcPr>
          <w:p>
            <w:pPr>
              <w:ind w:left="100"/>
              <w:spacing w:after="0"/>
              <w:rPr>
                <w:sz w:val="20"/>
                <w:szCs w:val="20"/>
                <w:color w:val="auto"/>
              </w:rPr>
            </w:pPr>
            <w:r>
              <w:rPr>
                <w:rFonts w:ascii="Arial" w:cs="Arial" w:eastAsia="Arial" w:hAnsi="Arial"/>
                <w:sz w:val="22"/>
                <w:szCs w:val="22"/>
                <w:color w:val="auto"/>
              </w:rPr>
              <w:t>/s/ Chris Goodwin</w:t>
            </w:r>
          </w:p>
        </w:tc>
        <w:tc>
          <w:tcPr>
            <w:tcW w:w="4860" w:type="dxa"/>
            <w:vAlign w:val="bottom"/>
          </w:tcPr>
          <w:p>
            <w:pPr>
              <w:spacing w:after="0"/>
              <w:rPr>
                <w:sz w:val="20"/>
                <w:szCs w:val="20"/>
                <w:color w:val="auto"/>
              </w:rPr>
            </w:pPr>
            <w:r>
              <w:rPr>
                <w:rFonts w:ascii="Arial" w:cs="Arial" w:eastAsia="Arial" w:hAnsi="Arial"/>
                <w:sz w:val="22"/>
                <w:szCs w:val="22"/>
                <w:color w:val="auto"/>
              </w:rPr>
              <w:t>/s/ Jeff Winzeler</w:t>
            </w:r>
          </w:p>
        </w:tc>
      </w:tr>
      <w:tr>
        <w:trPr>
          <w:trHeight w:val="275"/>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43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Chris Goodwin</w:t>
            </w:r>
          </w:p>
        </w:tc>
        <w:tc>
          <w:tcPr>
            <w:tcW w:w="240" w:type="dxa"/>
            <w:vAlign w:val="bottom"/>
          </w:tcPr>
          <w:p>
            <w:pPr>
              <w:spacing w:after="0"/>
              <w:rPr>
                <w:sz w:val="23"/>
                <w:szCs w:val="23"/>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Jeff Winzeler</w:t>
            </w:r>
          </w:p>
        </w:tc>
      </w:tr>
      <w:tr>
        <w:trPr>
          <w:trHeight w:val="276"/>
        </w:trPr>
        <w:tc>
          <w:tcPr>
            <w:tcW w:w="50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gridSpan w:val="3"/>
          </w:tcPr>
          <w:p>
            <w:pPr>
              <w:ind w:left="100"/>
              <w:spacing w:after="0"/>
              <w:rPr>
                <w:sz w:val="20"/>
                <w:szCs w:val="20"/>
                <w:color w:val="auto"/>
              </w:rPr>
            </w:pPr>
            <w:r>
              <w:rPr>
                <w:rFonts w:ascii="Arial" w:cs="Arial" w:eastAsia="Arial" w:hAnsi="Arial"/>
                <w:sz w:val="22"/>
                <w:szCs w:val="22"/>
                <w:color w:val="auto"/>
              </w:rPr>
              <w:t>VP</w:t>
            </w:r>
          </w:p>
        </w:tc>
        <w:tc>
          <w:tcPr>
            <w:tcW w:w="4860" w:type="dxa"/>
            <w:vAlign w:val="bottom"/>
          </w:tcPr>
          <w:p>
            <w:pPr>
              <w:spacing w:after="0"/>
              <w:rPr>
                <w:sz w:val="20"/>
                <w:szCs w:val="20"/>
                <w:color w:val="auto"/>
              </w:rPr>
            </w:pPr>
            <w:r>
              <w:rPr>
                <w:rFonts w:ascii="Arial" w:cs="Arial" w:eastAsia="Arial" w:hAnsi="Arial"/>
                <w:sz w:val="22"/>
                <w:szCs w:val="22"/>
                <w:color w:val="auto"/>
              </w:rPr>
              <w:t>Chief Financial Officer</w:t>
            </w:r>
          </w:p>
        </w:tc>
      </w:tr>
      <w:tr>
        <w:trPr>
          <w:trHeight w:val="470"/>
        </w:trPr>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1" w:right="91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22"/>
          <w:szCs w:val="22"/>
          <w:b w:val="1"/>
          <w:bCs w:val="1"/>
          <w:u w:val="single" w:color="auto"/>
          <w:color w:val="auto"/>
        </w:rPr>
        <w:t>EXHIBIT B</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COMPLIANCE CERTIFICATE</w:t>
      </w:r>
    </w:p>
    <w:p>
      <w:pPr>
        <w:spacing w:after="0" w:line="202" w:lineRule="exact"/>
        <w:rPr>
          <w:sz w:val="20"/>
          <w:szCs w:val="20"/>
          <w:color w:val="auto"/>
        </w:rPr>
      </w:pPr>
    </w:p>
    <w:p>
      <w:pPr>
        <w:ind w:left="640"/>
        <w:spacing w:after="0"/>
        <w:tabs>
          <w:tab w:leader="none" w:pos="1320" w:val="left"/>
          <w:tab w:leader="none" w:pos="664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SILICON VALLEY BANK</w:t>
      </w:r>
      <w:r>
        <w:rPr>
          <w:sz w:val="20"/>
          <w:szCs w:val="20"/>
          <w:color w:val="auto"/>
        </w:rPr>
        <w:tab/>
      </w: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4530090</wp:posOffset>
            </wp:positionH>
            <wp:positionV relativeFrom="paragraph">
              <wp:posOffset>7620</wp:posOffset>
            </wp:positionV>
            <wp:extent cx="9950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FROM: EVERSPIN TECHNOLOGIES, INC.</w:t>
      </w:r>
    </w:p>
    <w:p>
      <w:pPr>
        <w:spacing w:after="0" w:line="206"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The undersigned authorized officer of EVERSPIN TECHNOLOGIES, INC., a Delaware corporation, (“</w:t>
      </w:r>
      <w:r>
        <w:rPr>
          <w:rFonts w:ascii="Arial" w:cs="Arial" w:eastAsia="Arial" w:hAnsi="Arial"/>
          <w:sz w:val="22"/>
          <w:szCs w:val="22"/>
          <w:b w:val="1"/>
          <w:bCs w:val="1"/>
          <w:color w:val="auto"/>
        </w:rPr>
        <w:t>Borrower</w:t>
      </w:r>
      <w:r>
        <w:rPr>
          <w:rFonts w:ascii="Arial" w:cs="Arial" w:eastAsia="Arial" w:hAnsi="Arial"/>
          <w:sz w:val="22"/>
          <w:szCs w:val="22"/>
          <w:color w:val="auto"/>
        </w:rPr>
        <w:t>”) certifies that under the terms and conditions of the Loan and Security Agreement between Borrower and Bank (the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86" w:lineRule="exact"/>
        <w:rPr>
          <w:sz w:val="20"/>
          <w:szCs w:val="20"/>
          <w:color w:val="auto"/>
        </w:rPr>
      </w:pPr>
    </w:p>
    <w:p>
      <w:pPr>
        <w:jc w:val="both"/>
        <w:ind w:right="20" w:firstLine="648"/>
        <w:spacing w:after="0" w:line="273" w:lineRule="auto"/>
        <w:tabs>
          <w:tab w:leader="none" w:pos="955" w:val="left"/>
        </w:tabs>
        <w:numPr>
          <w:ilvl w:val="0"/>
          <w:numId w:val="33"/>
        </w:numPr>
        <w:rPr>
          <w:rFonts w:ascii="Arial" w:cs="Arial" w:eastAsia="Arial" w:hAnsi="Arial"/>
          <w:sz w:val="19"/>
          <w:szCs w:val="19"/>
          <w:color w:val="auto"/>
        </w:rPr>
      </w:pPr>
      <w:r>
        <w:rPr>
          <w:rFonts w:ascii="Arial" w:cs="Arial" w:eastAsia="Arial" w:hAnsi="Arial"/>
          <w:sz w:val="19"/>
          <w:szCs w:val="19"/>
          <w:color w:val="auto"/>
        </w:rPr>
        <w:t>Borrower is in complete compliance for the period ending _______________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Bank.</w:t>
      </w:r>
    </w:p>
    <w:p>
      <w:pPr>
        <w:spacing w:after="0" w:line="156"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9"/>
          <w:szCs w:val="19"/>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Please indicate compliance status by circling Yes/No under “Complies” column.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40" w:type="dxa"/>
            <w:vAlign w:val="bottom"/>
            <w:tcBorders>
              <w:top w:val="single" w:sz="8" w:color="auto"/>
              <w:left w:val="single" w:sz="8" w:color="auto"/>
            </w:tcBorders>
          </w:tcPr>
          <w:p>
            <w:pPr>
              <w:spacing w:after="0"/>
              <w:rPr>
                <w:sz w:val="23"/>
                <w:szCs w:val="23"/>
                <w:color w:val="auto"/>
              </w:rPr>
            </w:pPr>
          </w:p>
        </w:tc>
        <w:tc>
          <w:tcPr>
            <w:tcW w:w="47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b w:val="1"/>
                <w:bCs w:val="1"/>
                <w:color w:val="auto"/>
              </w:rPr>
              <w:t>Reporting Covenants</w:t>
            </w:r>
          </w:p>
        </w:tc>
        <w:tc>
          <w:tcPr>
            <w:tcW w:w="1220" w:type="dxa"/>
            <w:vAlign w:val="bottom"/>
            <w:tcBorders>
              <w:top w:val="single" w:sz="8" w:color="auto"/>
            </w:tcBorders>
          </w:tcPr>
          <w:p>
            <w:pPr>
              <w:spacing w:after="0"/>
              <w:rPr>
                <w:sz w:val="23"/>
                <w:szCs w:val="23"/>
                <w:color w:val="auto"/>
              </w:rPr>
            </w:pPr>
          </w:p>
        </w:tc>
        <w:tc>
          <w:tcPr>
            <w:tcW w:w="21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b w:val="1"/>
                <w:bCs w:val="1"/>
                <w:color w:val="auto"/>
              </w:rPr>
              <w:t>Required</w:t>
            </w:r>
          </w:p>
        </w:tc>
        <w:tc>
          <w:tcPr>
            <w:tcW w:w="1860" w:type="dxa"/>
            <w:vAlign w:val="bottom"/>
            <w:tcBorders>
              <w:top w:val="single" w:sz="8" w:color="auto"/>
              <w:right w:val="single" w:sz="8" w:color="auto"/>
            </w:tcBorders>
            <w:gridSpan w:val="4"/>
          </w:tcPr>
          <w:p>
            <w:pPr>
              <w:ind w:left="480"/>
              <w:spacing w:after="0"/>
              <w:rPr>
                <w:sz w:val="20"/>
                <w:szCs w:val="20"/>
                <w:color w:val="auto"/>
              </w:rPr>
            </w:pPr>
            <w:r>
              <w:rPr>
                <w:rFonts w:ascii="Arial" w:cs="Arial" w:eastAsia="Arial" w:hAnsi="Arial"/>
                <w:sz w:val="22"/>
                <w:szCs w:val="22"/>
                <w:b w:val="1"/>
                <w:bCs w:val="1"/>
                <w:color w:val="auto"/>
              </w:rPr>
              <w:t>Complies</w:t>
            </w:r>
          </w:p>
        </w:tc>
      </w:tr>
      <w:tr>
        <w:trPr>
          <w:trHeight w:val="75"/>
        </w:trPr>
        <w:tc>
          <w:tcPr>
            <w:tcW w:w="140" w:type="dxa"/>
            <w:vAlign w:val="bottom"/>
            <w:tcBorders>
              <w:left w:val="single" w:sz="8" w:color="auto"/>
              <w:bottom w:val="single" w:sz="8" w:color="auto"/>
            </w:tcBorders>
          </w:tcPr>
          <w:p>
            <w:pPr>
              <w:spacing w:after="0"/>
              <w:rPr>
                <w:sz w:val="6"/>
                <w:szCs w:val="6"/>
                <w:color w:val="auto"/>
              </w:rPr>
            </w:pPr>
          </w:p>
        </w:tc>
        <w:tc>
          <w:tcPr>
            <w:tcW w:w="1960" w:type="dxa"/>
            <w:vAlign w:val="bottom"/>
            <w:tcBorders>
              <w:top w:val="single" w:sz="8" w:color="auto"/>
              <w:bottom w:val="single" w:sz="8" w:color="auto"/>
            </w:tcBorders>
          </w:tcPr>
          <w:p>
            <w:pPr>
              <w:spacing w:after="0"/>
              <w:rPr>
                <w:sz w:val="6"/>
                <w:szCs w:val="6"/>
                <w:color w:val="auto"/>
              </w:rPr>
            </w:pPr>
          </w:p>
        </w:tc>
        <w:tc>
          <w:tcPr>
            <w:tcW w:w="280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860" w:type="dxa"/>
            <w:vAlign w:val="bottom"/>
            <w:tcBorders>
              <w:top w:val="single" w:sz="8" w:color="auto"/>
              <w:bottom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420" w:type="dxa"/>
            <w:vAlign w:val="bottom"/>
            <w:tcBorders>
              <w:top w:val="single" w:sz="8" w:color="auto"/>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r>
      <w:tr>
        <w:trPr>
          <w:trHeight w:val="269"/>
        </w:trPr>
        <w:tc>
          <w:tcPr>
            <w:tcW w:w="140" w:type="dxa"/>
            <w:vAlign w:val="bottom"/>
            <w:tcBorders>
              <w:left w:val="single" w:sz="8" w:color="auto"/>
            </w:tcBorders>
          </w:tcPr>
          <w:p>
            <w:pPr>
              <w:spacing w:after="0"/>
              <w:rPr>
                <w:sz w:val="23"/>
                <w:szCs w:val="23"/>
                <w:color w:val="auto"/>
              </w:rPr>
            </w:pPr>
          </w:p>
        </w:tc>
        <w:tc>
          <w:tcPr>
            <w:tcW w:w="47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Monthly financial statements with Compliance</w:t>
            </w:r>
          </w:p>
        </w:tc>
        <w:tc>
          <w:tcPr>
            <w:tcW w:w="332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Monthly within 30 days</w:t>
            </w:r>
          </w:p>
        </w:tc>
        <w:tc>
          <w:tcPr>
            <w:tcW w:w="480" w:type="dxa"/>
            <w:vAlign w:val="bottom"/>
          </w:tcPr>
          <w:p>
            <w:pPr>
              <w:spacing w:after="0"/>
              <w:rPr>
                <w:sz w:val="23"/>
                <w:szCs w:val="23"/>
                <w:color w:val="auto"/>
              </w:rPr>
            </w:pPr>
          </w:p>
        </w:tc>
        <w:tc>
          <w:tcPr>
            <w:tcW w:w="460" w:type="dxa"/>
            <w:vAlign w:val="bottom"/>
          </w:tcPr>
          <w:p>
            <w:pPr>
              <w:ind w:left="40"/>
              <w:spacing w:after="0"/>
              <w:rPr>
                <w:sz w:val="20"/>
                <w:szCs w:val="20"/>
                <w:color w:val="auto"/>
              </w:rPr>
            </w:pPr>
            <w:r>
              <w:rPr>
                <w:rFonts w:ascii="Arial" w:cs="Arial" w:eastAsia="Arial" w:hAnsi="Arial"/>
                <w:sz w:val="22"/>
                <w:szCs w:val="22"/>
                <w:color w:val="auto"/>
              </w:rPr>
              <w:t>Yes</w:t>
            </w:r>
          </w:p>
        </w:tc>
        <w:tc>
          <w:tcPr>
            <w:tcW w:w="920" w:type="dxa"/>
            <w:vAlign w:val="bottom"/>
            <w:tcBorders>
              <w:right w:val="single" w:sz="8" w:color="auto"/>
            </w:tcBorders>
            <w:gridSpan w:val="2"/>
          </w:tcPr>
          <w:p>
            <w:pPr>
              <w:ind w:left="120"/>
              <w:spacing w:after="0"/>
              <w:rPr>
                <w:sz w:val="20"/>
                <w:szCs w:val="20"/>
                <w:color w:val="auto"/>
              </w:rPr>
            </w:pPr>
            <w:r>
              <w:rPr>
                <w:rFonts w:ascii="Arial" w:cs="Arial" w:eastAsia="Arial" w:hAnsi="Arial"/>
                <w:sz w:val="22"/>
                <w:szCs w:val="22"/>
                <w:color w:val="auto"/>
              </w:rPr>
              <w:t>No</w:t>
            </w:r>
          </w:p>
        </w:tc>
      </w:tr>
      <w:tr>
        <w:trPr>
          <w:trHeight w:val="275"/>
        </w:trPr>
        <w:tc>
          <w:tcPr>
            <w:tcW w:w="140" w:type="dxa"/>
            <w:vAlign w:val="bottom"/>
            <w:tcBorders>
              <w:left w:val="single" w:sz="8" w:color="auto"/>
            </w:tcBorders>
          </w:tcPr>
          <w:p>
            <w:pPr>
              <w:spacing w:after="0"/>
              <w:rPr>
                <w:sz w:val="23"/>
                <w:szCs w:val="23"/>
                <w:color w:val="auto"/>
              </w:rPr>
            </w:pPr>
          </w:p>
        </w:tc>
        <w:tc>
          <w:tcPr>
            <w:tcW w:w="47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Certificate</w:t>
            </w:r>
          </w:p>
        </w:tc>
        <w:tc>
          <w:tcPr>
            <w:tcW w:w="1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Borders>
              <w:right w:val="single" w:sz="8" w:color="auto"/>
            </w:tcBorders>
          </w:tcPr>
          <w:p>
            <w:pPr>
              <w:spacing w:after="0"/>
              <w:rPr>
                <w:sz w:val="23"/>
                <w:szCs w:val="23"/>
                <w:color w:val="auto"/>
              </w:rPr>
            </w:pPr>
          </w:p>
        </w:tc>
      </w:tr>
      <w:tr>
        <w:trPr>
          <w:trHeight w:val="44"/>
        </w:trPr>
        <w:tc>
          <w:tcPr>
            <w:tcW w:w="140" w:type="dxa"/>
            <w:vAlign w:val="bottom"/>
            <w:tcBorders>
              <w:left w:val="single" w:sz="8" w:color="auto"/>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r>
      <w:tr>
        <w:trPr>
          <w:trHeight w:val="301"/>
        </w:trPr>
        <w:tc>
          <w:tcPr>
            <w:tcW w:w="140" w:type="dxa"/>
            <w:vAlign w:val="bottom"/>
            <w:tcBorders>
              <w:left w:val="single" w:sz="8" w:color="auto"/>
            </w:tcBorders>
          </w:tcPr>
          <w:p>
            <w:pPr>
              <w:spacing w:after="0"/>
              <w:rPr>
                <w:sz w:val="24"/>
                <w:szCs w:val="24"/>
                <w:color w:val="auto"/>
              </w:rPr>
            </w:pPr>
          </w:p>
        </w:tc>
        <w:tc>
          <w:tcPr>
            <w:tcW w:w="47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Annual financial statement (CPA Audited)</w:t>
            </w:r>
          </w:p>
        </w:tc>
        <w:tc>
          <w:tcPr>
            <w:tcW w:w="332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FYE within 150 days</w:t>
            </w:r>
          </w:p>
        </w:tc>
        <w:tc>
          <w:tcPr>
            <w:tcW w:w="48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Arial" w:cs="Arial" w:eastAsia="Arial" w:hAnsi="Arial"/>
                <w:sz w:val="22"/>
                <w:szCs w:val="22"/>
                <w:color w:val="auto"/>
              </w:rPr>
              <w:t>Yes</w:t>
            </w:r>
          </w:p>
        </w:tc>
        <w:tc>
          <w:tcPr>
            <w:tcW w:w="920" w:type="dxa"/>
            <w:vAlign w:val="bottom"/>
            <w:tcBorders>
              <w:right w:val="single" w:sz="8" w:color="auto"/>
            </w:tcBorders>
            <w:gridSpan w:val="2"/>
          </w:tcPr>
          <w:p>
            <w:pPr>
              <w:ind w:left="120"/>
              <w:spacing w:after="0"/>
              <w:rPr>
                <w:sz w:val="20"/>
                <w:szCs w:val="20"/>
                <w:color w:val="auto"/>
              </w:rPr>
            </w:pPr>
            <w:r>
              <w:rPr>
                <w:rFonts w:ascii="Arial" w:cs="Arial" w:eastAsia="Arial" w:hAnsi="Arial"/>
                <w:sz w:val="22"/>
                <w:szCs w:val="22"/>
                <w:color w:val="auto"/>
              </w:rPr>
              <w:t>No</w:t>
            </w:r>
          </w:p>
        </w:tc>
      </w:tr>
      <w:tr>
        <w:trPr>
          <w:trHeight w:val="44"/>
        </w:trPr>
        <w:tc>
          <w:tcPr>
            <w:tcW w:w="140" w:type="dxa"/>
            <w:vAlign w:val="bottom"/>
            <w:tcBorders>
              <w:left w:val="single" w:sz="8" w:color="auto"/>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r>
      <w:tr>
        <w:trPr>
          <w:trHeight w:val="269"/>
        </w:trPr>
        <w:tc>
          <w:tcPr>
            <w:tcW w:w="140" w:type="dxa"/>
            <w:vAlign w:val="bottom"/>
            <w:tcBorders>
              <w:left w:val="single" w:sz="8" w:color="auto"/>
            </w:tcBorders>
          </w:tcPr>
          <w:p>
            <w:pPr>
              <w:spacing w:after="0"/>
              <w:rPr>
                <w:sz w:val="23"/>
                <w:szCs w:val="23"/>
                <w:color w:val="auto"/>
              </w:rPr>
            </w:pPr>
          </w:p>
        </w:tc>
        <w:tc>
          <w:tcPr>
            <w:tcW w:w="47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Board Projections</w:t>
            </w:r>
          </w:p>
        </w:tc>
        <w:tc>
          <w:tcPr>
            <w:tcW w:w="332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Earlier of (i) 15 days after board</w:t>
            </w:r>
          </w:p>
        </w:tc>
        <w:tc>
          <w:tcPr>
            <w:tcW w:w="480" w:type="dxa"/>
            <w:vAlign w:val="bottom"/>
          </w:tcPr>
          <w:p>
            <w:pPr>
              <w:spacing w:after="0"/>
              <w:rPr>
                <w:sz w:val="23"/>
                <w:szCs w:val="23"/>
                <w:color w:val="auto"/>
              </w:rPr>
            </w:pPr>
          </w:p>
        </w:tc>
        <w:tc>
          <w:tcPr>
            <w:tcW w:w="460" w:type="dxa"/>
            <w:vAlign w:val="bottom"/>
          </w:tcPr>
          <w:p>
            <w:pPr>
              <w:ind w:left="40"/>
              <w:spacing w:after="0"/>
              <w:rPr>
                <w:sz w:val="20"/>
                <w:szCs w:val="20"/>
                <w:color w:val="auto"/>
              </w:rPr>
            </w:pPr>
            <w:r>
              <w:rPr>
                <w:rFonts w:ascii="Arial" w:cs="Arial" w:eastAsia="Arial" w:hAnsi="Arial"/>
                <w:sz w:val="22"/>
                <w:szCs w:val="22"/>
                <w:color w:val="auto"/>
              </w:rPr>
              <w:t>Yes</w:t>
            </w:r>
          </w:p>
        </w:tc>
        <w:tc>
          <w:tcPr>
            <w:tcW w:w="920" w:type="dxa"/>
            <w:vAlign w:val="bottom"/>
            <w:tcBorders>
              <w:right w:val="single" w:sz="8" w:color="auto"/>
            </w:tcBorders>
            <w:gridSpan w:val="2"/>
          </w:tcPr>
          <w:p>
            <w:pPr>
              <w:ind w:left="120"/>
              <w:spacing w:after="0"/>
              <w:rPr>
                <w:sz w:val="20"/>
                <w:szCs w:val="20"/>
                <w:color w:val="auto"/>
              </w:rPr>
            </w:pPr>
            <w:r>
              <w:rPr>
                <w:rFonts w:ascii="Arial" w:cs="Arial" w:eastAsia="Arial" w:hAnsi="Arial"/>
                <w:sz w:val="22"/>
                <w:szCs w:val="22"/>
                <w:color w:val="auto"/>
              </w:rPr>
              <w:t>No</w:t>
            </w:r>
          </w:p>
        </w:tc>
      </w:tr>
      <w:tr>
        <w:trPr>
          <w:trHeight w:val="243"/>
        </w:trPr>
        <w:tc>
          <w:tcPr>
            <w:tcW w:w="140" w:type="dxa"/>
            <w:vAlign w:val="bottom"/>
            <w:tcBorders>
              <w:left w:val="single" w:sz="8" w:color="auto"/>
            </w:tcBorders>
          </w:tcPr>
          <w:p>
            <w:pPr>
              <w:spacing w:after="0"/>
              <w:rPr>
                <w:sz w:val="21"/>
                <w:szCs w:val="21"/>
                <w:color w:val="auto"/>
              </w:rPr>
            </w:pPr>
          </w:p>
        </w:tc>
        <w:tc>
          <w:tcPr>
            <w:tcW w:w="1960" w:type="dxa"/>
            <w:vAlign w:val="bottom"/>
          </w:tcPr>
          <w:p>
            <w:pPr>
              <w:spacing w:after="0"/>
              <w:rPr>
                <w:sz w:val="21"/>
                <w:szCs w:val="21"/>
                <w:color w:val="auto"/>
              </w:rPr>
            </w:pPr>
          </w:p>
        </w:tc>
        <w:tc>
          <w:tcPr>
            <w:tcW w:w="2800" w:type="dxa"/>
            <w:vAlign w:val="bottom"/>
            <w:tcBorders>
              <w:right w:val="single" w:sz="8" w:color="auto"/>
            </w:tcBorders>
          </w:tcPr>
          <w:p>
            <w:pPr>
              <w:spacing w:after="0"/>
              <w:rPr>
                <w:sz w:val="21"/>
                <w:szCs w:val="21"/>
                <w:color w:val="auto"/>
              </w:rPr>
            </w:pPr>
          </w:p>
        </w:tc>
        <w:tc>
          <w:tcPr>
            <w:tcW w:w="3320" w:type="dxa"/>
            <w:vAlign w:val="bottom"/>
            <w:tcBorders>
              <w:right w:val="single" w:sz="8" w:color="auto"/>
            </w:tcBorders>
            <w:gridSpan w:val="3"/>
          </w:tcPr>
          <w:p>
            <w:pPr>
              <w:ind w:left="100"/>
              <w:spacing w:after="0" w:line="243" w:lineRule="exact"/>
              <w:rPr>
                <w:sz w:val="20"/>
                <w:szCs w:val="20"/>
                <w:color w:val="auto"/>
              </w:rPr>
            </w:pPr>
            <w:r>
              <w:rPr>
                <w:rFonts w:ascii="Arial" w:cs="Arial" w:eastAsia="Arial" w:hAnsi="Arial"/>
                <w:sz w:val="22"/>
                <w:szCs w:val="22"/>
                <w:color w:val="auto"/>
              </w:rPr>
              <w:t>approval or (ii) February 28th of</w:t>
            </w: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r>
      <w:tr>
        <w:trPr>
          <w:trHeight w:val="275"/>
        </w:trPr>
        <w:tc>
          <w:tcPr>
            <w:tcW w:w="140" w:type="dxa"/>
            <w:vAlign w:val="bottom"/>
            <w:tcBorders>
              <w:left w:val="single" w:sz="8" w:color="auto"/>
            </w:tcBorders>
          </w:tcPr>
          <w:p>
            <w:pPr>
              <w:spacing w:after="0"/>
              <w:rPr>
                <w:sz w:val="23"/>
                <w:szCs w:val="23"/>
                <w:color w:val="auto"/>
              </w:rPr>
            </w:pPr>
          </w:p>
        </w:tc>
        <w:tc>
          <w:tcPr>
            <w:tcW w:w="1960" w:type="dxa"/>
            <w:vAlign w:val="bottom"/>
          </w:tcPr>
          <w:p>
            <w:pPr>
              <w:spacing w:after="0"/>
              <w:rPr>
                <w:sz w:val="23"/>
                <w:szCs w:val="23"/>
                <w:color w:val="auto"/>
              </w:rPr>
            </w:pPr>
          </w:p>
        </w:tc>
        <w:tc>
          <w:tcPr>
            <w:tcW w:w="2800" w:type="dxa"/>
            <w:vAlign w:val="bottom"/>
            <w:tcBorders>
              <w:right w:val="single" w:sz="8" w:color="auto"/>
            </w:tcBorders>
          </w:tcPr>
          <w:p>
            <w:pPr>
              <w:spacing w:after="0"/>
              <w:rPr>
                <w:sz w:val="23"/>
                <w:szCs w:val="23"/>
                <w:color w:val="auto"/>
              </w:rPr>
            </w:pPr>
          </w:p>
        </w:tc>
        <w:tc>
          <w:tcPr>
            <w:tcW w:w="332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each calendar year</w:t>
            </w: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Borders>
              <w:right w:val="single" w:sz="8" w:color="auto"/>
            </w:tcBorders>
          </w:tcPr>
          <w:p>
            <w:pPr>
              <w:spacing w:after="0"/>
              <w:rPr>
                <w:sz w:val="23"/>
                <w:szCs w:val="23"/>
                <w:color w:val="auto"/>
              </w:rPr>
            </w:pPr>
          </w:p>
        </w:tc>
      </w:tr>
      <w:tr>
        <w:trPr>
          <w:trHeight w:val="44"/>
        </w:trPr>
        <w:tc>
          <w:tcPr>
            <w:tcW w:w="140" w:type="dxa"/>
            <w:vAlign w:val="bottom"/>
            <w:tcBorders>
              <w:left w:val="single" w:sz="8" w:color="auto"/>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r>
      <w:tr>
        <w:trPr>
          <w:trHeight w:val="446"/>
        </w:trPr>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111" w:right="899" w:bottom="1440" w:gutter="0" w:footer="0" w:header="0"/>
        </w:sectPr>
      </w:pPr>
    </w:p>
    <w:bookmarkStart w:id="79" w:name="page80"/>
    <w:bookmarkEnd w:id="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4900" w:type="dxa"/>
            <w:vAlign w:val="bottom"/>
            <w:tcBorders>
              <w:top w:val="single" w:sz="8" w:color="auto"/>
              <w:left w:val="single" w:sz="8" w:color="auto"/>
              <w:right w:val="single" w:sz="8" w:color="auto"/>
            </w:tcBorders>
            <w:gridSpan w:val="3"/>
          </w:tcPr>
          <w:p>
            <w:pPr>
              <w:ind w:left="140"/>
              <w:spacing w:after="0" w:line="253" w:lineRule="exact"/>
              <w:rPr>
                <w:sz w:val="20"/>
                <w:szCs w:val="20"/>
                <w:color w:val="auto"/>
              </w:rPr>
            </w:pPr>
            <w:r>
              <w:rPr>
                <w:rFonts w:ascii="Arial" w:cs="Arial" w:eastAsia="Arial" w:hAnsi="Arial"/>
                <w:sz w:val="22"/>
                <w:szCs w:val="22"/>
                <w:color w:val="auto"/>
              </w:rPr>
              <w:t>10</w:t>
            </w:r>
            <w:r>
              <w:rPr>
                <w:rFonts w:ascii="MS PGothic" w:cs="MS PGothic" w:eastAsia="MS PGothic" w:hAnsi="MS PGothic"/>
                <w:sz w:val="22"/>
                <w:szCs w:val="22"/>
                <w:color w:val="auto"/>
              </w:rPr>
              <w:t>‑</w:t>
            </w:r>
            <w:r>
              <w:rPr>
                <w:rFonts w:ascii="Arial" w:cs="Arial" w:eastAsia="Arial" w:hAnsi="Arial"/>
                <w:sz w:val="22"/>
                <w:szCs w:val="22"/>
                <w:color w:val="auto"/>
              </w:rPr>
              <w:t>Q, 10</w:t>
            </w:r>
            <w:r>
              <w:rPr>
                <w:rFonts w:ascii="MS PGothic" w:cs="MS PGothic" w:eastAsia="MS PGothic" w:hAnsi="MS PGothic"/>
                <w:sz w:val="22"/>
                <w:szCs w:val="22"/>
                <w:color w:val="auto"/>
              </w:rPr>
              <w:t>‑</w:t>
            </w:r>
            <w:r>
              <w:rPr>
                <w:rFonts w:ascii="Arial" w:cs="Arial" w:eastAsia="Arial" w:hAnsi="Arial"/>
                <w:sz w:val="22"/>
                <w:szCs w:val="22"/>
                <w:color w:val="auto"/>
              </w:rPr>
              <w:t>K and 8-K</w:t>
            </w:r>
          </w:p>
        </w:tc>
        <w:tc>
          <w:tcPr>
            <w:tcW w:w="3320" w:type="dxa"/>
            <w:vAlign w:val="bottom"/>
            <w:tcBorders>
              <w:top w:val="single" w:sz="8" w:color="auto"/>
              <w:right w:val="single" w:sz="8" w:color="auto"/>
            </w:tcBorders>
            <w:gridSpan w:val="7"/>
          </w:tcPr>
          <w:p>
            <w:pPr>
              <w:ind w:left="100"/>
              <w:spacing w:after="0"/>
              <w:rPr>
                <w:sz w:val="20"/>
                <w:szCs w:val="20"/>
                <w:color w:val="auto"/>
              </w:rPr>
            </w:pPr>
            <w:r>
              <w:rPr>
                <w:rFonts w:ascii="Arial" w:cs="Arial" w:eastAsia="Arial" w:hAnsi="Arial"/>
                <w:sz w:val="22"/>
                <w:szCs w:val="22"/>
                <w:color w:val="auto"/>
                <w:w w:val="96"/>
              </w:rPr>
              <w:t>Within 5 days after filing with SEC</w:t>
            </w:r>
          </w:p>
        </w:tc>
        <w:tc>
          <w:tcPr>
            <w:tcW w:w="3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gridSpan w:val="2"/>
          </w:tcPr>
          <w:p>
            <w:pPr>
              <w:ind w:left="180"/>
              <w:spacing w:after="0"/>
              <w:rPr>
                <w:sz w:val="20"/>
                <w:szCs w:val="20"/>
                <w:color w:val="auto"/>
              </w:rPr>
            </w:pPr>
            <w:r>
              <w:rPr>
                <w:rFonts w:ascii="Arial" w:cs="Arial" w:eastAsia="Arial" w:hAnsi="Arial"/>
                <w:sz w:val="22"/>
                <w:szCs w:val="22"/>
                <w:color w:val="auto"/>
              </w:rPr>
              <w:t>Yes</w:t>
            </w:r>
          </w:p>
        </w:tc>
        <w:tc>
          <w:tcPr>
            <w:tcW w:w="940" w:type="dxa"/>
            <w:vAlign w:val="bottom"/>
            <w:tcBorders>
              <w:top w:val="single" w:sz="8" w:color="auto"/>
              <w:right w:val="single" w:sz="8" w:color="auto"/>
            </w:tcBorders>
            <w:gridSpan w:val="2"/>
          </w:tcPr>
          <w:p>
            <w:pPr>
              <w:ind w:left="140"/>
              <w:spacing w:after="0"/>
              <w:rPr>
                <w:sz w:val="20"/>
                <w:szCs w:val="20"/>
                <w:color w:val="auto"/>
              </w:rPr>
            </w:pPr>
            <w:r>
              <w:rPr>
                <w:rFonts w:ascii="Arial" w:cs="Arial" w:eastAsia="Arial" w:hAnsi="Arial"/>
                <w:sz w:val="22"/>
                <w:szCs w:val="22"/>
                <w:color w:val="auto"/>
              </w:rPr>
              <w:t>No</w:t>
            </w:r>
          </w:p>
        </w:tc>
      </w:tr>
      <w:tr>
        <w:trPr>
          <w:trHeight w:val="179"/>
        </w:trPr>
        <w:tc>
          <w:tcPr>
            <w:tcW w:w="1680" w:type="dxa"/>
            <w:vAlign w:val="bottom"/>
            <w:tcBorders>
              <w:left w:val="single" w:sz="8" w:color="auto"/>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r>
      <w:tr>
        <w:trPr>
          <w:trHeight w:val="301"/>
        </w:trPr>
        <w:tc>
          <w:tcPr>
            <w:tcW w:w="4900" w:type="dxa"/>
            <w:vAlign w:val="bottom"/>
            <w:tcBorders>
              <w:left w:val="single" w:sz="8" w:color="auto"/>
              <w:right w:val="single" w:sz="8" w:color="auto"/>
            </w:tcBorders>
            <w:gridSpan w:val="3"/>
          </w:tcPr>
          <w:p>
            <w:pPr>
              <w:ind w:left="140"/>
              <w:spacing w:after="0"/>
              <w:rPr>
                <w:sz w:val="20"/>
                <w:szCs w:val="20"/>
                <w:color w:val="auto"/>
              </w:rPr>
            </w:pPr>
            <w:r>
              <w:rPr>
                <w:rFonts w:ascii="Arial" w:cs="Arial" w:eastAsia="Arial" w:hAnsi="Arial"/>
                <w:sz w:val="22"/>
                <w:szCs w:val="22"/>
                <w:color w:val="auto"/>
              </w:rPr>
              <w:t>Board Projections</w:t>
            </w:r>
          </w:p>
        </w:tc>
        <w:tc>
          <w:tcPr>
            <w:tcW w:w="1960" w:type="dxa"/>
            <w:vAlign w:val="bottom"/>
            <w:gridSpan w:val="4"/>
          </w:tcPr>
          <w:p>
            <w:pPr>
              <w:ind w:left="100"/>
              <w:spacing w:after="0"/>
              <w:rPr>
                <w:sz w:val="20"/>
                <w:szCs w:val="20"/>
                <w:color w:val="auto"/>
              </w:rPr>
            </w:pPr>
            <w:r>
              <w:rPr>
                <w:rFonts w:ascii="Arial" w:cs="Arial" w:eastAsia="Arial" w:hAnsi="Arial"/>
                <w:sz w:val="22"/>
                <w:szCs w:val="22"/>
                <w:color w:val="auto"/>
                <w:w w:val="96"/>
              </w:rPr>
              <w:t>FYE within 30 days</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gridSpan w:val="2"/>
          </w:tcPr>
          <w:p>
            <w:pPr>
              <w:ind w:left="180"/>
              <w:spacing w:after="0"/>
              <w:rPr>
                <w:sz w:val="20"/>
                <w:szCs w:val="20"/>
                <w:color w:val="auto"/>
              </w:rPr>
            </w:pPr>
            <w:r>
              <w:rPr>
                <w:rFonts w:ascii="Arial" w:cs="Arial" w:eastAsia="Arial" w:hAnsi="Arial"/>
                <w:sz w:val="22"/>
                <w:szCs w:val="22"/>
                <w:color w:val="auto"/>
              </w:rPr>
              <w:t>Yes</w:t>
            </w:r>
          </w:p>
        </w:tc>
        <w:tc>
          <w:tcPr>
            <w:tcW w:w="940" w:type="dxa"/>
            <w:vAlign w:val="bottom"/>
            <w:tcBorders>
              <w:right w:val="single" w:sz="8" w:color="auto"/>
            </w:tcBorders>
            <w:gridSpan w:val="2"/>
          </w:tcPr>
          <w:p>
            <w:pPr>
              <w:ind w:left="140"/>
              <w:spacing w:after="0"/>
              <w:rPr>
                <w:sz w:val="20"/>
                <w:szCs w:val="20"/>
                <w:color w:val="auto"/>
              </w:rPr>
            </w:pPr>
            <w:r>
              <w:rPr>
                <w:rFonts w:ascii="Arial" w:cs="Arial" w:eastAsia="Arial" w:hAnsi="Arial"/>
                <w:sz w:val="22"/>
                <w:szCs w:val="22"/>
                <w:color w:val="auto"/>
              </w:rPr>
              <w:t>No</w:t>
            </w:r>
          </w:p>
        </w:tc>
      </w:tr>
      <w:tr>
        <w:trPr>
          <w:trHeight w:val="44"/>
        </w:trPr>
        <w:tc>
          <w:tcPr>
            <w:tcW w:w="1680" w:type="dxa"/>
            <w:vAlign w:val="bottom"/>
            <w:tcBorders>
              <w:left w:val="single" w:sz="8" w:color="auto"/>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r>
      <w:tr>
        <w:trPr>
          <w:trHeight w:val="385"/>
        </w:trPr>
        <w:tc>
          <w:tcPr>
            <w:tcW w:w="1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50"/>
        </w:trPr>
        <w:tc>
          <w:tcPr>
            <w:tcW w:w="1680" w:type="dxa"/>
            <w:vAlign w:val="bottom"/>
            <w:tcBorders>
              <w:left w:val="single" w:sz="8" w:color="auto"/>
            </w:tcBorders>
          </w:tcPr>
          <w:p>
            <w:pPr>
              <w:spacing w:after="0"/>
              <w:rPr>
                <w:sz w:val="21"/>
                <w:szCs w:val="21"/>
                <w:color w:val="auto"/>
              </w:rPr>
            </w:pPr>
          </w:p>
        </w:tc>
        <w:tc>
          <w:tcPr>
            <w:tcW w:w="322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rPr>
              <w:t>Financial Covenant</w:t>
            </w:r>
          </w:p>
        </w:tc>
        <w:tc>
          <w:tcPr>
            <w:tcW w:w="280" w:type="dxa"/>
            <w:vAlign w:val="bottom"/>
            <w:tcBorders>
              <w:right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Borders>
              <w:right w:val="single" w:sz="8" w:color="auto"/>
            </w:tcBorders>
            <w:gridSpan w:val="2"/>
          </w:tcPr>
          <w:p>
            <w:pPr>
              <w:spacing w:after="0" w:line="250" w:lineRule="exact"/>
              <w:rPr>
                <w:sz w:val="20"/>
                <w:szCs w:val="20"/>
                <w:color w:val="auto"/>
              </w:rPr>
            </w:pPr>
            <w:r>
              <w:rPr>
                <w:rFonts w:ascii="Arial" w:cs="Arial" w:eastAsia="Arial" w:hAnsi="Arial"/>
                <w:sz w:val="22"/>
                <w:szCs w:val="22"/>
                <w:b w:val="1"/>
                <w:bCs w:val="1"/>
                <w:color w:val="auto"/>
              </w:rPr>
              <w:t>Required</w:t>
            </w:r>
          </w:p>
        </w:tc>
        <w:tc>
          <w:tcPr>
            <w:tcW w:w="1360" w:type="dxa"/>
            <w:vAlign w:val="bottom"/>
            <w:gridSpan w:val="3"/>
          </w:tcPr>
          <w:p>
            <w:pPr>
              <w:ind w:left="520"/>
              <w:spacing w:after="0" w:line="250" w:lineRule="exact"/>
              <w:rPr>
                <w:sz w:val="20"/>
                <w:szCs w:val="20"/>
                <w:color w:val="auto"/>
              </w:rPr>
            </w:pPr>
            <w:r>
              <w:rPr>
                <w:rFonts w:ascii="Arial" w:cs="Arial" w:eastAsia="Arial" w:hAnsi="Arial"/>
                <w:sz w:val="22"/>
                <w:szCs w:val="22"/>
                <w:b w:val="1"/>
                <w:bCs w:val="1"/>
                <w:color w:val="auto"/>
              </w:rPr>
              <w:t>Actual</w:t>
            </w:r>
          </w:p>
        </w:tc>
        <w:tc>
          <w:tcPr>
            <w:tcW w:w="34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gridSpan w:val="4"/>
          </w:tcPr>
          <w:p>
            <w:pPr>
              <w:ind w:left="320"/>
              <w:spacing w:after="0" w:line="250" w:lineRule="exact"/>
              <w:rPr>
                <w:sz w:val="20"/>
                <w:szCs w:val="20"/>
                <w:color w:val="auto"/>
              </w:rPr>
            </w:pPr>
            <w:r>
              <w:rPr>
                <w:rFonts w:ascii="Arial" w:cs="Arial" w:eastAsia="Arial" w:hAnsi="Arial"/>
                <w:sz w:val="22"/>
                <w:szCs w:val="22"/>
                <w:b w:val="1"/>
                <w:bCs w:val="1"/>
                <w:color w:val="auto"/>
              </w:rPr>
              <w:t>Complies</w:t>
            </w:r>
          </w:p>
        </w:tc>
      </w:tr>
      <w:tr>
        <w:trPr>
          <w:trHeight w:val="75"/>
        </w:trPr>
        <w:tc>
          <w:tcPr>
            <w:tcW w:w="1680" w:type="dxa"/>
            <w:vAlign w:val="bottom"/>
            <w:tcBorders>
              <w:left w:val="single" w:sz="8" w:color="auto"/>
              <w:bottom w:val="single" w:sz="8" w:color="auto"/>
            </w:tcBorders>
          </w:tcPr>
          <w:p>
            <w:pPr>
              <w:spacing w:after="0"/>
              <w:rPr>
                <w:sz w:val="6"/>
                <w:szCs w:val="6"/>
                <w:color w:val="auto"/>
              </w:rPr>
            </w:pPr>
          </w:p>
        </w:tc>
        <w:tc>
          <w:tcPr>
            <w:tcW w:w="1800" w:type="dxa"/>
            <w:vAlign w:val="bottom"/>
            <w:tcBorders>
              <w:top w:val="single" w:sz="8" w:color="auto"/>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80" w:type="dxa"/>
            <w:vAlign w:val="bottom"/>
            <w:tcBorders>
              <w:bottom w:val="single" w:sz="8" w:color="auto"/>
              <w:right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top w:val="single" w:sz="8" w:color="auto"/>
              <w:bottom w:val="single" w:sz="8" w:color="auto"/>
            </w:tcBorders>
          </w:tcPr>
          <w:p>
            <w:pPr>
              <w:spacing w:after="0"/>
              <w:rPr>
                <w:sz w:val="6"/>
                <w:szCs w:val="6"/>
                <w:color w:val="auto"/>
              </w:rPr>
            </w:pPr>
          </w:p>
        </w:tc>
        <w:tc>
          <w:tcPr>
            <w:tcW w:w="42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20" w:type="dxa"/>
            <w:vAlign w:val="bottom"/>
            <w:tcBorders>
              <w:top w:val="single" w:sz="8" w:color="auto"/>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r>
      <w:tr>
        <w:trPr>
          <w:trHeight w:val="301"/>
        </w:trPr>
        <w:tc>
          <w:tcPr>
            <w:tcW w:w="4900" w:type="dxa"/>
            <w:vAlign w:val="bottom"/>
            <w:tcBorders>
              <w:left w:val="single" w:sz="8" w:color="auto"/>
            </w:tcBorders>
            <w:gridSpan w:val="3"/>
          </w:tcPr>
          <w:p>
            <w:pPr>
              <w:ind w:left="140"/>
              <w:spacing w:after="0"/>
              <w:rPr>
                <w:sz w:val="20"/>
                <w:szCs w:val="20"/>
                <w:color w:val="auto"/>
              </w:rPr>
            </w:pPr>
            <w:r>
              <w:rPr>
                <w:rFonts w:ascii="Arial" w:cs="Arial" w:eastAsia="Arial" w:hAnsi="Arial"/>
                <w:sz w:val="22"/>
                <w:szCs w:val="22"/>
                <w:color w:val="auto"/>
              </w:rPr>
              <w:t>Maintain on a Monthly Basis:</w:t>
            </w:r>
          </w:p>
        </w:tc>
        <w:tc>
          <w:tcPr>
            <w:tcW w:w="2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r>
      <w:tr>
        <w:trPr>
          <w:trHeight w:val="44"/>
        </w:trPr>
        <w:tc>
          <w:tcPr>
            <w:tcW w:w="1680" w:type="dxa"/>
            <w:vAlign w:val="bottom"/>
            <w:tcBorders>
              <w:left w:val="single" w:sz="8" w:color="auto"/>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r>
      <w:tr>
        <w:trPr>
          <w:trHeight w:val="301"/>
        </w:trPr>
        <w:tc>
          <w:tcPr>
            <w:tcW w:w="4900" w:type="dxa"/>
            <w:vAlign w:val="bottom"/>
            <w:tcBorders>
              <w:left w:val="single" w:sz="8" w:color="auto"/>
            </w:tcBorders>
            <w:gridSpan w:val="3"/>
          </w:tcPr>
          <w:p>
            <w:pPr>
              <w:ind w:left="280"/>
              <w:spacing w:after="0"/>
              <w:rPr>
                <w:sz w:val="20"/>
                <w:szCs w:val="20"/>
                <w:color w:val="auto"/>
              </w:rPr>
            </w:pPr>
            <w:r>
              <w:rPr>
                <w:rFonts w:ascii="Arial" w:cs="Arial" w:eastAsia="Arial" w:hAnsi="Arial"/>
                <w:sz w:val="22"/>
                <w:szCs w:val="22"/>
                <w:color w:val="auto"/>
              </w:rPr>
              <w:t>Liquidity Ratio</w:t>
            </w:r>
          </w:p>
        </w:tc>
        <w:tc>
          <w:tcPr>
            <w:tcW w:w="28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gridSpan w:val="3"/>
          </w:tcPr>
          <w:p>
            <w:pPr>
              <w:ind w:left="120"/>
              <w:spacing w:after="0"/>
              <w:rPr>
                <w:sz w:val="20"/>
                <w:szCs w:val="20"/>
                <w:color w:val="auto"/>
              </w:rPr>
            </w:pPr>
            <w:r>
              <w:rPr>
                <w:rFonts w:ascii="Arial" w:cs="Arial" w:eastAsia="Arial" w:hAnsi="Arial"/>
                <w:sz w:val="22"/>
                <w:szCs w:val="22"/>
                <w:color w:val="auto"/>
                <w:w w:val="97"/>
              </w:rPr>
              <w:t>See Schedule 1</w:t>
            </w:r>
          </w:p>
        </w:tc>
        <w:tc>
          <w:tcPr>
            <w:tcW w:w="1360" w:type="dxa"/>
            <w:vAlign w:val="bottom"/>
            <w:gridSpan w:val="3"/>
          </w:tcPr>
          <w:p>
            <w:pPr>
              <w:ind w:left="120"/>
              <w:spacing w:after="0"/>
              <w:rPr>
                <w:sz w:val="20"/>
                <w:szCs w:val="20"/>
                <w:color w:val="auto"/>
              </w:rPr>
            </w:pPr>
            <w:r>
              <w:rPr>
                <w:rFonts w:ascii="Arial" w:cs="Arial" w:eastAsia="Arial" w:hAnsi="Arial"/>
                <w:sz w:val="22"/>
                <w:szCs w:val="22"/>
                <w:color w:val="auto"/>
                <w:w w:val="98"/>
              </w:rPr>
              <w:t>____ to 1.00</w:t>
            </w:r>
          </w:p>
        </w:tc>
        <w:tc>
          <w:tcPr>
            <w:tcW w:w="340" w:type="dxa"/>
            <w:vAlign w:val="bottom"/>
            <w:tcBorders>
              <w:right w:val="single" w:sz="8" w:color="auto"/>
            </w:tcBorders>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22"/>
                <w:szCs w:val="22"/>
                <w:color w:val="auto"/>
              </w:rPr>
              <w:t>Yes</w:t>
            </w: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22"/>
                <w:szCs w:val="22"/>
                <w:color w:val="auto"/>
              </w:rPr>
              <w:t>No</w:t>
            </w:r>
          </w:p>
        </w:tc>
      </w:tr>
      <w:tr>
        <w:trPr>
          <w:trHeight w:val="44"/>
        </w:trPr>
        <w:tc>
          <w:tcPr>
            <w:tcW w:w="1680" w:type="dxa"/>
            <w:vAlign w:val="bottom"/>
            <w:tcBorders>
              <w:left w:val="single" w:sz="8" w:color="auto"/>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r>
      <w:tr>
        <w:trPr>
          <w:trHeight w:val="345"/>
        </w:trPr>
        <w:tc>
          <w:tcPr>
            <w:tcW w:w="1680" w:type="dxa"/>
            <w:vAlign w:val="bottom"/>
            <w:tcBorders>
              <w:left w:val="single" w:sz="8" w:color="auto"/>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r>
      <w:tr>
        <w:trPr>
          <w:trHeight w:val="301"/>
        </w:trPr>
        <w:tc>
          <w:tcPr>
            <w:tcW w:w="4900" w:type="dxa"/>
            <w:vAlign w:val="bottom"/>
            <w:tcBorders>
              <w:left w:val="single" w:sz="8" w:color="auto"/>
            </w:tcBorders>
            <w:gridSpan w:val="3"/>
          </w:tcPr>
          <w:p>
            <w:pPr>
              <w:ind w:left="200"/>
              <w:spacing w:after="0"/>
              <w:rPr>
                <w:sz w:val="20"/>
                <w:szCs w:val="20"/>
                <w:color w:val="auto"/>
              </w:rPr>
            </w:pPr>
            <w:r>
              <w:rPr>
                <w:rFonts w:ascii="Arial" w:cs="Arial" w:eastAsia="Arial" w:hAnsi="Arial"/>
                <w:sz w:val="22"/>
                <w:szCs w:val="22"/>
                <w:color w:val="auto"/>
              </w:rPr>
              <w:t>TFS Revenue</w:t>
            </w:r>
          </w:p>
        </w:tc>
        <w:tc>
          <w:tcPr>
            <w:tcW w:w="28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gridSpan w:val="3"/>
          </w:tcPr>
          <w:p>
            <w:pPr>
              <w:ind w:left="120"/>
              <w:spacing w:after="0"/>
              <w:rPr>
                <w:sz w:val="20"/>
                <w:szCs w:val="20"/>
                <w:color w:val="auto"/>
              </w:rPr>
            </w:pPr>
            <w:r>
              <w:rPr>
                <w:rFonts w:ascii="Arial" w:cs="Arial" w:eastAsia="Arial" w:hAnsi="Arial"/>
                <w:sz w:val="22"/>
                <w:szCs w:val="22"/>
                <w:color w:val="auto"/>
                <w:w w:val="97"/>
              </w:rPr>
              <w:t>See Schedule 1</w:t>
            </w:r>
          </w:p>
        </w:tc>
        <w:tc>
          <w:tcPr>
            <w:tcW w:w="1140" w:type="dxa"/>
            <w:vAlign w:val="bottom"/>
            <w:gridSpan w:val="2"/>
          </w:tcPr>
          <w:p>
            <w:pPr>
              <w:ind w:left="120"/>
              <w:spacing w:after="0"/>
              <w:rPr>
                <w:sz w:val="20"/>
                <w:szCs w:val="20"/>
                <w:color w:val="auto"/>
              </w:rPr>
            </w:pPr>
            <w:r>
              <w:rPr>
                <w:rFonts w:ascii="Arial" w:cs="Arial" w:eastAsia="Arial" w:hAnsi="Arial"/>
                <w:sz w:val="22"/>
                <w:szCs w:val="22"/>
                <w:color w:val="auto"/>
              </w:rPr>
              <w:t>$_____</w:t>
            </w:r>
          </w:p>
        </w:tc>
        <w:tc>
          <w:tcPr>
            <w:tcW w:w="2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22"/>
                <w:szCs w:val="22"/>
                <w:color w:val="auto"/>
              </w:rPr>
              <w:t>Yes</w:t>
            </w: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22"/>
                <w:szCs w:val="22"/>
                <w:color w:val="auto"/>
              </w:rPr>
              <w:t>No</w:t>
            </w:r>
          </w:p>
        </w:tc>
      </w:tr>
      <w:tr>
        <w:trPr>
          <w:trHeight w:val="44"/>
        </w:trPr>
        <w:tc>
          <w:tcPr>
            <w:tcW w:w="1680" w:type="dxa"/>
            <w:vAlign w:val="bottom"/>
            <w:tcBorders>
              <w:left w:val="single" w:sz="8" w:color="auto"/>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r>
    </w:tbl>
    <w:p>
      <w:pPr>
        <w:spacing w:after="0" w:line="222"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22"/>
          <w:szCs w:val="22"/>
          <w:color w:val="auto"/>
        </w:rPr>
        <w:t>The following financial covenant analysis and information set forth in Schedule 1 attached hereto are true and accurate as of the date of this Certificate.</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Matters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Have there been any amendments of or other changes to the capitalization table of</w:t>
      </w:r>
    </w:p>
    <w:p>
      <w:pPr>
        <w:spacing w:after="0" w:line="8" w:lineRule="exact"/>
        <w:rPr>
          <w:sz w:val="20"/>
          <w:szCs w:val="20"/>
          <w:color w:val="auto"/>
        </w:rPr>
      </w:pPr>
    </w:p>
    <w:p>
      <w:pPr>
        <w:ind w:left="120" w:right="540"/>
        <w:spacing w:after="0" w:line="181" w:lineRule="auto"/>
        <w:rPr>
          <w:sz w:val="20"/>
          <w:szCs w:val="20"/>
          <w:color w:val="auto"/>
        </w:rPr>
      </w:pPr>
      <w:r>
        <w:rPr>
          <w:rFonts w:ascii="Arial" w:cs="Arial" w:eastAsia="Arial" w:hAnsi="Arial"/>
          <w:sz w:val="19"/>
          <w:szCs w:val="19"/>
          <w:color w:val="auto"/>
        </w:rPr>
        <w:t xml:space="preserve">Borrower and to the Operating Documents of Borrower or any of its </w:t>
      </w:r>
      <w:r>
        <w:rPr>
          <w:rFonts w:ascii="Arial" w:cs="Arial" w:eastAsia="Arial" w:hAnsi="Arial"/>
          <w:sz w:val="37"/>
          <w:szCs w:val="37"/>
          <w:color w:val="auto"/>
          <w:vertAlign w:val="subscript"/>
        </w:rPr>
        <w:t>Yes No</w:t>
      </w:r>
      <w:r>
        <w:rPr>
          <w:rFonts w:ascii="Arial" w:cs="Arial" w:eastAsia="Arial" w:hAnsi="Arial"/>
          <w:sz w:val="19"/>
          <w:szCs w:val="19"/>
          <w:color w:val="auto"/>
        </w:rPr>
        <w:t xml:space="preserve"> Subsidiaries? If yes, provide copies of any such amendments or changes with this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Compliance Certificate.</w:t>
      </w:r>
    </w:p>
    <w:p>
      <w:pPr>
        <w:spacing w:after="0" w:line="188" w:lineRule="exact"/>
        <w:rPr>
          <w:sz w:val="20"/>
          <w:szCs w:val="20"/>
          <w:color w:val="auto"/>
        </w:rPr>
      </w:pPr>
    </w:p>
    <w:p>
      <w:pPr>
        <w:ind w:right="20" w:firstLine="324"/>
        <w:spacing w:after="0" w:line="251" w:lineRule="auto"/>
        <w:rPr>
          <w:sz w:val="20"/>
          <w:szCs w:val="20"/>
          <w:color w:val="auto"/>
        </w:rPr>
      </w:pPr>
      <w:r>
        <w:rPr>
          <w:rFonts w:ascii="Arial" w:cs="Arial" w:eastAsia="Arial" w:hAnsi="Arial"/>
          <w:sz w:val="22"/>
          <w:szCs w:val="22"/>
          <w:color w:val="auto"/>
        </w:rPr>
        <w:t>The following are the exceptions with respect to the certification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393700</wp:posOffset>
            </wp:positionV>
            <wp:extent cx="3223895"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3223895" cy="342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556895</wp:posOffset>
            </wp:positionV>
            <wp:extent cx="321564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321564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852805</wp:posOffset>
            </wp:positionV>
            <wp:extent cx="63887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80"/>
          </w:cols>
          <w:pgMar w:left="920" w:top="160" w:right="89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81"/>
        </w:trPr>
        <w:tc>
          <w:tcPr>
            <w:tcW w:w="4940" w:type="dxa"/>
            <w:vAlign w:val="bottom"/>
            <w:gridSpan w:val="2"/>
          </w:tcPr>
          <w:p>
            <w:pPr>
              <w:spacing w:after="0"/>
              <w:rPr>
                <w:sz w:val="20"/>
                <w:szCs w:val="20"/>
                <w:color w:val="auto"/>
              </w:rPr>
            </w:pPr>
            <w:r>
              <w:rPr>
                <w:rFonts w:ascii="Arial" w:cs="Arial" w:eastAsia="Arial" w:hAnsi="Arial"/>
                <w:sz w:val="22"/>
                <w:szCs w:val="22"/>
                <w:color w:val="auto"/>
              </w:rPr>
              <w:t>EVERSPIN TECHNOLOGIES, INC.</w:t>
            </w:r>
          </w:p>
        </w:tc>
        <w:tc>
          <w:tcPr>
            <w:tcW w:w="2620" w:type="dxa"/>
            <w:vAlign w:val="bottom"/>
            <w:gridSpan w:val="2"/>
          </w:tcPr>
          <w:p>
            <w:pPr>
              <w:ind w:left="240"/>
              <w:spacing w:after="0"/>
              <w:rPr>
                <w:sz w:val="20"/>
                <w:szCs w:val="20"/>
                <w:color w:val="auto"/>
              </w:rPr>
            </w:pPr>
            <w:r>
              <w:rPr>
                <w:rFonts w:ascii="Arial" w:cs="Arial" w:eastAsia="Arial" w:hAnsi="Arial"/>
                <w:sz w:val="22"/>
                <w:szCs w:val="22"/>
                <w:b w:val="1"/>
                <w:bCs w:val="1"/>
                <w:color w:val="auto"/>
              </w:rPr>
              <w:t>BANK USE ONLY</w:t>
            </w:r>
          </w:p>
        </w:tc>
        <w:tc>
          <w:tcPr>
            <w:tcW w:w="2500" w:type="dxa"/>
            <w:vAlign w:val="bottom"/>
          </w:tcPr>
          <w:p>
            <w:pPr>
              <w:spacing w:after="0"/>
              <w:rPr>
                <w:sz w:val="24"/>
                <w:szCs w:val="24"/>
                <w:color w:val="auto"/>
              </w:rPr>
            </w:pPr>
          </w:p>
        </w:tc>
      </w:tr>
      <w:tr>
        <w:trPr>
          <w:trHeight w:val="861"/>
        </w:trPr>
        <w:tc>
          <w:tcPr>
            <w:tcW w:w="4940" w:type="dxa"/>
            <w:vAlign w:val="bottom"/>
            <w:gridSpan w:val="2"/>
          </w:tcPr>
          <w:p>
            <w:pPr>
              <w:spacing w:after="0"/>
              <w:rPr>
                <w:sz w:val="20"/>
                <w:szCs w:val="20"/>
                <w:color w:val="auto"/>
              </w:rPr>
            </w:pPr>
            <w:r>
              <w:rPr>
                <w:rFonts w:ascii="Arial" w:cs="Arial" w:eastAsia="Arial" w:hAnsi="Arial"/>
                <w:sz w:val="22"/>
                <w:szCs w:val="22"/>
                <w:color w:val="auto"/>
              </w:rPr>
              <w:t>By:</w:t>
            </w:r>
          </w:p>
        </w:tc>
        <w:tc>
          <w:tcPr>
            <w:tcW w:w="2620" w:type="dxa"/>
            <w:vAlign w:val="bottom"/>
            <w:gridSpan w:val="2"/>
          </w:tcPr>
          <w:p>
            <w:pPr>
              <w:ind w:left="240"/>
              <w:spacing w:after="0"/>
              <w:rPr>
                <w:sz w:val="20"/>
                <w:szCs w:val="20"/>
                <w:color w:val="auto"/>
              </w:rPr>
            </w:pPr>
            <w:r>
              <w:rPr>
                <w:rFonts w:ascii="Arial" w:cs="Arial" w:eastAsia="Arial" w:hAnsi="Arial"/>
                <w:sz w:val="22"/>
                <w:szCs w:val="22"/>
                <w:color w:val="auto"/>
              </w:rPr>
              <w:t>Received by:</w:t>
            </w:r>
          </w:p>
        </w:tc>
        <w:tc>
          <w:tcPr>
            <w:tcW w:w="2500" w:type="dxa"/>
            <w:vAlign w:val="bottom"/>
          </w:tcPr>
          <w:p>
            <w:pPr>
              <w:spacing w:after="0"/>
              <w:rPr>
                <w:sz w:val="24"/>
                <w:szCs w:val="24"/>
                <w:color w:val="auto"/>
              </w:rPr>
            </w:pPr>
          </w:p>
        </w:tc>
      </w:tr>
      <w:tr>
        <w:trPr>
          <w:trHeight w:val="277"/>
        </w:trPr>
        <w:tc>
          <w:tcPr>
            <w:tcW w:w="600" w:type="dxa"/>
            <w:vAlign w:val="bottom"/>
          </w:tcPr>
          <w:p>
            <w:pPr>
              <w:spacing w:after="0"/>
              <w:rPr>
                <w:sz w:val="20"/>
                <w:szCs w:val="20"/>
                <w:color w:val="auto"/>
              </w:rPr>
            </w:pPr>
            <w:r>
              <w:rPr>
                <w:rFonts w:ascii="Arial" w:cs="Arial" w:eastAsia="Arial" w:hAnsi="Arial"/>
                <w:sz w:val="22"/>
                <w:szCs w:val="22"/>
                <w:color w:val="auto"/>
                <w:w w:val="89"/>
              </w:rPr>
              <w:t>Name:</w:t>
            </w:r>
          </w:p>
        </w:tc>
        <w:tc>
          <w:tcPr>
            <w:tcW w:w="4340" w:type="dxa"/>
            <w:vAlign w:val="bottom"/>
            <w:tcBorders>
              <w:top w:val="single" w:sz="8" w:color="auto"/>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3700" w:type="dxa"/>
            <w:vAlign w:val="bottom"/>
            <w:tcBorders>
              <w:top w:val="single" w:sz="8" w:color="auto"/>
            </w:tcBorders>
            <w:gridSpan w:val="2"/>
          </w:tcPr>
          <w:p>
            <w:pPr>
              <w:ind w:left="740"/>
              <w:spacing w:after="0"/>
              <w:rPr>
                <w:sz w:val="20"/>
                <w:szCs w:val="20"/>
                <w:color w:val="auto"/>
              </w:rPr>
            </w:pPr>
            <w:r>
              <w:rPr>
                <w:rFonts w:ascii="Arial" w:cs="Arial" w:eastAsia="Arial" w:hAnsi="Arial"/>
                <w:sz w:val="22"/>
                <w:szCs w:val="22"/>
                <w:color w:val="auto"/>
              </w:rPr>
              <w:t>AUTHORIZED SIGNER</w:t>
            </w:r>
          </w:p>
        </w:tc>
      </w:tr>
      <w:tr>
        <w:trPr>
          <w:trHeight w:val="253"/>
        </w:trPr>
        <w:tc>
          <w:tcPr>
            <w:tcW w:w="600" w:type="dxa"/>
            <w:vAlign w:val="bottom"/>
          </w:tcPr>
          <w:p>
            <w:pPr>
              <w:spacing w:after="0"/>
              <w:rPr>
                <w:sz w:val="20"/>
                <w:szCs w:val="20"/>
                <w:color w:val="auto"/>
              </w:rPr>
            </w:pPr>
            <w:r>
              <w:rPr>
                <w:rFonts w:ascii="Arial" w:cs="Arial" w:eastAsia="Arial" w:hAnsi="Arial"/>
                <w:sz w:val="22"/>
                <w:szCs w:val="22"/>
                <w:color w:val="auto"/>
              </w:rPr>
              <w:t>Title:</w:t>
            </w:r>
          </w:p>
        </w:tc>
        <w:tc>
          <w:tcPr>
            <w:tcW w:w="4340" w:type="dxa"/>
            <w:vAlign w:val="bottom"/>
          </w:tcPr>
          <w:p>
            <w:pPr>
              <w:spacing w:after="0"/>
              <w:rPr>
                <w:sz w:val="22"/>
                <w:szCs w:val="22"/>
                <w:color w:val="auto"/>
              </w:rPr>
            </w:pPr>
          </w:p>
        </w:tc>
        <w:tc>
          <w:tcPr>
            <w:tcW w:w="2620" w:type="dxa"/>
            <w:vAlign w:val="bottom"/>
            <w:gridSpan w:val="2"/>
          </w:tcPr>
          <w:p>
            <w:pPr>
              <w:ind w:left="240"/>
              <w:spacing w:after="0"/>
              <w:rPr>
                <w:sz w:val="20"/>
                <w:szCs w:val="20"/>
                <w:color w:val="auto"/>
              </w:rPr>
            </w:pPr>
            <w:r>
              <w:rPr>
                <w:rFonts w:ascii="Arial" w:cs="Arial" w:eastAsia="Arial" w:hAnsi="Arial"/>
                <w:sz w:val="22"/>
                <w:szCs w:val="22"/>
                <w:color w:val="auto"/>
              </w:rPr>
              <w:t>Date:</w:t>
            </w:r>
          </w:p>
        </w:tc>
        <w:tc>
          <w:tcPr>
            <w:tcW w:w="2500" w:type="dxa"/>
            <w:vAlign w:val="bottom"/>
          </w:tcPr>
          <w:p>
            <w:pPr>
              <w:spacing w:after="0"/>
              <w:rPr>
                <w:sz w:val="22"/>
                <w:szCs w:val="22"/>
                <w:color w:val="auto"/>
              </w:rPr>
            </w:pPr>
          </w:p>
        </w:tc>
      </w:tr>
      <w:tr>
        <w:trPr>
          <w:trHeight w:val="31"/>
        </w:trPr>
        <w:tc>
          <w:tcPr>
            <w:tcW w:w="6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54"/>
        </w:trPr>
        <w:tc>
          <w:tcPr>
            <w:tcW w:w="6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20" w:type="dxa"/>
            <w:vAlign w:val="bottom"/>
            <w:gridSpan w:val="2"/>
          </w:tcPr>
          <w:p>
            <w:pPr>
              <w:ind w:left="240"/>
              <w:spacing w:after="0"/>
              <w:rPr>
                <w:sz w:val="20"/>
                <w:szCs w:val="20"/>
                <w:color w:val="auto"/>
              </w:rPr>
            </w:pPr>
            <w:r>
              <w:rPr>
                <w:rFonts w:ascii="Arial" w:cs="Arial" w:eastAsia="Arial" w:hAnsi="Arial"/>
                <w:sz w:val="22"/>
                <w:szCs w:val="22"/>
                <w:color w:val="auto"/>
              </w:rPr>
              <w:t>Verified:</w:t>
            </w:r>
          </w:p>
        </w:tc>
        <w:tc>
          <w:tcPr>
            <w:tcW w:w="2500" w:type="dxa"/>
            <w:vAlign w:val="bottom"/>
          </w:tcPr>
          <w:p>
            <w:pPr>
              <w:spacing w:after="0"/>
              <w:rPr>
                <w:sz w:val="24"/>
                <w:szCs w:val="24"/>
                <w:color w:val="auto"/>
              </w:rPr>
            </w:pPr>
          </w:p>
        </w:tc>
      </w:tr>
      <w:tr>
        <w:trPr>
          <w:trHeight w:val="275"/>
        </w:trPr>
        <w:tc>
          <w:tcPr>
            <w:tcW w:w="6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700" w:type="dxa"/>
            <w:vAlign w:val="bottom"/>
            <w:tcBorders>
              <w:top w:val="single" w:sz="8" w:color="auto"/>
            </w:tcBorders>
            <w:gridSpan w:val="2"/>
          </w:tcPr>
          <w:p>
            <w:pPr>
              <w:ind w:left="740"/>
              <w:spacing w:after="0"/>
              <w:rPr>
                <w:sz w:val="20"/>
                <w:szCs w:val="20"/>
                <w:color w:val="auto"/>
              </w:rPr>
            </w:pPr>
            <w:r>
              <w:rPr>
                <w:rFonts w:ascii="Arial" w:cs="Arial" w:eastAsia="Arial" w:hAnsi="Arial"/>
                <w:sz w:val="22"/>
                <w:szCs w:val="22"/>
                <w:color w:val="auto"/>
              </w:rPr>
              <w:t>AUTHORIZED SIGNER</w:t>
            </w:r>
          </w:p>
        </w:tc>
      </w:tr>
      <w:tr>
        <w:trPr>
          <w:trHeight w:val="543"/>
        </w:trPr>
        <w:tc>
          <w:tcPr>
            <w:tcW w:w="6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20" w:type="dxa"/>
            <w:vAlign w:val="bottom"/>
          </w:tcPr>
          <w:p>
            <w:pPr>
              <w:ind w:left="240"/>
              <w:spacing w:after="0"/>
              <w:rPr>
                <w:sz w:val="20"/>
                <w:szCs w:val="20"/>
                <w:color w:val="auto"/>
              </w:rPr>
            </w:pPr>
            <w:r>
              <w:rPr>
                <w:rFonts w:ascii="Arial" w:cs="Arial" w:eastAsia="Arial" w:hAnsi="Arial"/>
                <w:sz w:val="22"/>
                <w:szCs w:val="22"/>
                <w:color w:val="auto"/>
              </w:rPr>
              <w:t>Date:</w:t>
            </w:r>
          </w:p>
        </w:tc>
        <w:tc>
          <w:tcPr>
            <w:tcW w:w="1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550"/>
        </w:trPr>
        <w:tc>
          <w:tcPr>
            <w:tcW w:w="6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20" w:type="dxa"/>
            <w:vAlign w:val="bottom"/>
            <w:gridSpan w:val="2"/>
          </w:tcPr>
          <w:p>
            <w:pPr>
              <w:ind w:left="240"/>
              <w:spacing w:after="0"/>
              <w:rPr>
                <w:sz w:val="20"/>
                <w:szCs w:val="20"/>
                <w:color w:val="auto"/>
              </w:rPr>
            </w:pPr>
            <w:r>
              <w:rPr>
                <w:rFonts w:ascii="Arial" w:cs="Arial" w:eastAsia="Arial" w:hAnsi="Arial"/>
                <w:sz w:val="22"/>
                <w:szCs w:val="22"/>
                <w:color w:val="auto"/>
                <w:w w:val="97"/>
              </w:rPr>
              <w:t>Compliance Status:  Yes</w:t>
            </w:r>
          </w:p>
        </w:tc>
        <w:tc>
          <w:tcPr>
            <w:tcW w:w="2500" w:type="dxa"/>
            <w:vAlign w:val="bottom"/>
          </w:tcPr>
          <w:p>
            <w:pPr>
              <w:ind w:left="220"/>
              <w:spacing w:after="0"/>
              <w:rPr>
                <w:sz w:val="20"/>
                <w:szCs w:val="20"/>
                <w:color w:val="auto"/>
              </w:rPr>
            </w:pPr>
            <w:r>
              <w:rPr>
                <w:rFonts w:ascii="Arial" w:cs="Arial" w:eastAsia="Arial" w:hAnsi="Arial"/>
                <w:sz w:val="22"/>
                <w:szCs w:val="22"/>
                <w:color w:val="auto"/>
              </w:rPr>
              <w:t>No</w:t>
            </w:r>
          </w:p>
        </w:tc>
      </w:tr>
      <w:tr>
        <w:trPr>
          <w:trHeight w:val="470"/>
        </w:trPr>
        <w:tc>
          <w:tcPr>
            <w:tcW w:w="6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369" w:right="91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u w:val="single" w:color="auto"/>
          <w:color w:val="auto"/>
        </w:rPr>
        <w:t>Schedule 1 to Compliance Certificate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Financial Covenants of Borrower</w:t>
      </w:r>
    </w:p>
    <w:p>
      <w:pPr>
        <w:spacing w:after="0" w:line="212" w:lineRule="exact"/>
        <w:rPr>
          <w:sz w:val="20"/>
          <w:szCs w:val="20"/>
          <w:color w:val="auto"/>
        </w:rPr>
      </w:pPr>
    </w:p>
    <w:p>
      <w:pPr>
        <w:ind w:left="1" w:right="140" w:firstLine="648"/>
        <w:spacing w:after="0" w:line="251" w:lineRule="auto"/>
        <w:rPr>
          <w:sz w:val="20"/>
          <w:szCs w:val="20"/>
          <w:color w:val="auto"/>
        </w:rPr>
      </w:pPr>
      <w:r>
        <w:rPr>
          <w:rFonts w:ascii="Arial" w:cs="Arial" w:eastAsia="Arial" w:hAnsi="Arial"/>
          <w:sz w:val="22"/>
          <w:szCs w:val="22"/>
          <w:color w:val="auto"/>
        </w:rPr>
        <w:t>In the event of a conflict between this Schedule and the Loan Agreement, the terms of the Loan Agreement shall govern.</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22"/>
          <w:szCs w:val="22"/>
          <w:color w:val="auto"/>
        </w:rPr>
        <w:t>Dated: ____________________</w:t>
      </w:r>
    </w:p>
    <w:p>
      <w:pPr>
        <w:spacing w:after="0" w:line="200" w:lineRule="exact"/>
        <w:rPr>
          <w:sz w:val="20"/>
          <w:szCs w:val="20"/>
          <w:color w:val="auto"/>
        </w:rPr>
      </w:pPr>
    </w:p>
    <w:p>
      <w:pPr>
        <w:ind w:left="681" w:hanging="681"/>
        <w:spacing w:after="0"/>
        <w:tabs>
          <w:tab w:leader="none" w:pos="681"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Liquidity Ratio </w:t>
      </w:r>
      <w:r>
        <w:rPr>
          <w:rFonts w:ascii="Arial" w:cs="Arial" w:eastAsia="Arial" w:hAnsi="Arial"/>
          <w:sz w:val="22"/>
          <w:szCs w:val="22"/>
          <w:color w:val="auto"/>
        </w:rPr>
        <w:t>(Section 6.7(a))</w:t>
      </w:r>
    </w:p>
    <w:p>
      <w:pPr>
        <w:spacing w:after="0" w:line="202" w:lineRule="exact"/>
        <w:rPr>
          <w:sz w:val="20"/>
          <w:szCs w:val="20"/>
          <w:color w:val="auto"/>
        </w:rPr>
      </w:pPr>
    </w:p>
    <w:tbl>
      <w:tblPr>
        <w:tblLayout w:type="fixed"/>
        <w:tblInd w:w="11" w:type="dxa"/>
        <w:tblCellMar>
          <w:top w:w="0" w:type="dxa"/>
          <w:left w:w="0" w:type="dxa"/>
          <w:bottom w:w="0" w:type="dxa"/>
          <w:right w:w="0" w:type="dxa"/>
        </w:tblCellMar>
      </w:tblPr>
      <w:tr>
        <w:trPr>
          <w:trHeight w:val="253"/>
        </w:trPr>
        <w:tc>
          <w:tcPr>
            <w:tcW w:w="1080" w:type="dxa"/>
            <w:vAlign w:val="bottom"/>
            <w:gridSpan w:val="2"/>
          </w:tcPr>
          <w:p>
            <w:pPr>
              <w:spacing w:after="0"/>
              <w:rPr>
                <w:sz w:val="20"/>
                <w:szCs w:val="20"/>
                <w:color w:val="auto"/>
              </w:rPr>
            </w:pPr>
            <w:r>
              <w:rPr>
                <w:rFonts w:ascii="Arial" w:cs="Arial" w:eastAsia="Arial" w:hAnsi="Arial"/>
                <w:sz w:val="22"/>
                <w:szCs w:val="22"/>
                <w:color w:val="auto"/>
              </w:rPr>
              <w:t>Required:</w:t>
            </w:r>
          </w:p>
        </w:tc>
        <w:tc>
          <w:tcPr>
            <w:tcW w:w="9000" w:type="dxa"/>
            <w:vAlign w:val="bottom"/>
            <w:gridSpan w:val="2"/>
          </w:tcPr>
          <w:p>
            <w:pPr>
              <w:jc w:val="right"/>
              <w:spacing w:after="0"/>
              <w:rPr>
                <w:sz w:val="20"/>
                <w:szCs w:val="20"/>
                <w:color w:val="auto"/>
              </w:rPr>
            </w:pPr>
            <w:r>
              <w:rPr>
                <w:rFonts w:ascii="Arial" w:cs="Arial" w:eastAsia="Arial" w:hAnsi="Arial"/>
                <w:sz w:val="22"/>
                <w:szCs w:val="22"/>
                <w:color w:val="auto"/>
                <w:w w:val="92"/>
              </w:rPr>
              <w:t>As of the last day of each month, a Liquidity Ratio of not less than (i) 1.25:1.00 for each month prior</w:t>
            </w:r>
          </w:p>
        </w:tc>
      </w:tr>
      <w:tr>
        <w:trPr>
          <w:trHeight w:val="243"/>
        </w:trPr>
        <w:tc>
          <w:tcPr>
            <w:tcW w:w="10080" w:type="dxa"/>
            <w:vAlign w:val="bottom"/>
            <w:gridSpan w:val="4"/>
          </w:tcPr>
          <w:p>
            <w:pPr>
              <w:spacing w:after="0" w:line="243" w:lineRule="exact"/>
              <w:rPr>
                <w:sz w:val="20"/>
                <w:szCs w:val="20"/>
                <w:color w:val="auto"/>
              </w:rPr>
            </w:pPr>
            <w:r>
              <w:rPr>
                <w:rFonts w:ascii="Arial" w:cs="Arial" w:eastAsia="Arial" w:hAnsi="Arial"/>
                <w:sz w:val="22"/>
                <w:szCs w:val="22"/>
                <w:color w:val="auto"/>
                <w:w w:val="94"/>
              </w:rPr>
              <w:t>to Borrower achieving the Extension Milestone, and (ii) 1.50:1.00 for each month after Borrower achieves the</w:t>
            </w:r>
          </w:p>
        </w:tc>
      </w:tr>
      <w:tr>
        <w:trPr>
          <w:trHeight w:val="275"/>
        </w:trPr>
        <w:tc>
          <w:tcPr>
            <w:tcW w:w="8240" w:type="dxa"/>
            <w:vAlign w:val="bottom"/>
            <w:gridSpan w:val="3"/>
          </w:tcPr>
          <w:p>
            <w:pPr>
              <w:spacing w:after="0"/>
              <w:rPr>
                <w:sz w:val="20"/>
                <w:szCs w:val="20"/>
                <w:color w:val="auto"/>
              </w:rPr>
            </w:pPr>
            <w:r>
              <w:rPr>
                <w:rFonts w:ascii="Arial" w:cs="Arial" w:eastAsia="Arial" w:hAnsi="Arial"/>
                <w:sz w:val="22"/>
                <w:szCs w:val="22"/>
                <w:color w:val="auto"/>
              </w:rPr>
              <w:t>Extension Milestone.</w:t>
            </w:r>
          </w:p>
        </w:tc>
        <w:tc>
          <w:tcPr>
            <w:tcW w:w="1840" w:type="dxa"/>
            <w:vAlign w:val="bottom"/>
          </w:tcPr>
          <w:p>
            <w:pPr>
              <w:spacing w:after="0"/>
              <w:rPr>
                <w:sz w:val="23"/>
                <w:szCs w:val="23"/>
                <w:color w:val="auto"/>
              </w:rPr>
            </w:pPr>
          </w:p>
        </w:tc>
      </w:tr>
      <w:tr>
        <w:trPr>
          <w:trHeight w:val="459"/>
        </w:trPr>
        <w:tc>
          <w:tcPr>
            <w:tcW w:w="640" w:type="dxa"/>
            <w:vAlign w:val="bottom"/>
          </w:tcPr>
          <w:p>
            <w:pPr>
              <w:spacing w:after="0"/>
              <w:rPr>
                <w:sz w:val="20"/>
                <w:szCs w:val="20"/>
                <w:color w:val="auto"/>
              </w:rPr>
            </w:pPr>
            <w:r>
              <w:rPr>
                <w:rFonts w:ascii="Arial" w:cs="Arial" w:eastAsia="Arial" w:hAnsi="Arial"/>
                <w:sz w:val="22"/>
                <w:szCs w:val="22"/>
                <w:color w:val="auto"/>
                <w:w w:val="89"/>
              </w:rPr>
              <w:t>Actual:</w:t>
            </w:r>
          </w:p>
        </w:tc>
        <w:tc>
          <w:tcPr>
            <w:tcW w:w="4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6"/>
        </w:trPr>
        <w:tc>
          <w:tcPr>
            <w:tcW w:w="640" w:type="dxa"/>
            <w:vAlign w:val="bottom"/>
            <w:tcBorders>
              <w:bottom w:val="single" w:sz="8" w:color="auto"/>
            </w:tcBorders>
          </w:tcPr>
          <w:p>
            <w:pPr>
              <w:spacing w:after="0"/>
              <w:rPr>
                <w:sz w:val="17"/>
                <w:szCs w:val="17"/>
                <w:color w:val="auto"/>
              </w:rPr>
            </w:pPr>
          </w:p>
        </w:tc>
        <w:tc>
          <w:tcPr>
            <w:tcW w:w="7600" w:type="dxa"/>
            <w:vAlign w:val="bottom"/>
            <w:tcBorders>
              <w:bottom w:val="single" w:sz="8" w:color="auto"/>
            </w:tcBorders>
            <w:gridSpan w:val="2"/>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r>
      <w:tr>
        <w:trPr>
          <w:trHeight w:val="314"/>
        </w:trPr>
        <w:tc>
          <w:tcPr>
            <w:tcW w:w="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A.</w:t>
            </w:r>
          </w:p>
        </w:tc>
        <w:tc>
          <w:tcPr>
            <w:tcW w:w="7600" w:type="dxa"/>
            <w:vAlign w:val="bottom"/>
            <w:tcBorders>
              <w:right w:val="single" w:sz="8" w:color="auto"/>
            </w:tcBorders>
            <w:gridSpan w:val="2"/>
          </w:tcPr>
          <w:p>
            <w:pPr>
              <w:ind w:left="120"/>
              <w:spacing w:after="0"/>
              <w:rPr>
                <w:sz w:val="20"/>
                <w:szCs w:val="20"/>
                <w:color w:val="auto"/>
              </w:rPr>
            </w:pPr>
            <w:r>
              <w:rPr>
                <w:rFonts w:ascii="Arial" w:cs="Arial" w:eastAsia="Arial" w:hAnsi="Arial"/>
                <w:sz w:val="22"/>
                <w:szCs w:val="22"/>
                <w:color w:val="auto"/>
              </w:rPr>
              <w:t>Unrestricted cash and Cash Equivalents maintained at Bank</w:t>
            </w:r>
          </w:p>
        </w:tc>
        <w:tc>
          <w:tcPr>
            <w:tcW w:w="1840" w:type="dxa"/>
            <w:vAlign w:val="bottom"/>
            <w:tcBorders>
              <w:right w:val="single" w:sz="8" w:color="auto"/>
            </w:tcBorders>
          </w:tcPr>
          <w:p>
            <w:pPr>
              <w:jc w:val="right"/>
              <w:ind w:right="52"/>
              <w:spacing w:after="0"/>
              <w:rPr>
                <w:sz w:val="20"/>
                <w:szCs w:val="20"/>
                <w:color w:val="auto"/>
              </w:rPr>
            </w:pPr>
            <w:r>
              <w:rPr>
                <w:rFonts w:ascii="Arial" w:cs="Arial" w:eastAsia="Arial" w:hAnsi="Arial"/>
                <w:sz w:val="22"/>
                <w:szCs w:val="22"/>
                <w:color w:val="auto"/>
              </w:rPr>
              <w:t>$________</w:t>
            </w:r>
          </w:p>
        </w:tc>
      </w:tr>
      <w:tr>
        <w:trPr>
          <w:trHeight w:val="71"/>
        </w:trPr>
        <w:tc>
          <w:tcPr>
            <w:tcW w:w="640" w:type="dxa"/>
            <w:vAlign w:val="bottom"/>
            <w:tcBorders>
              <w:left w:val="single" w:sz="8" w:color="auto"/>
              <w:bottom w:val="single" w:sz="8" w:color="auto"/>
              <w:right w:val="single" w:sz="8" w:color="auto"/>
            </w:tcBorders>
          </w:tcPr>
          <w:p>
            <w:pPr>
              <w:spacing w:after="0"/>
              <w:rPr>
                <w:sz w:val="6"/>
                <w:szCs w:val="6"/>
                <w:color w:val="auto"/>
              </w:rPr>
            </w:pPr>
          </w:p>
        </w:tc>
        <w:tc>
          <w:tcPr>
            <w:tcW w:w="7600" w:type="dxa"/>
            <w:vAlign w:val="bottom"/>
            <w:tcBorders>
              <w:bottom w:val="single" w:sz="8" w:color="auto"/>
              <w:right w:val="single" w:sz="8" w:color="auto"/>
            </w:tcBorders>
            <w:gridSpan w:val="2"/>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r>
      <w:tr>
        <w:trPr>
          <w:trHeight w:val="314"/>
        </w:trPr>
        <w:tc>
          <w:tcPr>
            <w:tcW w:w="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B.</w:t>
            </w:r>
          </w:p>
        </w:tc>
        <w:tc>
          <w:tcPr>
            <w:tcW w:w="7600" w:type="dxa"/>
            <w:vAlign w:val="bottom"/>
            <w:tcBorders>
              <w:right w:val="single" w:sz="8" w:color="auto"/>
            </w:tcBorders>
            <w:gridSpan w:val="2"/>
          </w:tcPr>
          <w:p>
            <w:pPr>
              <w:ind w:left="120"/>
              <w:spacing w:after="0"/>
              <w:rPr>
                <w:sz w:val="20"/>
                <w:szCs w:val="20"/>
                <w:color w:val="auto"/>
              </w:rPr>
            </w:pPr>
            <w:r>
              <w:rPr>
                <w:rFonts w:ascii="Arial" w:cs="Arial" w:eastAsia="Arial" w:hAnsi="Arial"/>
                <w:sz w:val="22"/>
                <w:szCs w:val="22"/>
                <w:color w:val="auto"/>
              </w:rPr>
              <w:t>Net accounts receivable</w:t>
            </w:r>
          </w:p>
        </w:tc>
        <w:tc>
          <w:tcPr>
            <w:tcW w:w="1840" w:type="dxa"/>
            <w:vAlign w:val="bottom"/>
            <w:tcBorders>
              <w:right w:val="single" w:sz="8" w:color="auto"/>
            </w:tcBorders>
          </w:tcPr>
          <w:p>
            <w:pPr>
              <w:jc w:val="right"/>
              <w:ind w:right="52"/>
              <w:spacing w:after="0"/>
              <w:rPr>
                <w:sz w:val="20"/>
                <w:szCs w:val="20"/>
                <w:color w:val="auto"/>
              </w:rPr>
            </w:pPr>
            <w:r>
              <w:rPr>
                <w:rFonts w:ascii="Arial" w:cs="Arial" w:eastAsia="Arial" w:hAnsi="Arial"/>
                <w:sz w:val="22"/>
                <w:szCs w:val="22"/>
                <w:color w:val="auto"/>
              </w:rPr>
              <w:t>$________</w:t>
            </w:r>
          </w:p>
        </w:tc>
      </w:tr>
      <w:tr>
        <w:trPr>
          <w:trHeight w:val="71"/>
        </w:trPr>
        <w:tc>
          <w:tcPr>
            <w:tcW w:w="640" w:type="dxa"/>
            <w:vAlign w:val="bottom"/>
            <w:tcBorders>
              <w:left w:val="single" w:sz="8" w:color="auto"/>
              <w:bottom w:val="single" w:sz="8" w:color="auto"/>
              <w:right w:val="single" w:sz="8" w:color="auto"/>
            </w:tcBorders>
          </w:tcPr>
          <w:p>
            <w:pPr>
              <w:spacing w:after="0"/>
              <w:rPr>
                <w:sz w:val="6"/>
                <w:szCs w:val="6"/>
                <w:color w:val="auto"/>
              </w:rPr>
            </w:pPr>
          </w:p>
        </w:tc>
        <w:tc>
          <w:tcPr>
            <w:tcW w:w="7600" w:type="dxa"/>
            <w:vAlign w:val="bottom"/>
            <w:tcBorders>
              <w:bottom w:val="single" w:sz="8" w:color="auto"/>
              <w:right w:val="single" w:sz="8" w:color="auto"/>
            </w:tcBorders>
            <w:gridSpan w:val="2"/>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r>
      <w:tr>
        <w:trPr>
          <w:trHeight w:val="314"/>
        </w:trPr>
        <w:tc>
          <w:tcPr>
            <w:tcW w:w="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C.</w:t>
            </w:r>
          </w:p>
        </w:tc>
        <w:tc>
          <w:tcPr>
            <w:tcW w:w="7600" w:type="dxa"/>
            <w:vAlign w:val="bottom"/>
            <w:tcBorders>
              <w:right w:val="single" w:sz="8" w:color="auto"/>
            </w:tcBorders>
            <w:gridSpan w:val="2"/>
          </w:tcPr>
          <w:p>
            <w:pPr>
              <w:ind w:left="120"/>
              <w:spacing w:after="0"/>
              <w:rPr>
                <w:sz w:val="20"/>
                <w:szCs w:val="20"/>
                <w:color w:val="auto"/>
              </w:rPr>
            </w:pPr>
            <w:r>
              <w:rPr>
                <w:rFonts w:ascii="Arial" w:cs="Arial" w:eastAsia="Arial" w:hAnsi="Arial"/>
                <w:sz w:val="22"/>
                <w:szCs w:val="22"/>
                <w:color w:val="auto"/>
              </w:rPr>
              <w:t>Liquidity (line A, plus line B)</w:t>
            </w:r>
          </w:p>
        </w:tc>
        <w:tc>
          <w:tcPr>
            <w:tcW w:w="1840" w:type="dxa"/>
            <w:vAlign w:val="bottom"/>
            <w:tcBorders>
              <w:right w:val="single" w:sz="8" w:color="auto"/>
            </w:tcBorders>
          </w:tcPr>
          <w:p>
            <w:pPr>
              <w:jc w:val="right"/>
              <w:ind w:right="52"/>
              <w:spacing w:after="0"/>
              <w:rPr>
                <w:sz w:val="20"/>
                <w:szCs w:val="20"/>
                <w:color w:val="auto"/>
              </w:rPr>
            </w:pPr>
            <w:r>
              <w:rPr>
                <w:rFonts w:ascii="Arial" w:cs="Arial" w:eastAsia="Arial" w:hAnsi="Arial"/>
                <w:sz w:val="22"/>
                <w:szCs w:val="22"/>
                <w:color w:val="auto"/>
              </w:rPr>
              <w:t>$________</w:t>
            </w:r>
          </w:p>
        </w:tc>
      </w:tr>
      <w:tr>
        <w:trPr>
          <w:trHeight w:val="71"/>
        </w:trPr>
        <w:tc>
          <w:tcPr>
            <w:tcW w:w="640" w:type="dxa"/>
            <w:vAlign w:val="bottom"/>
            <w:tcBorders>
              <w:left w:val="single" w:sz="8" w:color="auto"/>
              <w:bottom w:val="single" w:sz="8" w:color="auto"/>
              <w:right w:val="single" w:sz="8" w:color="auto"/>
            </w:tcBorders>
          </w:tcPr>
          <w:p>
            <w:pPr>
              <w:spacing w:after="0"/>
              <w:rPr>
                <w:sz w:val="6"/>
                <w:szCs w:val="6"/>
                <w:color w:val="auto"/>
              </w:rPr>
            </w:pPr>
          </w:p>
        </w:tc>
        <w:tc>
          <w:tcPr>
            <w:tcW w:w="7600" w:type="dxa"/>
            <w:vAlign w:val="bottom"/>
            <w:tcBorders>
              <w:bottom w:val="single" w:sz="8" w:color="auto"/>
              <w:right w:val="single" w:sz="8" w:color="auto"/>
            </w:tcBorders>
            <w:gridSpan w:val="2"/>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r>
      <w:tr>
        <w:trPr>
          <w:trHeight w:val="314"/>
        </w:trPr>
        <w:tc>
          <w:tcPr>
            <w:tcW w:w="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D.</w:t>
            </w:r>
          </w:p>
        </w:tc>
        <w:tc>
          <w:tcPr>
            <w:tcW w:w="7600" w:type="dxa"/>
            <w:vAlign w:val="bottom"/>
            <w:tcBorders>
              <w:right w:val="single" w:sz="8" w:color="auto"/>
            </w:tcBorders>
            <w:gridSpan w:val="2"/>
          </w:tcPr>
          <w:p>
            <w:pPr>
              <w:ind w:left="120"/>
              <w:spacing w:after="0"/>
              <w:rPr>
                <w:sz w:val="20"/>
                <w:szCs w:val="20"/>
                <w:color w:val="auto"/>
              </w:rPr>
            </w:pPr>
            <w:r>
              <w:rPr>
                <w:rFonts w:ascii="Arial" w:cs="Arial" w:eastAsia="Arial" w:hAnsi="Arial"/>
                <w:sz w:val="22"/>
                <w:szCs w:val="22"/>
                <w:color w:val="auto"/>
              </w:rPr>
              <w:t>Outstanding Obligations</w:t>
            </w:r>
          </w:p>
        </w:tc>
        <w:tc>
          <w:tcPr>
            <w:tcW w:w="1840" w:type="dxa"/>
            <w:vAlign w:val="bottom"/>
            <w:tcBorders>
              <w:right w:val="single" w:sz="8" w:color="auto"/>
            </w:tcBorders>
          </w:tcPr>
          <w:p>
            <w:pPr>
              <w:jc w:val="right"/>
              <w:ind w:right="52"/>
              <w:spacing w:after="0"/>
              <w:rPr>
                <w:sz w:val="20"/>
                <w:szCs w:val="20"/>
                <w:color w:val="auto"/>
              </w:rPr>
            </w:pPr>
            <w:r>
              <w:rPr>
                <w:rFonts w:ascii="Arial" w:cs="Arial" w:eastAsia="Arial" w:hAnsi="Arial"/>
                <w:sz w:val="22"/>
                <w:szCs w:val="22"/>
                <w:color w:val="auto"/>
              </w:rPr>
              <w:t>$________</w:t>
            </w:r>
          </w:p>
        </w:tc>
      </w:tr>
      <w:tr>
        <w:trPr>
          <w:trHeight w:val="71"/>
        </w:trPr>
        <w:tc>
          <w:tcPr>
            <w:tcW w:w="640" w:type="dxa"/>
            <w:vAlign w:val="bottom"/>
            <w:tcBorders>
              <w:left w:val="single" w:sz="8" w:color="auto"/>
              <w:bottom w:val="single" w:sz="8" w:color="auto"/>
              <w:right w:val="single" w:sz="8" w:color="auto"/>
            </w:tcBorders>
          </w:tcPr>
          <w:p>
            <w:pPr>
              <w:spacing w:after="0"/>
              <w:rPr>
                <w:sz w:val="6"/>
                <w:szCs w:val="6"/>
                <w:color w:val="auto"/>
              </w:rPr>
            </w:pPr>
          </w:p>
        </w:tc>
        <w:tc>
          <w:tcPr>
            <w:tcW w:w="7600" w:type="dxa"/>
            <w:vAlign w:val="bottom"/>
            <w:tcBorders>
              <w:bottom w:val="single" w:sz="8" w:color="auto"/>
              <w:right w:val="single" w:sz="8" w:color="auto"/>
            </w:tcBorders>
            <w:gridSpan w:val="2"/>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r>
      <w:tr>
        <w:trPr>
          <w:trHeight w:val="314"/>
        </w:trPr>
        <w:tc>
          <w:tcPr>
            <w:tcW w:w="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E.</w:t>
            </w:r>
          </w:p>
        </w:tc>
        <w:tc>
          <w:tcPr>
            <w:tcW w:w="7600" w:type="dxa"/>
            <w:vAlign w:val="bottom"/>
            <w:tcBorders>
              <w:right w:val="single" w:sz="8" w:color="auto"/>
            </w:tcBorders>
            <w:gridSpan w:val="2"/>
          </w:tcPr>
          <w:p>
            <w:pPr>
              <w:ind w:left="120"/>
              <w:spacing w:after="0"/>
              <w:rPr>
                <w:sz w:val="20"/>
                <w:szCs w:val="20"/>
                <w:color w:val="auto"/>
              </w:rPr>
            </w:pPr>
            <w:r>
              <w:rPr>
                <w:rFonts w:ascii="Arial" w:cs="Arial" w:eastAsia="Arial" w:hAnsi="Arial"/>
                <w:sz w:val="22"/>
                <w:szCs w:val="22"/>
                <w:color w:val="auto"/>
              </w:rPr>
              <w:t>Liquidity Ratio (line C, divided by line D)</w:t>
            </w:r>
          </w:p>
        </w:tc>
        <w:tc>
          <w:tcPr>
            <w:tcW w:w="1840" w:type="dxa"/>
            <w:vAlign w:val="bottom"/>
            <w:tcBorders>
              <w:right w:val="single" w:sz="8" w:color="auto"/>
            </w:tcBorders>
          </w:tcPr>
          <w:p>
            <w:pPr>
              <w:jc w:val="right"/>
              <w:ind w:right="52"/>
              <w:spacing w:after="0"/>
              <w:rPr>
                <w:sz w:val="20"/>
                <w:szCs w:val="20"/>
                <w:color w:val="auto"/>
              </w:rPr>
            </w:pPr>
            <w:r>
              <w:rPr>
                <w:rFonts w:ascii="Arial" w:cs="Arial" w:eastAsia="Arial" w:hAnsi="Arial"/>
                <w:sz w:val="22"/>
                <w:szCs w:val="22"/>
                <w:color w:val="auto"/>
              </w:rPr>
              <w:t>______</w:t>
            </w:r>
          </w:p>
        </w:tc>
      </w:tr>
      <w:tr>
        <w:trPr>
          <w:trHeight w:val="71"/>
        </w:trPr>
        <w:tc>
          <w:tcPr>
            <w:tcW w:w="640" w:type="dxa"/>
            <w:vAlign w:val="bottom"/>
            <w:tcBorders>
              <w:left w:val="single" w:sz="8" w:color="auto"/>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16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r>
    </w:tbl>
    <w:p>
      <w:pPr>
        <w:spacing w:after="0" w:line="222" w:lineRule="exact"/>
        <w:rPr>
          <w:sz w:val="20"/>
          <w:szCs w:val="20"/>
          <w:color w:val="auto"/>
        </w:rPr>
      </w:pPr>
    </w:p>
    <w:p>
      <w:pPr>
        <w:ind w:left="1"/>
        <w:spacing w:after="0"/>
        <w:rPr>
          <w:sz w:val="20"/>
          <w:szCs w:val="20"/>
          <w:color w:val="auto"/>
        </w:rPr>
      </w:pPr>
      <w:r>
        <w:rPr>
          <w:rFonts w:ascii="Arial" w:cs="Arial" w:eastAsia="Arial" w:hAnsi="Arial"/>
          <w:sz w:val="22"/>
          <w:szCs w:val="22"/>
          <w:color w:val="auto"/>
        </w:rPr>
        <w:t>Is line E equal or greater than the required ratio?</w:t>
      </w:r>
    </w:p>
    <w:p>
      <w:pPr>
        <w:spacing w:after="0" w:line="206" w:lineRule="exact"/>
        <w:rPr>
          <w:sz w:val="20"/>
          <w:szCs w:val="20"/>
          <w:color w:val="auto"/>
        </w:rPr>
      </w:pPr>
    </w:p>
    <w:p>
      <w:pPr>
        <w:ind w:left="1001"/>
        <w:spacing w:after="0"/>
        <w:tabs>
          <w:tab w:leader="none" w:pos="4760" w:val="left"/>
        </w:tabs>
        <w:rPr>
          <w:sz w:val="20"/>
          <w:szCs w:val="20"/>
          <w:color w:val="auto"/>
        </w:rPr>
      </w:pPr>
      <w:r>
        <w:rPr>
          <w:rFonts w:ascii="Arial" w:cs="Arial" w:eastAsia="Arial" w:hAnsi="Arial"/>
          <w:sz w:val="22"/>
          <w:szCs w:val="22"/>
          <w:u w:val="single" w:color="auto"/>
          <w:color w:val="auto"/>
        </w:rPr>
        <w:t>________</w:t>
      </w:r>
      <w:r>
        <w:rPr>
          <w:rFonts w:ascii="Arial" w:cs="Arial" w:eastAsia="Arial" w:hAnsi="Arial"/>
          <w:sz w:val="22"/>
          <w:szCs w:val="22"/>
          <w:color w:val="auto"/>
        </w:rPr>
        <w:t xml:space="preserve"> No, not in compliance</w:t>
      </w:r>
      <w:r>
        <w:rPr>
          <w:sz w:val="20"/>
          <w:szCs w:val="20"/>
          <w:color w:val="auto"/>
        </w:rPr>
        <w:tab/>
      </w:r>
      <w:r>
        <w:rPr>
          <w:rFonts w:ascii="Arial" w:cs="Arial" w:eastAsia="Arial" w:hAnsi="Arial"/>
          <w:sz w:val="19"/>
          <w:szCs w:val="19"/>
          <w:u w:val="single" w:color="auto"/>
          <w:color w:val="auto"/>
        </w:rPr>
        <w:t xml:space="preserve">________ </w:t>
      </w:r>
      <w:r>
        <w:rPr>
          <w:rFonts w:ascii="Arial" w:cs="Arial" w:eastAsia="Arial" w:hAnsi="Arial"/>
          <w:sz w:val="19"/>
          <w:szCs w:val="19"/>
          <w:color w:val="auto"/>
        </w:rPr>
        <w:t>Yes,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281940</wp:posOffset>
            </wp:positionV>
            <wp:extent cx="63887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82" w:name="page83"/>
    <w:bookmarkEnd w:id="82"/>
    <w:p>
      <w:pPr>
        <w:ind w:left="681" w:hanging="681"/>
        <w:spacing w:after="0"/>
        <w:tabs>
          <w:tab w:leader="none" w:pos="681"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Performance to Plan </w:t>
      </w:r>
      <w:r>
        <w:rPr>
          <w:rFonts w:ascii="Arial" w:cs="Arial" w:eastAsia="Arial" w:hAnsi="Arial"/>
          <w:sz w:val="22"/>
          <w:szCs w:val="22"/>
          <w:color w:val="auto"/>
        </w:rPr>
        <w:t>(Section 6.7(b))</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21"/>
          <w:szCs w:val="21"/>
          <w:color w:val="auto"/>
        </w:rPr>
        <w:t>Required TFS Revenue of Borrower for such month (calculated on a cumulative fiscal year to date basis):</w:t>
      </w:r>
    </w:p>
    <w:p>
      <w:pPr>
        <w:spacing w:after="0" w:line="219" w:lineRule="exact"/>
        <w:rPr>
          <w:sz w:val="20"/>
          <w:szCs w:val="20"/>
          <w:color w:val="auto"/>
        </w:rPr>
      </w:pPr>
    </w:p>
    <w:tbl>
      <w:tblPr>
        <w:tblLayout w:type="fixed"/>
        <w:tblInd w:w="1" w:type="dxa"/>
        <w:tblCellMar>
          <w:top w:w="0" w:type="dxa"/>
          <w:left w:w="0" w:type="dxa"/>
          <w:bottom w:w="0" w:type="dxa"/>
          <w:right w:w="0" w:type="dxa"/>
        </w:tblCellMar>
      </w:tblPr>
      <w:tr>
        <w:trPr>
          <w:trHeight w:val="297"/>
        </w:trPr>
        <w:tc>
          <w:tcPr>
            <w:tcW w:w="1040" w:type="dxa"/>
            <w:vAlign w:val="bottom"/>
            <w:tcBorders>
              <w:right w:val="single" w:sz="8" w:color="auto"/>
            </w:tcBorders>
          </w:tcPr>
          <w:p>
            <w:pPr>
              <w:spacing w:after="0"/>
              <w:rPr>
                <w:sz w:val="24"/>
                <w:szCs w:val="24"/>
                <w:color w:val="auto"/>
              </w:rPr>
            </w:pPr>
          </w:p>
        </w:tc>
        <w:tc>
          <w:tcPr>
            <w:tcW w:w="442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92"/>
              </w:rPr>
              <w:t>Month Ending</w:t>
            </w:r>
          </w:p>
        </w:tc>
        <w:tc>
          <w:tcPr>
            <w:tcW w:w="3620" w:type="dxa"/>
            <w:vAlign w:val="bottom"/>
            <w:tcBorders>
              <w:top w:val="single" w:sz="8" w:color="auto"/>
              <w:right w:val="single" w:sz="8" w:color="auto"/>
            </w:tcBorders>
            <w:gridSpan w:val="3"/>
          </w:tcPr>
          <w:p>
            <w:pPr>
              <w:ind w:left="740"/>
              <w:spacing w:after="0"/>
              <w:rPr>
                <w:sz w:val="20"/>
                <w:szCs w:val="20"/>
                <w:color w:val="auto"/>
              </w:rPr>
            </w:pPr>
            <w:r>
              <w:rPr>
                <w:rFonts w:ascii="Arial" w:cs="Arial" w:eastAsia="Arial" w:hAnsi="Arial"/>
                <w:sz w:val="22"/>
                <w:szCs w:val="22"/>
                <w:color w:val="auto"/>
              </w:rPr>
              <w:t>Minimum TFS Revenue</w:t>
            </w:r>
          </w:p>
        </w:tc>
        <w:tc>
          <w:tcPr>
            <w:tcW w:w="980" w:type="dxa"/>
            <w:vAlign w:val="bottom"/>
          </w:tcPr>
          <w:p>
            <w:pPr>
              <w:spacing w:after="0"/>
              <w:rPr>
                <w:sz w:val="24"/>
                <w:szCs w:val="24"/>
                <w:color w:val="auto"/>
              </w:rPr>
            </w:pPr>
          </w:p>
        </w:tc>
      </w:tr>
      <w:tr>
        <w:trPr>
          <w:trHeight w:val="115"/>
        </w:trPr>
        <w:tc>
          <w:tcPr>
            <w:tcW w:w="1040" w:type="dxa"/>
            <w:vAlign w:val="bottom"/>
            <w:tcBorders>
              <w:right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260" w:type="dxa"/>
            <w:vAlign w:val="bottom"/>
            <w:tcBorders>
              <w:top w:val="single" w:sz="8" w:color="auto"/>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100" w:type="dxa"/>
            <w:vAlign w:val="bottom"/>
            <w:tcBorders>
              <w:top w:val="single" w:sz="8" w:color="auto"/>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92"/>
              </w:rPr>
              <w:t>April 30, 2018</w:t>
            </w:r>
          </w:p>
        </w:tc>
        <w:tc>
          <w:tcPr>
            <w:tcW w:w="2840" w:type="dxa"/>
            <w:vAlign w:val="bottom"/>
            <w:gridSpan w:val="2"/>
          </w:tcPr>
          <w:p>
            <w:pPr>
              <w:jc w:val="center"/>
              <w:ind w:left="632"/>
              <w:spacing w:after="0"/>
              <w:rPr>
                <w:sz w:val="20"/>
                <w:szCs w:val="20"/>
                <w:color w:val="auto"/>
              </w:rPr>
            </w:pPr>
            <w:r>
              <w:rPr>
                <w:rFonts w:ascii="Arial" w:cs="Arial" w:eastAsia="Arial" w:hAnsi="Arial"/>
                <w:sz w:val="22"/>
                <w:szCs w:val="22"/>
                <w:color w:val="auto"/>
                <w:w w:val="86"/>
              </w:rPr>
              <w:t>$11,052,000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2860" w:type="dxa"/>
            <w:vAlign w:val="bottom"/>
            <w:tcBorders>
              <w:right w:val="single" w:sz="8" w:color="auto"/>
            </w:tcBorders>
            <w:gridSpan w:val="2"/>
          </w:tcPr>
          <w:p>
            <w:pPr>
              <w:jc w:val="center"/>
              <w:ind w:right="1600"/>
              <w:spacing w:after="0"/>
              <w:rPr>
                <w:sz w:val="20"/>
                <w:szCs w:val="20"/>
                <w:color w:val="auto"/>
              </w:rPr>
            </w:pPr>
            <w:r>
              <w:rPr>
                <w:rFonts w:ascii="Arial" w:cs="Arial" w:eastAsia="Arial" w:hAnsi="Arial"/>
                <w:sz w:val="22"/>
                <w:szCs w:val="22"/>
                <w:color w:val="auto"/>
                <w:w w:val="91"/>
              </w:rPr>
              <w:t>May 31, 2018</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$14,485,000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2860" w:type="dxa"/>
            <w:vAlign w:val="bottom"/>
            <w:tcBorders>
              <w:right w:val="single" w:sz="8" w:color="auto"/>
            </w:tcBorders>
            <w:gridSpan w:val="2"/>
          </w:tcPr>
          <w:p>
            <w:pPr>
              <w:jc w:val="center"/>
              <w:ind w:right="1600"/>
              <w:spacing w:after="0"/>
              <w:rPr>
                <w:sz w:val="20"/>
                <w:szCs w:val="20"/>
                <w:color w:val="auto"/>
              </w:rPr>
            </w:pPr>
            <w:r>
              <w:rPr>
                <w:rFonts w:ascii="Arial" w:cs="Arial" w:eastAsia="Arial" w:hAnsi="Arial"/>
                <w:sz w:val="22"/>
                <w:szCs w:val="22"/>
                <w:color w:val="auto"/>
                <w:w w:val="87"/>
              </w:rPr>
              <w:t>June 30, 2018</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$18,889,000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2860" w:type="dxa"/>
            <w:vAlign w:val="bottom"/>
            <w:tcBorders>
              <w:right w:val="single" w:sz="8" w:color="auto"/>
            </w:tcBorders>
            <w:gridSpan w:val="2"/>
          </w:tcPr>
          <w:p>
            <w:pPr>
              <w:jc w:val="center"/>
              <w:ind w:right="1600"/>
              <w:spacing w:after="0"/>
              <w:rPr>
                <w:sz w:val="20"/>
                <w:szCs w:val="20"/>
                <w:color w:val="auto"/>
              </w:rPr>
            </w:pPr>
            <w:r>
              <w:rPr>
                <w:rFonts w:ascii="Arial" w:cs="Arial" w:eastAsia="Arial" w:hAnsi="Arial"/>
                <w:sz w:val="22"/>
                <w:szCs w:val="22"/>
                <w:color w:val="auto"/>
                <w:w w:val="90"/>
              </w:rPr>
              <w:t>July 31, 2018</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$20,933,000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8"/>
              </w:rPr>
              <w:t>August 31, 2018</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$24,492,000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7"/>
              </w:rPr>
              <w:t>September 30, 2018</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$29,069,000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8"/>
              </w:rPr>
              <w:t>October 31, 2018</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$31,355,000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90"/>
              </w:rPr>
              <w:t>November 30, 2018</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$35,355,000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7"/>
              </w:rPr>
              <w:t>December 31, 2018</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$40,498,000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7"/>
              </w:rPr>
              <w:t>January 31, 2019</w:t>
            </w:r>
          </w:p>
        </w:tc>
        <w:tc>
          <w:tcPr>
            <w:tcW w:w="2840" w:type="dxa"/>
            <w:vAlign w:val="bottom"/>
            <w:gridSpan w:val="2"/>
          </w:tcPr>
          <w:p>
            <w:pPr>
              <w:jc w:val="center"/>
              <w:ind w:left="632"/>
              <w:spacing w:after="0"/>
              <w:rPr>
                <w:sz w:val="20"/>
                <w:szCs w:val="20"/>
                <w:color w:val="auto"/>
              </w:rPr>
            </w:pPr>
            <w:r>
              <w:rPr>
                <w:rFonts w:ascii="Arial" w:cs="Arial" w:eastAsia="Arial" w:hAnsi="Arial"/>
                <w:sz w:val="22"/>
                <w:szCs w:val="22"/>
                <w:color w:val="auto"/>
                <w:w w:val="88"/>
              </w:rPr>
              <w:t>$2,493,000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7"/>
              </w:rPr>
              <w:t>February 28, 2019</w:t>
            </w:r>
          </w:p>
        </w:tc>
        <w:tc>
          <w:tcPr>
            <w:tcW w:w="2840" w:type="dxa"/>
            <w:vAlign w:val="bottom"/>
            <w:gridSpan w:val="2"/>
          </w:tcPr>
          <w:p>
            <w:pPr>
              <w:jc w:val="center"/>
              <w:ind w:left="632"/>
              <w:spacing w:after="0"/>
              <w:rPr>
                <w:sz w:val="20"/>
                <w:szCs w:val="20"/>
                <w:color w:val="auto"/>
              </w:rPr>
            </w:pPr>
            <w:r>
              <w:rPr>
                <w:rFonts w:ascii="Arial" w:cs="Arial" w:eastAsia="Arial" w:hAnsi="Arial"/>
                <w:sz w:val="22"/>
                <w:szCs w:val="22"/>
                <w:color w:val="auto"/>
                <w:w w:val="88"/>
              </w:rPr>
              <w:t>$6,979,000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90"/>
              </w:rPr>
              <w:t>March 31, 2019</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$12,459,000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92"/>
              </w:rPr>
              <w:t>April 30, 2019</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$15,049,000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2860" w:type="dxa"/>
            <w:vAlign w:val="bottom"/>
            <w:tcBorders>
              <w:right w:val="single" w:sz="8" w:color="auto"/>
            </w:tcBorders>
            <w:gridSpan w:val="2"/>
          </w:tcPr>
          <w:p>
            <w:pPr>
              <w:jc w:val="center"/>
              <w:ind w:right="1600"/>
              <w:spacing w:after="0"/>
              <w:rPr>
                <w:sz w:val="20"/>
                <w:szCs w:val="20"/>
                <w:color w:val="auto"/>
              </w:rPr>
            </w:pPr>
            <w:r>
              <w:rPr>
                <w:rFonts w:ascii="Arial" w:cs="Arial" w:eastAsia="Arial" w:hAnsi="Arial"/>
                <w:sz w:val="22"/>
                <w:szCs w:val="22"/>
                <w:color w:val="auto"/>
                <w:w w:val="91"/>
              </w:rPr>
              <w:t>May 31, 2019</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$19,724,000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2860" w:type="dxa"/>
            <w:vAlign w:val="bottom"/>
            <w:tcBorders>
              <w:right w:val="single" w:sz="8" w:color="auto"/>
            </w:tcBorders>
            <w:gridSpan w:val="2"/>
          </w:tcPr>
          <w:p>
            <w:pPr>
              <w:jc w:val="center"/>
              <w:ind w:right="1600"/>
              <w:spacing w:after="0"/>
              <w:rPr>
                <w:sz w:val="20"/>
                <w:szCs w:val="20"/>
                <w:color w:val="auto"/>
              </w:rPr>
            </w:pPr>
            <w:r>
              <w:rPr>
                <w:rFonts w:ascii="Arial" w:cs="Arial" w:eastAsia="Arial" w:hAnsi="Arial"/>
                <w:sz w:val="22"/>
                <w:szCs w:val="22"/>
                <w:color w:val="auto"/>
                <w:w w:val="87"/>
              </w:rPr>
              <w:t>June 30, 2019</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$25,439,000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2860" w:type="dxa"/>
            <w:vAlign w:val="bottom"/>
            <w:tcBorders>
              <w:right w:val="single" w:sz="8" w:color="auto"/>
            </w:tcBorders>
            <w:gridSpan w:val="2"/>
          </w:tcPr>
          <w:p>
            <w:pPr>
              <w:jc w:val="center"/>
              <w:ind w:right="1600"/>
              <w:spacing w:after="0"/>
              <w:rPr>
                <w:sz w:val="20"/>
                <w:szCs w:val="20"/>
                <w:color w:val="auto"/>
              </w:rPr>
            </w:pPr>
            <w:r>
              <w:rPr>
                <w:rFonts w:ascii="Arial" w:cs="Arial" w:eastAsia="Arial" w:hAnsi="Arial"/>
                <w:sz w:val="22"/>
                <w:szCs w:val="22"/>
                <w:color w:val="auto"/>
                <w:w w:val="90"/>
              </w:rPr>
              <w:t>July 31, 2019</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$28,399,000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8"/>
              </w:rPr>
              <w:t>August 31, 2019</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$33,739,000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7"/>
              </w:rPr>
              <w:t>September 30, 2019</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$40,264,000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8"/>
              </w:rPr>
              <w:t>October 31, 2019</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$43,840,000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44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90"/>
              </w:rPr>
              <w:t>November 30, 2019</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$50,277,000</w:t>
            </w:r>
          </w:p>
        </w:tc>
        <w:tc>
          <w:tcPr>
            <w:tcW w:w="7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85"/>
        </w:trPr>
        <w:tc>
          <w:tcPr>
            <w:tcW w:w="104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r>
      <w:tr>
        <w:trPr>
          <w:trHeight w:val="268"/>
        </w:trPr>
        <w:tc>
          <w:tcPr>
            <w:tcW w:w="1040" w:type="dxa"/>
            <w:vAlign w:val="bottom"/>
            <w:tcBorders>
              <w:right w:val="single" w:sz="8" w:color="auto"/>
            </w:tcBorders>
          </w:tcPr>
          <w:p>
            <w:pPr>
              <w:spacing w:after="0"/>
              <w:rPr>
                <w:sz w:val="23"/>
                <w:szCs w:val="23"/>
                <w:color w:val="auto"/>
              </w:rPr>
            </w:pPr>
          </w:p>
        </w:tc>
        <w:tc>
          <w:tcPr>
            <w:tcW w:w="442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2"/>
                <w:szCs w:val="22"/>
                <w:color w:val="auto"/>
                <w:w w:val="87"/>
              </w:rPr>
              <w:t>December 31, 2019</w:t>
            </w:r>
          </w:p>
        </w:tc>
        <w:tc>
          <w:tcPr>
            <w:tcW w:w="2840" w:type="dxa"/>
            <w:vAlign w:val="bottom"/>
            <w:gridSpan w:val="2"/>
          </w:tcPr>
          <w:p>
            <w:pPr>
              <w:jc w:val="center"/>
              <w:ind w:left="612"/>
              <w:spacing w:after="0"/>
              <w:rPr>
                <w:sz w:val="20"/>
                <w:szCs w:val="20"/>
                <w:color w:val="auto"/>
              </w:rPr>
            </w:pPr>
            <w:r>
              <w:rPr>
                <w:rFonts w:ascii="Arial" w:cs="Arial" w:eastAsia="Arial" w:hAnsi="Arial"/>
                <w:sz w:val="22"/>
                <w:szCs w:val="22"/>
                <w:color w:val="auto"/>
                <w:w w:val="88"/>
              </w:rPr>
              <w:t>$58,144,000</w:t>
            </w:r>
          </w:p>
        </w:tc>
        <w:tc>
          <w:tcPr>
            <w:tcW w:w="780" w:type="dxa"/>
            <w:vAlign w:val="bottom"/>
            <w:tcBorders>
              <w:right w:val="single" w:sz="8" w:color="auto"/>
            </w:tcBorders>
          </w:tcPr>
          <w:p>
            <w:pPr>
              <w:spacing w:after="0"/>
              <w:rPr>
                <w:sz w:val="23"/>
                <w:szCs w:val="23"/>
                <w:color w:val="auto"/>
              </w:rPr>
            </w:pPr>
          </w:p>
        </w:tc>
        <w:tc>
          <w:tcPr>
            <w:tcW w:w="980" w:type="dxa"/>
            <w:vAlign w:val="bottom"/>
          </w:tcPr>
          <w:p>
            <w:pPr>
              <w:spacing w:after="0"/>
              <w:rPr>
                <w:sz w:val="23"/>
                <w:szCs w:val="23"/>
                <w:color w:val="auto"/>
              </w:rPr>
            </w:pPr>
          </w:p>
        </w:tc>
      </w:tr>
      <w:tr>
        <w:trPr>
          <w:trHeight w:val="185"/>
        </w:trPr>
        <w:tc>
          <w:tcPr>
            <w:tcW w:w="1040" w:type="dxa"/>
            <w:vAlign w:val="bottom"/>
            <w:tcBorders>
              <w:right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r>
      <w:tr>
        <w:trPr>
          <w:trHeight w:val="460"/>
        </w:trPr>
        <w:tc>
          <w:tcPr>
            <w:tcW w:w="1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111" w:right="919" w:bottom="1440" w:gutter="0" w:footer="0" w:header="0"/>
        </w:sectPr>
      </w:pPr>
    </w:p>
    <w:bookmarkStart w:id="83" w:name="page84"/>
    <w:bookmarkEnd w:id="83"/>
    <w:p>
      <w:pPr>
        <w:spacing w:after="0"/>
        <w:rPr>
          <w:sz w:val="20"/>
          <w:szCs w:val="20"/>
          <w:color w:val="auto"/>
        </w:rPr>
      </w:pPr>
      <w:r>
        <w:rPr>
          <w:rFonts w:ascii="Arial" w:cs="Arial" w:eastAsia="Arial" w:hAnsi="Arial"/>
          <w:sz w:val="22"/>
          <w:szCs w:val="22"/>
          <w:color w:val="auto"/>
        </w:rPr>
        <w:t>Actual:</w:t>
      </w:r>
    </w:p>
    <w:p>
      <w:pPr>
        <w:spacing w:after="0" w:line="208" w:lineRule="exact"/>
        <w:rPr>
          <w:sz w:val="20"/>
          <w:szCs w:val="20"/>
          <w:color w:val="auto"/>
        </w:rPr>
      </w:pPr>
    </w:p>
    <w:tbl>
      <w:tblPr>
        <w:tblLayout w:type="fixed"/>
        <w:tblInd w:w="1030" w:type="dxa"/>
        <w:tblCellMar>
          <w:top w:w="0" w:type="dxa"/>
          <w:left w:w="0" w:type="dxa"/>
          <w:bottom w:w="0" w:type="dxa"/>
          <w:right w:w="0" w:type="dxa"/>
        </w:tblCellMar>
      </w:tblPr>
      <w:tr>
        <w:trPr>
          <w:trHeight w:val="249"/>
        </w:trPr>
        <w:tc>
          <w:tcPr>
            <w:tcW w:w="480" w:type="dxa"/>
            <w:vAlign w:val="bottom"/>
            <w:tcBorders>
              <w:top w:val="single" w:sz="8" w:color="auto"/>
              <w:left w:val="single" w:sz="8" w:color="auto"/>
              <w:right w:val="single" w:sz="8" w:color="auto"/>
            </w:tcBorders>
          </w:tcPr>
          <w:p>
            <w:pPr>
              <w:ind w:left="120"/>
              <w:spacing w:after="0" w:line="248" w:lineRule="exact"/>
              <w:rPr>
                <w:sz w:val="20"/>
                <w:szCs w:val="20"/>
                <w:color w:val="auto"/>
              </w:rPr>
            </w:pPr>
            <w:r>
              <w:rPr>
                <w:rFonts w:ascii="Arial" w:cs="Arial" w:eastAsia="Arial" w:hAnsi="Arial"/>
                <w:sz w:val="22"/>
                <w:szCs w:val="22"/>
                <w:color w:val="auto"/>
              </w:rPr>
              <w:t>A.</w:t>
            </w:r>
          </w:p>
        </w:tc>
        <w:tc>
          <w:tcPr>
            <w:tcW w:w="5740" w:type="dxa"/>
            <w:vAlign w:val="bottom"/>
            <w:tcBorders>
              <w:top w:val="single" w:sz="8" w:color="auto"/>
              <w:right w:val="single" w:sz="8" w:color="auto"/>
            </w:tcBorders>
          </w:tcPr>
          <w:p>
            <w:pPr>
              <w:ind w:left="120"/>
              <w:spacing w:after="0" w:line="248" w:lineRule="exact"/>
              <w:rPr>
                <w:sz w:val="20"/>
                <w:szCs w:val="20"/>
                <w:color w:val="auto"/>
              </w:rPr>
            </w:pPr>
            <w:r>
              <w:rPr>
                <w:rFonts w:ascii="Arial" w:cs="Arial" w:eastAsia="Arial" w:hAnsi="Arial"/>
                <w:sz w:val="22"/>
                <w:szCs w:val="22"/>
                <w:color w:val="auto"/>
                <w:w w:val="95"/>
              </w:rPr>
              <w:t>Actual TFS Revenue of Borrower for such month (calculated</w:t>
            </w:r>
          </w:p>
        </w:tc>
        <w:tc>
          <w:tcPr>
            <w:tcW w:w="1840" w:type="dxa"/>
            <w:vAlign w:val="bottom"/>
            <w:tcBorders>
              <w:top w:val="single" w:sz="8" w:color="auto"/>
              <w:right w:val="single" w:sz="8" w:color="auto"/>
            </w:tcBorders>
            <w:gridSpan w:val="3"/>
            <w:vMerge w:val="restart"/>
          </w:tcPr>
          <w:p>
            <w:pPr>
              <w:jc w:val="right"/>
              <w:ind w:right="160"/>
              <w:spacing w:after="0"/>
              <w:rPr>
                <w:sz w:val="20"/>
                <w:szCs w:val="20"/>
                <w:color w:val="auto"/>
              </w:rPr>
            </w:pPr>
            <w:r>
              <w:rPr>
                <w:rFonts w:ascii="Arial" w:cs="Arial" w:eastAsia="Arial" w:hAnsi="Arial"/>
                <w:sz w:val="22"/>
                <w:szCs w:val="22"/>
                <w:color w:val="auto"/>
              </w:rPr>
              <w:t>$___________</w:t>
            </w:r>
          </w:p>
        </w:tc>
        <w:tc>
          <w:tcPr>
            <w:tcW w:w="0" w:type="dxa"/>
            <w:vAlign w:val="bottom"/>
          </w:tcPr>
          <w:p>
            <w:pPr>
              <w:spacing w:after="0"/>
              <w:rPr>
                <w:sz w:val="1"/>
                <w:szCs w:val="1"/>
                <w:color w:val="auto"/>
              </w:rPr>
            </w:pPr>
          </w:p>
        </w:tc>
      </w:tr>
      <w:tr>
        <w:trPr>
          <w:trHeight w:val="102"/>
        </w:trPr>
        <w:tc>
          <w:tcPr>
            <w:tcW w:w="480" w:type="dxa"/>
            <w:vAlign w:val="bottom"/>
            <w:tcBorders>
              <w:left w:val="single" w:sz="8" w:color="auto"/>
              <w:right w:val="single" w:sz="8" w:color="auto"/>
            </w:tcBorders>
          </w:tcPr>
          <w:p>
            <w:pPr>
              <w:spacing w:after="0"/>
              <w:rPr>
                <w:sz w:val="8"/>
                <w:szCs w:val="8"/>
                <w:color w:val="auto"/>
              </w:rPr>
            </w:pPr>
          </w:p>
        </w:tc>
        <w:tc>
          <w:tcPr>
            <w:tcW w:w="5740" w:type="dxa"/>
            <w:vAlign w:val="bottom"/>
            <w:tcBorders>
              <w:right w:val="single" w:sz="8" w:color="auto"/>
            </w:tcBorders>
            <w:vMerge w:val="restart"/>
          </w:tcPr>
          <w:p>
            <w:pPr>
              <w:ind w:left="120"/>
              <w:spacing w:after="0"/>
              <w:rPr>
                <w:sz w:val="20"/>
                <w:szCs w:val="20"/>
                <w:color w:val="auto"/>
              </w:rPr>
            </w:pPr>
            <w:r>
              <w:rPr>
                <w:rFonts w:ascii="Arial" w:cs="Arial" w:eastAsia="Arial" w:hAnsi="Arial"/>
                <w:sz w:val="22"/>
                <w:szCs w:val="22"/>
                <w:color w:val="auto"/>
              </w:rPr>
              <w:t>on a cumulative year to date basis):</w:t>
            </w:r>
          </w:p>
        </w:tc>
        <w:tc>
          <w:tcPr>
            <w:tcW w:w="184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480" w:type="dxa"/>
            <w:vAlign w:val="bottom"/>
            <w:tcBorders>
              <w:left w:val="single" w:sz="8" w:color="auto"/>
              <w:bottom w:val="single" w:sz="8" w:color="auto"/>
              <w:right w:val="single" w:sz="8" w:color="auto"/>
            </w:tcBorders>
          </w:tcPr>
          <w:p>
            <w:pPr>
              <w:spacing w:after="0"/>
              <w:rPr>
                <w:sz w:val="14"/>
                <w:szCs w:val="14"/>
                <w:color w:val="auto"/>
              </w:rPr>
            </w:pPr>
          </w:p>
        </w:tc>
        <w:tc>
          <w:tcPr>
            <w:tcW w:w="5740" w:type="dxa"/>
            <w:vAlign w:val="bottom"/>
            <w:tcBorders>
              <w:bottom w:val="single" w:sz="8" w:color="auto"/>
              <w:right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Is line A equal to or greater than as required above?</w:t>
      </w:r>
    </w:p>
    <w:p>
      <w:pPr>
        <w:sectPr>
          <w:pgSz w:w="11900" w:h="16838" w:orient="portrait"/>
          <w:cols w:equalWidth="0" w:num="1">
            <w:col w:w="9539"/>
          </w:cols>
          <w:pgMar w:left="920" w:top="118" w:right="1440" w:bottom="1440" w:gutter="0" w:footer="0" w:header="0"/>
        </w:sectPr>
      </w:pP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 not in compliance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Yes,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303530</wp:posOffset>
            </wp:positionV>
            <wp:extent cx="6388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2">
            <w:col w:w="4580" w:space="720"/>
            <w:col w:w="4239"/>
          </w:cols>
          <w:pgMar w:left="920" w:top="118" w:right="1440"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22"/>
          <w:szCs w:val="22"/>
          <w:b w:val="1"/>
          <w:bCs w:val="1"/>
          <w:u w:val="single" w:color="auto"/>
          <w:color w:val="auto"/>
        </w:rPr>
        <w:t>EXHIBIT 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Beneficial Ownership Information Disclosure Form</w:t>
      </w:r>
    </w:p>
    <w:p>
      <w:pPr>
        <w:spacing w:after="0" w:line="206" w:lineRule="exact"/>
        <w:rPr>
          <w:sz w:val="20"/>
          <w:szCs w:val="20"/>
          <w:color w:val="auto"/>
        </w:rPr>
      </w:pPr>
    </w:p>
    <w:p>
      <w:pPr>
        <w:jc w:val="both"/>
        <w:ind w:left="321" w:hanging="321"/>
        <w:spacing w:after="0" w:line="243" w:lineRule="auto"/>
        <w:tabs>
          <w:tab w:leader="none" w:pos="450"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Does any </w:t>
      </w:r>
      <w:r>
        <w:rPr>
          <w:rFonts w:ascii="Arial" w:cs="Arial" w:eastAsia="Arial" w:hAnsi="Arial"/>
          <w:sz w:val="22"/>
          <w:szCs w:val="22"/>
          <w:b w:val="1"/>
          <w:bCs w:val="1"/>
          <w:u w:val="single" w:color="auto"/>
          <w:color w:val="auto"/>
        </w:rPr>
        <w:t>individual</w:t>
      </w:r>
      <w:r>
        <w:rPr>
          <w:rFonts w:ascii="Arial" w:cs="Arial" w:eastAsia="Arial" w:hAnsi="Arial"/>
          <w:sz w:val="22"/>
          <w:szCs w:val="22"/>
          <w:color w:val="auto"/>
        </w:rPr>
        <w:t xml:space="preserve">, </w:t>
      </w:r>
      <w:r>
        <w:rPr>
          <w:rFonts w:ascii="Arial" w:cs="Arial" w:eastAsia="Arial" w:hAnsi="Arial"/>
          <w:sz w:val="22"/>
          <w:szCs w:val="22"/>
          <w:i w:val="1"/>
          <w:iCs w:val="1"/>
          <w:color w:val="auto"/>
        </w:rPr>
        <w:t>directly or indirectly</w:t>
      </w:r>
      <w:r>
        <w:rPr>
          <w:rFonts w:ascii="Arial" w:cs="Arial" w:eastAsia="Arial" w:hAnsi="Arial"/>
          <w:sz w:val="22"/>
          <w:szCs w:val="22"/>
          <w:color w:val="auto"/>
        </w:rPr>
        <w:t xml:space="preserve"> (for example, if applicable, through such individual’s equity interests in the Borrower’s parent entity), through any contract, arrangement, understanding, relationship or otherwise, </w:t>
      </w:r>
      <w:r>
        <w:rPr>
          <w:rFonts w:ascii="Arial" w:cs="Arial" w:eastAsia="Arial" w:hAnsi="Arial"/>
          <w:sz w:val="22"/>
          <w:szCs w:val="22"/>
          <w:b w:val="1"/>
          <w:bCs w:val="1"/>
          <w:u w:val="single" w:color="auto"/>
          <w:color w:val="auto"/>
        </w:rPr>
        <w:t>own 25% or more</w:t>
      </w:r>
      <w:r>
        <w:rPr>
          <w:rFonts w:ascii="Arial" w:cs="Arial" w:eastAsia="Arial" w:hAnsi="Arial"/>
          <w:sz w:val="22"/>
          <w:szCs w:val="22"/>
          <w:color w:val="auto"/>
        </w:rPr>
        <w:t xml:space="preserve"> of the equity interests of Borrower:</w:t>
      </w:r>
    </w:p>
    <w:p>
      <w:pPr>
        <w:spacing w:after="0" w:line="156" w:lineRule="exact"/>
        <w:rPr>
          <w:sz w:val="20"/>
          <w:szCs w:val="20"/>
          <w:color w:val="auto"/>
        </w:rPr>
      </w:pPr>
    </w:p>
    <w:tbl>
      <w:tblPr>
        <w:tblLayout w:type="fixed"/>
        <w:tblInd w:w="11" w:type="dxa"/>
        <w:tblCellMar>
          <w:top w:w="0" w:type="dxa"/>
          <w:left w:w="0" w:type="dxa"/>
          <w:bottom w:w="0" w:type="dxa"/>
          <w:right w:w="0" w:type="dxa"/>
        </w:tblCellMar>
      </w:tblPr>
      <w:tr>
        <w:trPr>
          <w:trHeight w:val="339"/>
        </w:trPr>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gridSpan w:val="2"/>
          </w:tcPr>
          <w:p>
            <w:pPr>
              <w:ind w:left="980"/>
              <w:spacing w:after="0"/>
              <w:rPr>
                <w:sz w:val="20"/>
                <w:szCs w:val="20"/>
                <w:color w:val="auto"/>
              </w:rPr>
            </w:pPr>
            <w:r>
              <w:rPr>
                <w:rFonts w:ascii="Arial" w:cs="Arial" w:eastAsia="Arial" w:hAnsi="Arial"/>
                <w:sz w:val="22"/>
                <w:szCs w:val="22"/>
                <w:color w:val="auto"/>
              </w:rPr>
              <w:t>Yes</w:t>
            </w:r>
          </w:p>
        </w:tc>
        <w:tc>
          <w:tcPr>
            <w:tcW w:w="60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800" w:type="dxa"/>
            <w:vAlign w:val="bottom"/>
          </w:tcPr>
          <w:p>
            <w:pPr>
              <w:ind w:left="240"/>
              <w:spacing w:after="0"/>
              <w:rPr>
                <w:sz w:val="20"/>
                <w:szCs w:val="20"/>
                <w:color w:val="auto"/>
              </w:rPr>
            </w:pPr>
            <w:r>
              <w:rPr>
                <w:rFonts w:ascii="Arial" w:cs="Arial" w:eastAsia="Arial" w:hAnsi="Arial"/>
                <w:sz w:val="22"/>
                <w:szCs w:val="22"/>
                <w:color w:val="auto"/>
              </w:rPr>
              <w:t>No</w:t>
            </w:r>
          </w:p>
        </w:tc>
        <w:tc>
          <w:tcPr>
            <w:tcW w:w="1740" w:type="dxa"/>
            <w:vAlign w:val="bottom"/>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62"/>
        </w:trPr>
        <w:tc>
          <w:tcPr>
            <w:tcW w:w="620" w:type="dxa"/>
            <w:vAlign w:val="bottom"/>
          </w:tcPr>
          <w:p>
            <w:pPr>
              <w:spacing w:after="0"/>
              <w:rPr>
                <w:sz w:val="24"/>
                <w:szCs w:val="24"/>
                <w:color w:val="auto"/>
              </w:rPr>
            </w:pPr>
          </w:p>
        </w:tc>
        <w:tc>
          <w:tcPr>
            <w:tcW w:w="5960" w:type="dxa"/>
            <w:vAlign w:val="bottom"/>
            <w:gridSpan w:val="6"/>
          </w:tcPr>
          <w:p>
            <w:pPr>
              <w:ind w:left="680"/>
              <w:spacing w:after="0"/>
              <w:rPr>
                <w:sz w:val="20"/>
                <w:szCs w:val="20"/>
                <w:color w:val="auto"/>
              </w:rPr>
            </w:pPr>
            <w:r>
              <w:rPr>
                <w:rFonts w:ascii="Arial" w:cs="Arial" w:eastAsia="Arial" w:hAnsi="Arial"/>
                <w:sz w:val="22"/>
                <w:szCs w:val="22"/>
                <w:color w:val="auto"/>
              </w:rPr>
              <w:t>If yes, complete the following information:</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6"/>
        </w:trPr>
        <w:tc>
          <w:tcPr>
            <w:tcW w:w="6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r>
      <w:tr>
        <w:trPr>
          <w:trHeight w:val="268"/>
        </w:trPr>
        <w:tc>
          <w:tcPr>
            <w:tcW w:w="620" w:type="dxa"/>
            <w:vAlign w:val="bottom"/>
            <w:tcBorders>
              <w:left w:val="single" w:sz="8" w:color="auto"/>
              <w:right w:val="single" w:sz="8" w:color="auto"/>
            </w:tcBorders>
          </w:tcPr>
          <w:p>
            <w:pPr>
              <w:spacing w:after="0"/>
              <w:rPr>
                <w:sz w:val="23"/>
                <w:szCs w:val="23"/>
                <w:color w:val="auto"/>
              </w:rPr>
            </w:pPr>
          </w:p>
        </w:tc>
        <w:tc>
          <w:tcPr>
            <w:tcW w:w="1360" w:type="dxa"/>
            <w:vAlign w:val="bottom"/>
            <w:tcBorders>
              <w:right w:val="single" w:sz="8" w:color="auto"/>
            </w:tcBorders>
          </w:tcPr>
          <w:p>
            <w:pPr>
              <w:ind w:left="520"/>
              <w:spacing w:after="0"/>
              <w:rPr>
                <w:sz w:val="20"/>
                <w:szCs w:val="20"/>
                <w:color w:val="auto"/>
              </w:rPr>
            </w:pPr>
            <w:r>
              <w:rPr>
                <w:rFonts w:ascii="Arial" w:cs="Arial" w:eastAsia="Arial" w:hAnsi="Arial"/>
                <w:sz w:val="22"/>
                <w:szCs w:val="22"/>
                <w:color w:val="auto"/>
              </w:rPr>
              <w:t>Name</w:t>
            </w:r>
          </w:p>
        </w:tc>
        <w:tc>
          <w:tcPr>
            <w:tcW w:w="1200" w:type="dxa"/>
            <w:vAlign w:val="bottom"/>
            <w:tcBorders>
              <w:right w:val="single" w:sz="8" w:color="auto"/>
            </w:tcBorders>
          </w:tcPr>
          <w:p>
            <w:pPr>
              <w:jc w:val="center"/>
              <w:ind w:left="92"/>
              <w:spacing w:after="0"/>
              <w:rPr>
                <w:sz w:val="20"/>
                <w:szCs w:val="20"/>
                <w:color w:val="auto"/>
              </w:rPr>
            </w:pPr>
            <w:r>
              <w:rPr>
                <w:rFonts w:ascii="Arial" w:cs="Arial" w:eastAsia="Arial" w:hAnsi="Arial"/>
                <w:sz w:val="22"/>
                <w:szCs w:val="22"/>
                <w:color w:val="auto"/>
                <w:w w:val="90"/>
              </w:rPr>
              <w:t>Date of</w:t>
            </w:r>
          </w:p>
        </w:tc>
        <w:tc>
          <w:tcPr>
            <w:tcW w:w="260" w:type="dxa"/>
            <w:vAlign w:val="bottom"/>
          </w:tcPr>
          <w:p>
            <w:pPr>
              <w:spacing w:after="0"/>
              <w:rPr>
                <w:sz w:val="23"/>
                <w:szCs w:val="23"/>
                <w:color w:val="auto"/>
              </w:rPr>
            </w:pPr>
          </w:p>
        </w:tc>
        <w:tc>
          <w:tcPr>
            <w:tcW w:w="1400" w:type="dxa"/>
            <w:vAlign w:val="bottom"/>
            <w:tcBorders>
              <w:right w:val="single" w:sz="8" w:color="auto"/>
            </w:tcBorders>
            <w:gridSpan w:val="2"/>
          </w:tcPr>
          <w:p>
            <w:pPr>
              <w:ind w:left="180"/>
              <w:spacing w:after="0"/>
              <w:rPr>
                <w:sz w:val="20"/>
                <w:szCs w:val="20"/>
                <w:color w:val="auto"/>
              </w:rPr>
            </w:pPr>
            <w:r>
              <w:rPr>
                <w:rFonts w:ascii="Arial" w:cs="Arial" w:eastAsia="Arial" w:hAnsi="Arial"/>
                <w:sz w:val="22"/>
                <w:szCs w:val="22"/>
                <w:color w:val="auto"/>
              </w:rPr>
              <w:t>Residential</w:t>
            </w:r>
          </w:p>
        </w:tc>
        <w:tc>
          <w:tcPr>
            <w:tcW w:w="1740" w:type="dxa"/>
            <w:vAlign w:val="bottom"/>
            <w:tcBorders>
              <w:right w:val="single" w:sz="8" w:color="auto"/>
            </w:tcBorders>
          </w:tcPr>
          <w:p>
            <w:pPr>
              <w:jc w:val="center"/>
              <w:ind w:left="192"/>
              <w:spacing w:after="0"/>
              <w:rPr>
                <w:sz w:val="20"/>
                <w:szCs w:val="20"/>
                <w:color w:val="auto"/>
              </w:rPr>
            </w:pPr>
            <w:r>
              <w:rPr>
                <w:rFonts w:ascii="Arial" w:cs="Arial" w:eastAsia="Arial" w:hAnsi="Arial"/>
                <w:sz w:val="22"/>
                <w:szCs w:val="22"/>
                <w:color w:val="auto"/>
                <w:w w:val="91"/>
              </w:rPr>
              <w:t>For US</w:t>
            </w:r>
          </w:p>
        </w:tc>
        <w:tc>
          <w:tcPr>
            <w:tcW w:w="1920" w:type="dxa"/>
            <w:vAlign w:val="bottom"/>
            <w:tcBorders>
              <w:right w:val="single" w:sz="8" w:color="auto"/>
            </w:tcBorders>
          </w:tcPr>
          <w:p>
            <w:pPr>
              <w:jc w:val="center"/>
              <w:ind w:left="172"/>
              <w:spacing w:after="0"/>
              <w:rPr>
                <w:sz w:val="20"/>
                <w:szCs w:val="20"/>
                <w:color w:val="auto"/>
              </w:rPr>
            </w:pPr>
            <w:r>
              <w:rPr>
                <w:rFonts w:ascii="Arial" w:cs="Arial" w:eastAsia="Arial" w:hAnsi="Arial"/>
                <w:sz w:val="22"/>
                <w:szCs w:val="22"/>
                <w:color w:val="auto"/>
                <w:w w:val="91"/>
              </w:rPr>
              <w:t>For Non-US</w:t>
            </w:r>
          </w:p>
        </w:tc>
        <w:tc>
          <w:tcPr>
            <w:tcW w:w="1580" w:type="dxa"/>
            <w:vAlign w:val="bottom"/>
            <w:tcBorders>
              <w:right w:val="single" w:sz="8" w:color="auto"/>
            </w:tcBorders>
          </w:tcPr>
          <w:p>
            <w:pPr>
              <w:jc w:val="center"/>
              <w:ind w:left="112"/>
              <w:spacing w:after="0"/>
              <w:rPr>
                <w:sz w:val="20"/>
                <w:szCs w:val="20"/>
                <w:color w:val="auto"/>
              </w:rPr>
            </w:pPr>
            <w:r>
              <w:rPr>
                <w:rFonts w:ascii="Arial" w:cs="Arial" w:eastAsia="Arial" w:hAnsi="Arial"/>
                <w:sz w:val="22"/>
                <w:szCs w:val="22"/>
                <w:color w:val="auto"/>
                <w:w w:val="85"/>
              </w:rPr>
              <w:t>Percentage</w:t>
            </w:r>
          </w:p>
        </w:tc>
      </w:tr>
      <w:tr>
        <w:trPr>
          <w:trHeight w:val="276"/>
        </w:trPr>
        <w:tc>
          <w:tcPr>
            <w:tcW w:w="620" w:type="dxa"/>
            <w:vAlign w:val="bottom"/>
            <w:tcBorders>
              <w:left w:val="single" w:sz="8" w:color="auto"/>
              <w:right w:val="single" w:sz="8" w:color="auto"/>
            </w:tcBorders>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1200" w:type="dxa"/>
            <w:vAlign w:val="bottom"/>
            <w:tcBorders>
              <w:right w:val="single" w:sz="8" w:color="auto"/>
            </w:tcBorders>
          </w:tcPr>
          <w:p>
            <w:pPr>
              <w:jc w:val="center"/>
              <w:ind w:left="92"/>
              <w:spacing w:after="0"/>
              <w:rPr>
                <w:sz w:val="20"/>
                <w:szCs w:val="20"/>
                <w:color w:val="auto"/>
              </w:rPr>
            </w:pPr>
            <w:r>
              <w:rPr>
                <w:rFonts w:ascii="Arial" w:cs="Arial" w:eastAsia="Arial" w:hAnsi="Arial"/>
                <w:sz w:val="22"/>
                <w:szCs w:val="22"/>
                <w:color w:val="auto"/>
                <w:w w:val="93"/>
              </w:rPr>
              <w:t>birth</w:t>
            </w:r>
          </w:p>
        </w:tc>
        <w:tc>
          <w:tcPr>
            <w:tcW w:w="260" w:type="dxa"/>
            <w:vAlign w:val="bottom"/>
          </w:tcPr>
          <w:p>
            <w:pPr>
              <w:spacing w:after="0"/>
              <w:rPr>
                <w:sz w:val="23"/>
                <w:szCs w:val="23"/>
                <w:color w:val="auto"/>
              </w:rPr>
            </w:pPr>
          </w:p>
        </w:tc>
        <w:tc>
          <w:tcPr>
            <w:tcW w:w="1400" w:type="dxa"/>
            <w:vAlign w:val="bottom"/>
            <w:tcBorders>
              <w:right w:val="single" w:sz="8" w:color="auto"/>
            </w:tcBorders>
            <w:gridSpan w:val="2"/>
          </w:tcPr>
          <w:p>
            <w:pPr>
              <w:ind w:left="340"/>
              <w:spacing w:after="0"/>
              <w:rPr>
                <w:sz w:val="20"/>
                <w:szCs w:val="20"/>
                <w:color w:val="auto"/>
              </w:rPr>
            </w:pPr>
            <w:r>
              <w:rPr>
                <w:rFonts w:ascii="Arial" w:cs="Arial" w:eastAsia="Arial" w:hAnsi="Arial"/>
                <w:sz w:val="22"/>
                <w:szCs w:val="22"/>
                <w:color w:val="auto"/>
              </w:rPr>
              <w:t>address</w:t>
            </w:r>
          </w:p>
        </w:tc>
        <w:tc>
          <w:tcPr>
            <w:tcW w:w="1740" w:type="dxa"/>
            <w:vAlign w:val="bottom"/>
            <w:tcBorders>
              <w:right w:val="single" w:sz="8" w:color="auto"/>
            </w:tcBorders>
          </w:tcPr>
          <w:p>
            <w:pPr>
              <w:jc w:val="center"/>
              <w:ind w:left="192"/>
              <w:spacing w:after="0"/>
              <w:rPr>
                <w:sz w:val="20"/>
                <w:szCs w:val="20"/>
                <w:color w:val="auto"/>
              </w:rPr>
            </w:pPr>
            <w:r>
              <w:rPr>
                <w:rFonts w:ascii="Arial" w:cs="Arial" w:eastAsia="Arial" w:hAnsi="Arial"/>
                <w:sz w:val="22"/>
                <w:szCs w:val="22"/>
                <w:color w:val="auto"/>
                <w:w w:val="82"/>
              </w:rPr>
              <w:t>Persons,</w:t>
            </w:r>
          </w:p>
        </w:tc>
        <w:tc>
          <w:tcPr>
            <w:tcW w:w="1920" w:type="dxa"/>
            <w:vAlign w:val="bottom"/>
            <w:tcBorders>
              <w:right w:val="single" w:sz="8" w:color="auto"/>
            </w:tcBorders>
          </w:tcPr>
          <w:p>
            <w:pPr>
              <w:jc w:val="center"/>
              <w:ind w:left="172"/>
              <w:spacing w:after="0"/>
              <w:rPr>
                <w:sz w:val="20"/>
                <w:szCs w:val="20"/>
                <w:color w:val="auto"/>
              </w:rPr>
            </w:pPr>
            <w:r>
              <w:rPr>
                <w:rFonts w:ascii="Arial" w:cs="Arial" w:eastAsia="Arial" w:hAnsi="Arial"/>
                <w:sz w:val="22"/>
                <w:szCs w:val="22"/>
                <w:color w:val="auto"/>
                <w:w w:val="84"/>
              </w:rPr>
              <w:t>Persons: Type</w:t>
            </w:r>
          </w:p>
        </w:tc>
        <w:tc>
          <w:tcPr>
            <w:tcW w:w="1580" w:type="dxa"/>
            <w:vAlign w:val="bottom"/>
            <w:tcBorders>
              <w:right w:val="single" w:sz="8" w:color="auto"/>
            </w:tcBorders>
          </w:tcPr>
          <w:p>
            <w:pPr>
              <w:jc w:val="center"/>
              <w:ind w:left="92"/>
              <w:spacing w:after="0"/>
              <w:rPr>
                <w:sz w:val="20"/>
                <w:szCs w:val="20"/>
                <w:color w:val="auto"/>
              </w:rPr>
            </w:pPr>
            <w:r>
              <w:rPr>
                <w:rFonts w:ascii="Arial" w:cs="Arial" w:eastAsia="Arial" w:hAnsi="Arial"/>
                <w:sz w:val="22"/>
                <w:szCs w:val="22"/>
                <w:color w:val="auto"/>
                <w:w w:val="97"/>
              </w:rPr>
              <w:t>of</w:t>
            </w: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jc w:val="center"/>
              <w:ind w:left="172"/>
              <w:spacing w:after="0"/>
              <w:rPr>
                <w:sz w:val="20"/>
                <w:szCs w:val="20"/>
                <w:color w:val="auto"/>
              </w:rPr>
            </w:pPr>
            <w:r>
              <w:rPr>
                <w:rFonts w:ascii="Arial" w:cs="Arial" w:eastAsia="Arial" w:hAnsi="Arial"/>
                <w:sz w:val="22"/>
                <w:szCs w:val="22"/>
                <w:color w:val="auto"/>
                <w:w w:val="90"/>
              </w:rPr>
              <w:t>Social</w:t>
            </w:r>
          </w:p>
        </w:tc>
        <w:tc>
          <w:tcPr>
            <w:tcW w:w="1920" w:type="dxa"/>
            <w:vAlign w:val="bottom"/>
            <w:tcBorders>
              <w:right w:val="single" w:sz="8" w:color="auto"/>
            </w:tcBorders>
          </w:tcPr>
          <w:p>
            <w:pPr>
              <w:jc w:val="center"/>
              <w:ind w:left="172"/>
              <w:spacing w:after="0"/>
              <w:rPr>
                <w:sz w:val="20"/>
                <w:szCs w:val="20"/>
                <w:color w:val="auto"/>
              </w:rPr>
            </w:pPr>
            <w:r>
              <w:rPr>
                <w:rFonts w:ascii="Arial" w:cs="Arial" w:eastAsia="Arial" w:hAnsi="Arial"/>
                <w:sz w:val="22"/>
                <w:szCs w:val="22"/>
                <w:color w:val="auto"/>
                <w:w w:val="99"/>
              </w:rPr>
              <w:t>of ID, ID</w:t>
            </w:r>
          </w:p>
        </w:tc>
        <w:tc>
          <w:tcPr>
            <w:tcW w:w="1580" w:type="dxa"/>
            <w:vAlign w:val="bottom"/>
            <w:tcBorders>
              <w:right w:val="single" w:sz="8" w:color="auto"/>
            </w:tcBorders>
          </w:tcPr>
          <w:p>
            <w:pPr>
              <w:jc w:val="center"/>
              <w:ind w:left="92"/>
              <w:spacing w:after="0"/>
              <w:rPr>
                <w:sz w:val="20"/>
                <w:szCs w:val="20"/>
                <w:color w:val="auto"/>
              </w:rPr>
            </w:pPr>
            <w:r>
              <w:rPr>
                <w:rFonts w:ascii="Arial" w:cs="Arial" w:eastAsia="Arial" w:hAnsi="Arial"/>
                <w:sz w:val="22"/>
                <w:szCs w:val="22"/>
                <w:color w:val="auto"/>
                <w:w w:val="89"/>
              </w:rPr>
              <w:t>ownership</w:t>
            </w: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jc w:val="center"/>
              <w:ind w:left="192"/>
              <w:spacing w:after="0"/>
              <w:rPr>
                <w:sz w:val="20"/>
                <w:szCs w:val="20"/>
                <w:color w:val="auto"/>
              </w:rPr>
            </w:pPr>
            <w:r>
              <w:rPr>
                <w:rFonts w:ascii="Arial" w:cs="Arial" w:eastAsia="Arial" w:hAnsi="Arial"/>
                <w:sz w:val="22"/>
                <w:szCs w:val="22"/>
                <w:color w:val="auto"/>
                <w:w w:val="90"/>
              </w:rPr>
              <w:t>Security</w:t>
            </w:r>
          </w:p>
        </w:tc>
        <w:tc>
          <w:tcPr>
            <w:tcW w:w="1920" w:type="dxa"/>
            <w:vAlign w:val="bottom"/>
            <w:tcBorders>
              <w:right w:val="single" w:sz="8" w:color="auto"/>
            </w:tcBorders>
          </w:tcPr>
          <w:p>
            <w:pPr>
              <w:jc w:val="center"/>
              <w:ind w:left="172"/>
              <w:spacing w:after="0"/>
              <w:rPr>
                <w:sz w:val="20"/>
                <w:szCs w:val="20"/>
                <w:color w:val="auto"/>
              </w:rPr>
            </w:pPr>
            <w:r>
              <w:rPr>
                <w:rFonts w:ascii="Arial" w:cs="Arial" w:eastAsia="Arial" w:hAnsi="Arial"/>
                <w:sz w:val="22"/>
                <w:szCs w:val="22"/>
                <w:color w:val="auto"/>
                <w:w w:val="89"/>
              </w:rPr>
              <w:t>number,</w:t>
            </w:r>
          </w:p>
        </w:tc>
        <w:tc>
          <w:tcPr>
            <w:tcW w:w="1580" w:type="dxa"/>
            <w:vAlign w:val="bottom"/>
            <w:tcBorders>
              <w:right w:val="single" w:sz="8" w:color="auto"/>
            </w:tcBorders>
          </w:tcPr>
          <w:p>
            <w:pPr>
              <w:jc w:val="center"/>
              <w:ind w:left="112"/>
              <w:spacing w:after="0"/>
              <w:rPr>
                <w:sz w:val="20"/>
                <w:szCs w:val="20"/>
                <w:color w:val="auto"/>
              </w:rPr>
            </w:pPr>
            <w:r>
              <w:rPr>
                <w:rFonts w:ascii="Arial" w:cs="Arial" w:eastAsia="Arial" w:hAnsi="Arial"/>
                <w:sz w:val="22"/>
                <w:szCs w:val="22"/>
                <w:color w:val="auto"/>
                <w:w w:val="96"/>
              </w:rPr>
              <w:t>(if indirect</w:t>
            </w: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jc w:val="center"/>
              <w:ind w:left="192"/>
              <w:spacing w:after="0"/>
              <w:rPr>
                <w:sz w:val="20"/>
                <w:szCs w:val="20"/>
                <w:color w:val="auto"/>
              </w:rPr>
            </w:pPr>
            <w:r>
              <w:rPr>
                <w:rFonts w:ascii="Arial" w:cs="Arial" w:eastAsia="Arial" w:hAnsi="Arial"/>
                <w:sz w:val="22"/>
                <w:szCs w:val="22"/>
                <w:color w:val="auto"/>
                <w:w w:val="90"/>
              </w:rPr>
              <w:t>Number:</w:t>
            </w:r>
          </w:p>
        </w:tc>
        <w:tc>
          <w:tcPr>
            <w:tcW w:w="1920" w:type="dxa"/>
            <w:vAlign w:val="bottom"/>
            <w:tcBorders>
              <w:right w:val="single" w:sz="8" w:color="auto"/>
            </w:tcBorders>
          </w:tcPr>
          <w:p>
            <w:pPr>
              <w:jc w:val="center"/>
              <w:ind w:left="172"/>
              <w:spacing w:after="0"/>
              <w:rPr>
                <w:sz w:val="20"/>
                <w:szCs w:val="20"/>
                <w:color w:val="auto"/>
              </w:rPr>
            </w:pPr>
            <w:r>
              <w:rPr>
                <w:rFonts w:ascii="Arial" w:cs="Arial" w:eastAsia="Arial" w:hAnsi="Arial"/>
                <w:sz w:val="22"/>
                <w:szCs w:val="22"/>
                <w:color w:val="auto"/>
                <w:w w:val="91"/>
              </w:rPr>
              <w:t>country of</w:t>
            </w:r>
          </w:p>
        </w:tc>
        <w:tc>
          <w:tcPr>
            <w:tcW w:w="1580" w:type="dxa"/>
            <w:vAlign w:val="bottom"/>
            <w:tcBorders>
              <w:right w:val="single" w:sz="8" w:color="auto"/>
            </w:tcBorders>
          </w:tcPr>
          <w:p>
            <w:pPr>
              <w:jc w:val="center"/>
              <w:ind w:left="112"/>
              <w:spacing w:after="0"/>
              <w:rPr>
                <w:sz w:val="20"/>
                <w:szCs w:val="20"/>
                <w:color w:val="auto"/>
              </w:rPr>
            </w:pPr>
            <w:r>
              <w:rPr>
                <w:rFonts w:ascii="Arial" w:cs="Arial" w:eastAsia="Arial" w:hAnsi="Arial"/>
                <w:sz w:val="22"/>
                <w:szCs w:val="22"/>
                <w:color w:val="auto"/>
                <w:w w:val="90"/>
              </w:rPr>
              <w:t>ownership,</w:t>
            </w: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jc w:val="center"/>
              <w:ind w:left="172"/>
              <w:spacing w:after="0"/>
              <w:rPr>
                <w:sz w:val="20"/>
                <w:szCs w:val="20"/>
                <w:color w:val="auto"/>
              </w:rPr>
            </w:pPr>
            <w:r>
              <w:rPr>
                <w:rFonts w:ascii="Arial" w:cs="Arial" w:eastAsia="Arial" w:hAnsi="Arial"/>
                <w:sz w:val="22"/>
                <w:szCs w:val="22"/>
                <w:color w:val="auto"/>
                <w:w w:val="90"/>
              </w:rPr>
              <w:t>(non-US</w:t>
            </w:r>
          </w:p>
        </w:tc>
        <w:tc>
          <w:tcPr>
            <w:tcW w:w="1920" w:type="dxa"/>
            <w:vAlign w:val="bottom"/>
            <w:tcBorders>
              <w:right w:val="single" w:sz="8" w:color="auto"/>
            </w:tcBorders>
          </w:tcPr>
          <w:p>
            <w:pPr>
              <w:jc w:val="center"/>
              <w:ind w:left="172"/>
              <w:spacing w:after="0"/>
              <w:rPr>
                <w:sz w:val="20"/>
                <w:szCs w:val="20"/>
                <w:color w:val="auto"/>
              </w:rPr>
            </w:pPr>
            <w:r>
              <w:rPr>
                <w:rFonts w:ascii="Arial" w:cs="Arial" w:eastAsia="Arial" w:hAnsi="Arial"/>
                <w:sz w:val="22"/>
                <w:szCs w:val="22"/>
                <w:color w:val="auto"/>
                <w:w w:val="86"/>
              </w:rPr>
              <w:t>issuance,</w:t>
            </w:r>
          </w:p>
        </w:tc>
        <w:tc>
          <w:tcPr>
            <w:tcW w:w="1580" w:type="dxa"/>
            <w:vAlign w:val="bottom"/>
            <w:tcBorders>
              <w:right w:val="single" w:sz="8" w:color="auto"/>
            </w:tcBorders>
          </w:tcPr>
          <w:p>
            <w:pPr>
              <w:jc w:val="center"/>
              <w:ind w:left="112"/>
              <w:spacing w:after="0"/>
              <w:rPr>
                <w:sz w:val="20"/>
                <w:szCs w:val="20"/>
                <w:color w:val="auto"/>
              </w:rPr>
            </w:pPr>
            <w:r>
              <w:rPr>
                <w:rFonts w:ascii="Arial" w:cs="Arial" w:eastAsia="Arial" w:hAnsi="Arial"/>
                <w:sz w:val="22"/>
                <w:szCs w:val="22"/>
                <w:color w:val="auto"/>
                <w:w w:val="91"/>
              </w:rPr>
              <w:t>explain</w:t>
            </w: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jc w:val="center"/>
              <w:ind w:left="172"/>
              <w:spacing w:after="0"/>
              <w:rPr>
                <w:sz w:val="20"/>
                <w:szCs w:val="20"/>
                <w:color w:val="auto"/>
              </w:rPr>
            </w:pPr>
            <w:r>
              <w:rPr>
                <w:rFonts w:ascii="Arial" w:cs="Arial" w:eastAsia="Arial" w:hAnsi="Arial"/>
                <w:sz w:val="22"/>
                <w:szCs w:val="22"/>
                <w:color w:val="auto"/>
                <w:w w:val="84"/>
              </w:rPr>
              <w:t>persons</w:t>
            </w:r>
          </w:p>
        </w:tc>
        <w:tc>
          <w:tcPr>
            <w:tcW w:w="1920" w:type="dxa"/>
            <w:vAlign w:val="bottom"/>
            <w:tcBorders>
              <w:right w:val="single" w:sz="8" w:color="auto"/>
            </w:tcBorders>
          </w:tcPr>
          <w:p>
            <w:pPr>
              <w:jc w:val="center"/>
              <w:ind w:left="172"/>
              <w:spacing w:after="0"/>
              <w:rPr>
                <w:sz w:val="20"/>
                <w:szCs w:val="20"/>
                <w:color w:val="auto"/>
              </w:rPr>
            </w:pPr>
            <w:r>
              <w:rPr>
                <w:rFonts w:ascii="Arial" w:cs="Arial" w:eastAsia="Arial" w:hAnsi="Arial"/>
                <w:sz w:val="22"/>
                <w:szCs w:val="22"/>
                <w:color w:val="auto"/>
                <w:w w:val="88"/>
              </w:rPr>
              <w:t>expiration date</w:t>
            </w:r>
          </w:p>
        </w:tc>
        <w:tc>
          <w:tcPr>
            <w:tcW w:w="1580" w:type="dxa"/>
            <w:vAlign w:val="bottom"/>
            <w:tcBorders>
              <w:right w:val="single" w:sz="8" w:color="auto"/>
            </w:tcBorders>
          </w:tcPr>
          <w:p>
            <w:pPr>
              <w:jc w:val="center"/>
              <w:ind w:left="112"/>
              <w:spacing w:after="0"/>
              <w:rPr>
                <w:sz w:val="20"/>
                <w:szCs w:val="20"/>
                <w:color w:val="auto"/>
              </w:rPr>
            </w:pPr>
            <w:r>
              <w:rPr>
                <w:rFonts w:ascii="Arial" w:cs="Arial" w:eastAsia="Arial" w:hAnsi="Arial"/>
                <w:sz w:val="22"/>
                <w:szCs w:val="22"/>
                <w:color w:val="auto"/>
                <w:w w:val="90"/>
              </w:rPr>
              <w:t>structure)</w:t>
            </w: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jc w:val="center"/>
              <w:ind w:left="172"/>
              <w:spacing w:after="0"/>
              <w:rPr>
                <w:sz w:val="20"/>
                <w:szCs w:val="20"/>
                <w:color w:val="auto"/>
              </w:rPr>
            </w:pPr>
            <w:r>
              <w:rPr>
                <w:rFonts w:ascii="Arial" w:cs="Arial" w:eastAsia="Arial" w:hAnsi="Arial"/>
                <w:sz w:val="22"/>
                <w:szCs w:val="22"/>
                <w:color w:val="auto"/>
                <w:w w:val="89"/>
              </w:rPr>
              <w:t>should</w:t>
            </w:r>
          </w:p>
        </w:tc>
        <w:tc>
          <w:tcPr>
            <w:tcW w:w="19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r>
      <w:tr>
        <w:trPr>
          <w:trHeight w:val="284"/>
        </w:trPr>
        <w:tc>
          <w:tcPr>
            <w:tcW w:w="620" w:type="dxa"/>
            <w:vAlign w:val="bottom"/>
            <w:tcBorders>
              <w:left w:val="single" w:sz="8" w:color="auto"/>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jc w:val="center"/>
              <w:ind w:left="192"/>
              <w:spacing w:after="0"/>
              <w:rPr>
                <w:sz w:val="20"/>
                <w:szCs w:val="20"/>
                <w:color w:val="auto"/>
              </w:rPr>
            </w:pPr>
            <w:r>
              <w:rPr>
                <w:rFonts w:ascii="Arial" w:cs="Arial" w:eastAsia="Arial" w:hAnsi="Arial"/>
                <w:sz w:val="22"/>
                <w:szCs w:val="22"/>
                <w:color w:val="auto"/>
                <w:w w:val="90"/>
              </w:rPr>
              <w:t>provide SSN</w:t>
            </w:r>
          </w:p>
        </w:tc>
        <w:tc>
          <w:tcPr>
            <w:tcW w:w="19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r>
      <w:tr>
        <w:trPr>
          <w:trHeight w:val="294"/>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jc w:val="center"/>
              <w:ind w:left="192"/>
              <w:spacing w:after="0"/>
              <w:rPr>
                <w:sz w:val="20"/>
                <w:szCs w:val="20"/>
                <w:color w:val="auto"/>
              </w:rPr>
            </w:pPr>
            <w:r>
              <w:rPr>
                <w:rFonts w:ascii="Arial" w:cs="Arial" w:eastAsia="Arial" w:hAnsi="Arial"/>
                <w:sz w:val="22"/>
                <w:szCs w:val="22"/>
                <w:color w:val="auto"/>
                <w:w w:val="93"/>
              </w:rPr>
              <w:t>if available)</w:t>
            </w:r>
          </w:p>
        </w:tc>
        <w:tc>
          <w:tcPr>
            <w:tcW w:w="19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79"/>
        </w:trPr>
        <w:tc>
          <w:tcPr>
            <w:tcW w:w="620" w:type="dxa"/>
            <w:vAlign w:val="bottom"/>
            <w:tcBorders>
              <w:left w:val="single" w:sz="8" w:color="auto"/>
              <w:bottom w:val="single" w:sz="8" w:color="auto"/>
              <w:right w:val="single" w:sz="8" w:color="auto"/>
            </w:tcBorders>
          </w:tcPr>
          <w:p>
            <w:pPr>
              <w:jc w:val="right"/>
              <w:ind w:right="332"/>
              <w:spacing w:after="0"/>
              <w:rPr>
                <w:sz w:val="20"/>
                <w:szCs w:val="20"/>
                <w:color w:val="auto"/>
              </w:rPr>
            </w:pPr>
            <w:r>
              <w:rPr>
                <w:rFonts w:ascii="Arial" w:cs="Arial" w:eastAsia="Arial" w:hAnsi="Arial"/>
                <w:sz w:val="22"/>
                <w:szCs w:val="22"/>
                <w:color w:val="auto"/>
              </w:rPr>
              <w:t>1</w:t>
            </w:r>
          </w:p>
        </w:tc>
        <w:tc>
          <w:tcPr>
            <w:tcW w:w="136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77"/>
        </w:trPr>
        <w:tc>
          <w:tcPr>
            <w:tcW w:w="620" w:type="dxa"/>
            <w:vAlign w:val="bottom"/>
            <w:tcBorders>
              <w:left w:val="single" w:sz="8" w:color="auto"/>
              <w:bottom w:val="single" w:sz="8" w:color="auto"/>
              <w:right w:val="single" w:sz="8" w:color="auto"/>
            </w:tcBorders>
          </w:tcPr>
          <w:p>
            <w:pPr>
              <w:jc w:val="right"/>
              <w:ind w:right="332"/>
              <w:spacing w:after="0"/>
              <w:rPr>
                <w:sz w:val="20"/>
                <w:szCs w:val="20"/>
                <w:color w:val="auto"/>
              </w:rPr>
            </w:pPr>
            <w:r>
              <w:rPr>
                <w:rFonts w:ascii="Arial" w:cs="Arial" w:eastAsia="Arial" w:hAnsi="Arial"/>
                <w:sz w:val="22"/>
                <w:szCs w:val="22"/>
                <w:color w:val="auto"/>
              </w:rPr>
              <w:t>2</w:t>
            </w:r>
          </w:p>
        </w:tc>
        <w:tc>
          <w:tcPr>
            <w:tcW w:w="136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77"/>
        </w:trPr>
        <w:tc>
          <w:tcPr>
            <w:tcW w:w="620" w:type="dxa"/>
            <w:vAlign w:val="bottom"/>
            <w:tcBorders>
              <w:left w:val="single" w:sz="8" w:color="auto"/>
              <w:bottom w:val="single" w:sz="8" w:color="auto"/>
              <w:right w:val="single" w:sz="8" w:color="auto"/>
            </w:tcBorders>
          </w:tcPr>
          <w:p>
            <w:pPr>
              <w:jc w:val="right"/>
              <w:ind w:right="332"/>
              <w:spacing w:after="0"/>
              <w:rPr>
                <w:sz w:val="20"/>
                <w:szCs w:val="20"/>
                <w:color w:val="auto"/>
              </w:rPr>
            </w:pPr>
            <w:r>
              <w:rPr>
                <w:rFonts w:ascii="Arial" w:cs="Arial" w:eastAsia="Arial" w:hAnsi="Arial"/>
                <w:sz w:val="22"/>
                <w:szCs w:val="22"/>
                <w:color w:val="auto"/>
              </w:rPr>
              <w:t>3</w:t>
            </w:r>
          </w:p>
        </w:tc>
        <w:tc>
          <w:tcPr>
            <w:tcW w:w="136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77"/>
        </w:trPr>
        <w:tc>
          <w:tcPr>
            <w:tcW w:w="620" w:type="dxa"/>
            <w:vAlign w:val="bottom"/>
            <w:tcBorders>
              <w:left w:val="single" w:sz="8" w:color="auto"/>
              <w:bottom w:val="single" w:sz="8" w:color="auto"/>
              <w:right w:val="single" w:sz="8" w:color="auto"/>
            </w:tcBorders>
          </w:tcPr>
          <w:p>
            <w:pPr>
              <w:jc w:val="right"/>
              <w:ind w:right="332"/>
              <w:spacing w:after="0"/>
              <w:rPr>
                <w:sz w:val="20"/>
                <w:szCs w:val="20"/>
                <w:color w:val="auto"/>
              </w:rPr>
            </w:pPr>
            <w:r>
              <w:rPr>
                <w:rFonts w:ascii="Arial" w:cs="Arial" w:eastAsia="Arial" w:hAnsi="Arial"/>
                <w:sz w:val="22"/>
                <w:szCs w:val="22"/>
                <w:color w:val="auto"/>
              </w:rPr>
              <w:t>4</w:t>
            </w:r>
          </w:p>
        </w:tc>
        <w:tc>
          <w:tcPr>
            <w:tcW w:w="136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jc w:val="both"/>
        <w:ind w:left="321" w:hanging="321"/>
        <w:spacing w:after="0" w:line="287" w:lineRule="auto"/>
        <w:tabs>
          <w:tab w:leader="none" w:pos="326" w:val="left"/>
        </w:tabs>
        <w:numPr>
          <w:ilvl w:val="0"/>
          <w:numId w:val="37"/>
        </w:numPr>
        <w:rPr>
          <w:rFonts w:ascii="Arial" w:cs="Arial" w:eastAsia="Arial" w:hAnsi="Arial"/>
          <w:sz w:val="19"/>
          <w:szCs w:val="19"/>
          <w:color w:val="auto"/>
        </w:rPr>
      </w:pPr>
      <w:r>
        <w:rPr>
          <w:rFonts w:ascii="Arial" w:cs="Arial" w:eastAsia="Arial" w:hAnsi="Arial"/>
          <w:sz w:val="19"/>
          <w:szCs w:val="19"/>
          <w:color w:val="auto"/>
        </w:rPr>
        <w:t>Identify one individual with significant responsibility for managing Borrower, i.e., an executive officer or senior manager (e.g., Chief Executive Officer, President, Vice President, Chief Financial Officer, Treasurer, Chief Operating Officer, Managing Member or General Partner) or any other individual who regularly performs similar functions. If appropriate, an individual listed in Section 1 above may also be listed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104775</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85" w:name="page86"/>
    <w:bookmarkEnd w:id="85"/>
    <w:tbl>
      <w:tblPr>
        <w:tblLayout w:type="fixed"/>
        <w:tblInd w:w="10" w:type="dxa"/>
        <w:tblCellMar>
          <w:top w:w="0" w:type="dxa"/>
          <w:left w:w="0" w:type="dxa"/>
          <w:bottom w:w="0" w:type="dxa"/>
          <w:right w:w="0" w:type="dxa"/>
        </w:tblCellMar>
      </w:tblPr>
      <w:tr>
        <w:trPr>
          <w:trHeight w:val="288"/>
        </w:trPr>
        <w:tc>
          <w:tcPr>
            <w:tcW w:w="1000" w:type="dxa"/>
            <w:vAlign w:val="bottom"/>
            <w:tcBorders>
              <w:top w:val="single" w:sz="8" w:color="auto"/>
              <w:left w:val="single" w:sz="8" w:color="auto"/>
              <w:right w:val="single" w:sz="8" w:color="auto"/>
            </w:tcBorders>
          </w:tcPr>
          <w:p>
            <w:pPr>
              <w:spacing w:after="0"/>
              <w:rPr>
                <w:sz w:val="24"/>
                <w:szCs w:val="24"/>
                <w:color w:val="auto"/>
              </w:rPr>
            </w:pPr>
          </w:p>
        </w:tc>
        <w:tc>
          <w:tcPr>
            <w:tcW w:w="130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22"/>
                <w:szCs w:val="22"/>
                <w:color w:val="auto"/>
              </w:rPr>
              <w:t>Name</w:t>
            </w:r>
          </w:p>
        </w:tc>
        <w:tc>
          <w:tcPr>
            <w:tcW w:w="1400" w:type="dxa"/>
            <w:vAlign w:val="bottom"/>
            <w:tcBorders>
              <w:top w:val="single" w:sz="8" w:color="auto"/>
              <w:right w:val="single" w:sz="8" w:color="auto"/>
            </w:tcBorders>
          </w:tcPr>
          <w:p>
            <w:pPr>
              <w:jc w:val="center"/>
              <w:ind w:left="152"/>
              <w:spacing w:after="0"/>
              <w:rPr>
                <w:sz w:val="20"/>
                <w:szCs w:val="20"/>
                <w:color w:val="auto"/>
              </w:rPr>
            </w:pPr>
            <w:r>
              <w:rPr>
                <w:rFonts w:ascii="Arial" w:cs="Arial" w:eastAsia="Arial" w:hAnsi="Arial"/>
                <w:sz w:val="22"/>
                <w:szCs w:val="22"/>
                <w:color w:val="auto"/>
                <w:w w:val="92"/>
              </w:rPr>
              <w:t>Date of</w:t>
            </w:r>
          </w:p>
        </w:tc>
        <w:tc>
          <w:tcPr>
            <w:tcW w:w="1960" w:type="dxa"/>
            <w:vAlign w:val="bottom"/>
            <w:tcBorders>
              <w:top w:val="single" w:sz="8" w:color="auto"/>
              <w:right w:val="single" w:sz="8" w:color="auto"/>
            </w:tcBorders>
          </w:tcPr>
          <w:p>
            <w:pPr>
              <w:jc w:val="center"/>
              <w:ind w:left="232"/>
              <w:spacing w:after="0"/>
              <w:rPr>
                <w:sz w:val="20"/>
                <w:szCs w:val="20"/>
                <w:color w:val="auto"/>
              </w:rPr>
            </w:pPr>
            <w:r>
              <w:rPr>
                <w:rFonts w:ascii="Arial" w:cs="Arial" w:eastAsia="Arial" w:hAnsi="Arial"/>
                <w:sz w:val="22"/>
                <w:szCs w:val="22"/>
                <w:color w:val="auto"/>
                <w:w w:val="90"/>
              </w:rPr>
              <w:t>Residential</w:t>
            </w:r>
          </w:p>
        </w:tc>
        <w:tc>
          <w:tcPr>
            <w:tcW w:w="2260" w:type="dxa"/>
            <w:vAlign w:val="bottom"/>
            <w:tcBorders>
              <w:top w:val="single" w:sz="8" w:color="auto"/>
              <w:right w:val="single" w:sz="8" w:color="auto"/>
            </w:tcBorders>
          </w:tcPr>
          <w:p>
            <w:pPr>
              <w:jc w:val="center"/>
              <w:ind w:left="152"/>
              <w:spacing w:after="0"/>
              <w:rPr>
                <w:sz w:val="20"/>
                <w:szCs w:val="20"/>
                <w:color w:val="auto"/>
              </w:rPr>
            </w:pPr>
            <w:r>
              <w:rPr>
                <w:rFonts w:ascii="Arial" w:cs="Arial" w:eastAsia="Arial" w:hAnsi="Arial"/>
                <w:sz w:val="22"/>
                <w:szCs w:val="22"/>
                <w:color w:val="auto"/>
                <w:w w:val="86"/>
              </w:rPr>
              <w:t>For US Persons,</w:t>
            </w:r>
          </w:p>
        </w:tc>
        <w:tc>
          <w:tcPr>
            <w:tcW w:w="2160" w:type="dxa"/>
            <w:vAlign w:val="bottom"/>
            <w:tcBorders>
              <w:top w:val="single" w:sz="8" w:color="auto"/>
              <w:right w:val="single" w:sz="8" w:color="auto"/>
            </w:tcBorders>
          </w:tcPr>
          <w:p>
            <w:pPr>
              <w:jc w:val="center"/>
              <w:ind w:left="132"/>
              <w:spacing w:after="0"/>
              <w:rPr>
                <w:sz w:val="20"/>
                <w:szCs w:val="20"/>
                <w:color w:val="auto"/>
              </w:rPr>
            </w:pPr>
            <w:r>
              <w:rPr>
                <w:rFonts w:ascii="Arial" w:cs="Arial" w:eastAsia="Arial" w:hAnsi="Arial"/>
                <w:sz w:val="22"/>
                <w:szCs w:val="22"/>
                <w:color w:val="auto"/>
                <w:w w:val="91"/>
              </w:rPr>
              <w:t>For Non-US</w:t>
            </w:r>
          </w:p>
        </w:tc>
      </w:tr>
      <w:tr>
        <w:trPr>
          <w:trHeight w:val="276"/>
        </w:trPr>
        <w:tc>
          <w:tcPr>
            <w:tcW w:w="1000" w:type="dxa"/>
            <w:vAlign w:val="bottom"/>
            <w:tcBorders>
              <w:left w:val="single" w:sz="8" w:color="auto"/>
              <w:right w:val="single" w:sz="8" w:color="auto"/>
            </w:tcBorders>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1400" w:type="dxa"/>
            <w:vAlign w:val="bottom"/>
            <w:tcBorders>
              <w:right w:val="single" w:sz="8" w:color="auto"/>
            </w:tcBorders>
          </w:tcPr>
          <w:p>
            <w:pPr>
              <w:jc w:val="center"/>
              <w:ind w:left="152"/>
              <w:spacing w:after="0"/>
              <w:rPr>
                <w:sz w:val="20"/>
                <w:szCs w:val="20"/>
                <w:color w:val="auto"/>
              </w:rPr>
            </w:pPr>
            <w:r>
              <w:rPr>
                <w:rFonts w:ascii="Arial" w:cs="Arial" w:eastAsia="Arial" w:hAnsi="Arial"/>
                <w:sz w:val="22"/>
                <w:szCs w:val="22"/>
                <w:color w:val="auto"/>
                <w:w w:val="98"/>
              </w:rPr>
              <w:t>birth</w:t>
            </w:r>
          </w:p>
        </w:tc>
        <w:tc>
          <w:tcPr>
            <w:tcW w:w="1960" w:type="dxa"/>
            <w:vAlign w:val="bottom"/>
            <w:tcBorders>
              <w:right w:val="single" w:sz="8" w:color="auto"/>
            </w:tcBorders>
          </w:tcPr>
          <w:p>
            <w:pPr>
              <w:jc w:val="center"/>
              <w:ind w:left="232"/>
              <w:spacing w:after="0"/>
              <w:rPr>
                <w:sz w:val="20"/>
                <w:szCs w:val="20"/>
                <w:color w:val="auto"/>
              </w:rPr>
            </w:pPr>
            <w:r>
              <w:rPr>
                <w:rFonts w:ascii="Arial" w:cs="Arial" w:eastAsia="Arial" w:hAnsi="Arial"/>
                <w:sz w:val="22"/>
                <w:szCs w:val="22"/>
                <w:color w:val="auto"/>
                <w:w w:val="84"/>
              </w:rPr>
              <w:t>address</w:t>
            </w:r>
          </w:p>
        </w:tc>
        <w:tc>
          <w:tcPr>
            <w:tcW w:w="2260" w:type="dxa"/>
            <w:vAlign w:val="bottom"/>
            <w:tcBorders>
              <w:right w:val="single" w:sz="8" w:color="auto"/>
            </w:tcBorders>
          </w:tcPr>
          <w:p>
            <w:pPr>
              <w:jc w:val="center"/>
              <w:ind w:left="152"/>
              <w:spacing w:after="0"/>
              <w:rPr>
                <w:sz w:val="20"/>
                <w:szCs w:val="20"/>
                <w:color w:val="auto"/>
              </w:rPr>
            </w:pPr>
            <w:r>
              <w:rPr>
                <w:rFonts w:ascii="Arial" w:cs="Arial" w:eastAsia="Arial" w:hAnsi="Arial"/>
                <w:sz w:val="22"/>
                <w:szCs w:val="22"/>
                <w:color w:val="auto"/>
                <w:w w:val="90"/>
              </w:rPr>
              <w:t>Social Security</w:t>
            </w:r>
          </w:p>
        </w:tc>
        <w:tc>
          <w:tcPr>
            <w:tcW w:w="2160" w:type="dxa"/>
            <w:vAlign w:val="bottom"/>
            <w:tcBorders>
              <w:right w:val="single" w:sz="8" w:color="auto"/>
            </w:tcBorders>
          </w:tcPr>
          <w:p>
            <w:pPr>
              <w:jc w:val="center"/>
              <w:ind w:left="132"/>
              <w:spacing w:after="0"/>
              <w:rPr>
                <w:sz w:val="20"/>
                <w:szCs w:val="20"/>
                <w:color w:val="auto"/>
              </w:rPr>
            </w:pPr>
            <w:r>
              <w:rPr>
                <w:rFonts w:ascii="Arial" w:cs="Arial" w:eastAsia="Arial" w:hAnsi="Arial"/>
                <w:sz w:val="22"/>
                <w:szCs w:val="22"/>
                <w:color w:val="auto"/>
                <w:w w:val="86"/>
              </w:rPr>
              <w:t>Persons: Type of</w:t>
            </w:r>
          </w:p>
        </w:tc>
      </w:tr>
      <w:tr>
        <w:trPr>
          <w:trHeight w:val="284"/>
        </w:trPr>
        <w:tc>
          <w:tcPr>
            <w:tcW w:w="1000" w:type="dxa"/>
            <w:vAlign w:val="bottom"/>
            <w:tcBorders>
              <w:left w:val="single" w:sz="8" w:color="auto"/>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jc w:val="center"/>
              <w:ind w:left="152"/>
              <w:spacing w:after="0"/>
              <w:rPr>
                <w:sz w:val="20"/>
                <w:szCs w:val="20"/>
                <w:color w:val="auto"/>
              </w:rPr>
            </w:pPr>
            <w:r>
              <w:rPr>
                <w:rFonts w:ascii="Arial" w:cs="Arial" w:eastAsia="Arial" w:hAnsi="Arial"/>
                <w:sz w:val="22"/>
                <w:szCs w:val="22"/>
                <w:color w:val="auto"/>
                <w:w w:val="90"/>
              </w:rPr>
              <w:t>Number:</w:t>
            </w:r>
          </w:p>
        </w:tc>
        <w:tc>
          <w:tcPr>
            <w:tcW w:w="2160" w:type="dxa"/>
            <w:vAlign w:val="bottom"/>
            <w:tcBorders>
              <w:right w:val="single" w:sz="8" w:color="auto"/>
            </w:tcBorders>
          </w:tcPr>
          <w:p>
            <w:pPr>
              <w:jc w:val="center"/>
              <w:ind w:left="132"/>
              <w:spacing w:after="0"/>
              <w:rPr>
                <w:sz w:val="20"/>
                <w:szCs w:val="20"/>
                <w:color w:val="auto"/>
              </w:rPr>
            </w:pPr>
            <w:r>
              <w:rPr>
                <w:rFonts w:ascii="Arial" w:cs="Arial" w:eastAsia="Arial" w:hAnsi="Arial"/>
                <w:sz w:val="22"/>
                <w:szCs w:val="22"/>
                <w:color w:val="auto"/>
                <w:w w:val="92"/>
              </w:rPr>
              <w:t>ID, ID number,</w:t>
            </w:r>
          </w:p>
        </w:tc>
      </w:tr>
      <w:tr>
        <w:trPr>
          <w:trHeight w:val="284"/>
        </w:trPr>
        <w:tc>
          <w:tcPr>
            <w:tcW w:w="1000" w:type="dxa"/>
            <w:vAlign w:val="bottom"/>
            <w:tcBorders>
              <w:left w:val="single" w:sz="8" w:color="auto"/>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jc w:val="center"/>
              <w:ind w:left="172"/>
              <w:spacing w:after="0"/>
              <w:rPr>
                <w:sz w:val="20"/>
                <w:szCs w:val="20"/>
                <w:color w:val="auto"/>
              </w:rPr>
            </w:pPr>
            <w:r>
              <w:rPr>
                <w:rFonts w:ascii="Arial" w:cs="Arial" w:eastAsia="Arial" w:hAnsi="Arial"/>
                <w:sz w:val="22"/>
                <w:szCs w:val="22"/>
                <w:color w:val="auto"/>
                <w:w w:val="87"/>
              </w:rPr>
              <w:t>(non-US persons</w:t>
            </w:r>
          </w:p>
        </w:tc>
        <w:tc>
          <w:tcPr>
            <w:tcW w:w="2160" w:type="dxa"/>
            <w:vAlign w:val="bottom"/>
            <w:tcBorders>
              <w:right w:val="single" w:sz="8" w:color="auto"/>
            </w:tcBorders>
          </w:tcPr>
          <w:p>
            <w:pPr>
              <w:jc w:val="center"/>
              <w:ind w:left="132"/>
              <w:spacing w:after="0"/>
              <w:rPr>
                <w:sz w:val="20"/>
                <w:szCs w:val="20"/>
                <w:color w:val="auto"/>
              </w:rPr>
            </w:pPr>
            <w:r>
              <w:rPr>
                <w:rFonts w:ascii="Arial" w:cs="Arial" w:eastAsia="Arial" w:hAnsi="Arial"/>
                <w:sz w:val="22"/>
                <w:szCs w:val="22"/>
                <w:color w:val="auto"/>
                <w:w w:val="91"/>
              </w:rPr>
              <w:t>country of</w:t>
            </w:r>
          </w:p>
        </w:tc>
      </w:tr>
      <w:tr>
        <w:trPr>
          <w:trHeight w:val="284"/>
        </w:trPr>
        <w:tc>
          <w:tcPr>
            <w:tcW w:w="1000" w:type="dxa"/>
            <w:vAlign w:val="bottom"/>
            <w:tcBorders>
              <w:left w:val="single" w:sz="8" w:color="auto"/>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jc w:val="center"/>
              <w:ind w:left="172"/>
              <w:spacing w:after="0"/>
              <w:rPr>
                <w:sz w:val="20"/>
                <w:szCs w:val="20"/>
                <w:color w:val="auto"/>
              </w:rPr>
            </w:pPr>
            <w:r>
              <w:rPr>
                <w:rFonts w:ascii="Arial" w:cs="Arial" w:eastAsia="Arial" w:hAnsi="Arial"/>
                <w:sz w:val="22"/>
                <w:szCs w:val="22"/>
                <w:color w:val="auto"/>
                <w:w w:val="89"/>
              </w:rPr>
              <w:t>should provide SSN</w:t>
            </w:r>
          </w:p>
        </w:tc>
        <w:tc>
          <w:tcPr>
            <w:tcW w:w="2160" w:type="dxa"/>
            <w:vAlign w:val="bottom"/>
            <w:tcBorders>
              <w:right w:val="single" w:sz="8" w:color="auto"/>
            </w:tcBorders>
          </w:tcPr>
          <w:p>
            <w:pPr>
              <w:jc w:val="center"/>
              <w:ind w:left="132"/>
              <w:spacing w:after="0"/>
              <w:rPr>
                <w:sz w:val="20"/>
                <w:szCs w:val="20"/>
                <w:color w:val="auto"/>
              </w:rPr>
            </w:pPr>
            <w:r>
              <w:rPr>
                <w:rFonts w:ascii="Arial" w:cs="Arial" w:eastAsia="Arial" w:hAnsi="Arial"/>
                <w:sz w:val="22"/>
                <w:szCs w:val="22"/>
                <w:color w:val="auto"/>
                <w:w w:val="86"/>
              </w:rPr>
              <w:t>issuance,</w:t>
            </w:r>
          </w:p>
        </w:tc>
      </w:tr>
      <w:tr>
        <w:trPr>
          <w:trHeight w:val="294"/>
        </w:trPr>
        <w:tc>
          <w:tcPr>
            <w:tcW w:w="100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jc w:val="center"/>
              <w:ind w:left="152"/>
              <w:spacing w:after="0"/>
              <w:rPr>
                <w:sz w:val="20"/>
                <w:szCs w:val="20"/>
                <w:color w:val="auto"/>
              </w:rPr>
            </w:pPr>
            <w:r>
              <w:rPr>
                <w:rFonts w:ascii="Arial" w:cs="Arial" w:eastAsia="Arial" w:hAnsi="Arial"/>
                <w:sz w:val="22"/>
                <w:szCs w:val="22"/>
                <w:color w:val="auto"/>
                <w:w w:val="93"/>
              </w:rPr>
              <w:t>if available)</w:t>
            </w:r>
          </w:p>
        </w:tc>
        <w:tc>
          <w:tcPr>
            <w:tcW w:w="216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22"/>
                <w:szCs w:val="22"/>
                <w:color w:val="auto"/>
                <w:w w:val="88"/>
              </w:rPr>
              <w:t>expiration date</w:t>
            </w:r>
          </w:p>
        </w:tc>
      </w:tr>
      <w:tr>
        <w:trPr>
          <w:trHeight w:val="284"/>
        </w:trPr>
        <w:tc>
          <w:tcPr>
            <w:tcW w:w="1000" w:type="dxa"/>
            <w:vAlign w:val="bottom"/>
            <w:tcBorders>
              <w:left w:val="single" w:sz="8" w:color="auto"/>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i w:val="1"/>
          <w:iCs w:val="1"/>
          <w:color w:val="auto"/>
        </w:rPr>
        <w:t>The undersigned, in his or her individual capacity, hereby certifies, to the best of his or her knowledge, that the information set out in this certificate is true, complete and correct.</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161925</wp:posOffset>
            </wp:positionV>
            <wp:extent cx="51111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5111115" cy="8890"/>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7620</wp:posOffset>
            </wp:positionV>
            <wp:extent cx="48025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48025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-158115</wp:posOffset>
            </wp:positionV>
            <wp:extent cx="2718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-157480</wp:posOffset>
            </wp:positionV>
            <wp:extent cx="2718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22"/>
          <w:szCs w:val="22"/>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-157480</wp:posOffset>
            </wp:positionV>
            <wp:extent cx="2718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22"/>
          <w:szCs w:val="22"/>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4445</wp:posOffset>
            </wp:positionV>
            <wp:extent cx="2718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2718435" cy="8890"/>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-157480</wp:posOffset>
            </wp:positionV>
            <wp:extent cx="2718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2718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287655</wp:posOffset>
            </wp:positionV>
            <wp:extent cx="63887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9" w:right="91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10.3</w:t>
      </w:r>
    </w:p>
    <w:p>
      <w:pPr>
        <w:spacing w:after="0"/>
        <w:rPr>
          <w:sz w:val="20"/>
          <w:szCs w:val="20"/>
          <w:color w:val="auto"/>
        </w:rPr>
      </w:pPr>
      <w:r>
        <w:rPr>
          <w:rFonts w:ascii="Arial" w:cs="Arial" w:eastAsia="Arial" w:hAnsi="Arial"/>
          <w:sz w:val="22"/>
          <w:szCs w:val="22"/>
          <w:color w:val="auto"/>
        </w:rPr>
        <w:t>June 6, 2018</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Patrick Patla</w:t>
      </w:r>
    </w:p>
    <w:p>
      <w:pPr>
        <w:spacing w:after="0" w:line="205" w:lineRule="auto"/>
        <w:rPr>
          <w:sz w:val="20"/>
          <w:szCs w:val="20"/>
          <w:color w:val="auto"/>
        </w:rPr>
      </w:pPr>
      <w:r>
        <w:rPr>
          <w:rFonts w:ascii="Arial" w:cs="Arial" w:eastAsia="Arial" w:hAnsi="Arial"/>
          <w:sz w:val="22"/>
          <w:szCs w:val="22"/>
          <w:color w:val="auto"/>
        </w:rPr>
        <w:t>4201 Prince Andrew Lane</w:t>
      </w:r>
    </w:p>
    <w:p>
      <w:pPr>
        <w:spacing w:after="0"/>
        <w:rPr>
          <w:sz w:val="20"/>
          <w:szCs w:val="20"/>
          <w:color w:val="auto"/>
        </w:rPr>
      </w:pPr>
      <w:r>
        <w:rPr>
          <w:rFonts w:ascii="Arial" w:cs="Arial" w:eastAsia="Arial" w:hAnsi="Arial"/>
          <w:sz w:val="22"/>
          <w:szCs w:val="22"/>
          <w:color w:val="auto"/>
        </w:rPr>
        <w:t>Austin, TX 78730</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Dear Pat:</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This letter sets forth the substance of the separation agreement (the “</w:t>
      </w:r>
      <w:r>
        <w:rPr>
          <w:rFonts w:ascii="Arial" w:cs="Arial" w:eastAsia="Arial" w:hAnsi="Arial"/>
          <w:sz w:val="19"/>
          <w:szCs w:val="19"/>
          <w:b w:val="1"/>
          <w:bCs w:val="1"/>
          <w:color w:val="auto"/>
        </w:rPr>
        <w:t>Agreement</w:t>
      </w:r>
      <w:r>
        <w:rPr>
          <w:rFonts w:ascii="Arial" w:cs="Arial" w:eastAsia="Arial" w:hAnsi="Arial"/>
          <w:sz w:val="19"/>
          <w:szCs w:val="19"/>
          <w:color w:val="auto"/>
        </w:rPr>
        <w:t>”) that Everspin Technologies,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Company</w:t>
      </w:r>
      <w:r>
        <w:rPr>
          <w:rFonts w:ascii="Arial" w:cs="Arial" w:eastAsia="Arial" w:hAnsi="Arial"/>
          <w:sz w:val="22"/>
          <w:szCs w:val="22"/>
          <w:color w:val="auto"/>
        </w:rPr>
        <w:t>”) is offering to you.</w:t>
      </w:r>
    </w:p>
    <w:p>
      <w:pPr>
        <w:spacing w:after="0" w:line="15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SEPARATION</w:t>
      </w:r>
      <w:r>
        <w:rPr>
          <w:rFonts w:ascii="Arial" w:cs="Arial" w:eastAsia="Arial" w:hAnsi="Arial"/>
          <w:sz w:val="22"/>
          <w:szCs w:val="22"/>
          <w:color w:val="auto"/>
        </w:rPr>
        <w:t>. Your last day of work with the Company and your employment termination date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June 30</w:t>
      </w:r>
      <w:r>
        <w:rPr>
          <w:rFonts w:ascii="Arial" w:cs="Arial" w:eastAsia="Arial" w:hAnsi="Arial"/>
          <w:sz w:val="10"/>
          <w:szCs w:val="10"/>
          <w:color w:val="auto"/>
        </w:rPr>
        <w:t>th</w:t>
      </w:r>
      <w:r>
        <w:rPr>
          <w:rFonts w:ascii="Arial" w:cs="Arial" w:eastAsia="Arial" w:hAnsi="Arial"/>
          <w:sz w:val="22"/>
          <w:szCs w:val="22"/>
          <w:color w:val="auto"/>
        </w:rPr>
        <w:t>, 2018 (the “</w:t>
      </w:r>
      <w:r>
        <w:rPr>
          <w:rFonts w:ascii="Arial" w:cs="Arial" w:eastAsia="Arial" w:hAnsi="Arial"/>
          <w:sz w:val="22"/>
          <w:szCs w:val="22"/>
          <w:b w:val="1"/>
          <w:bCs w:val="1"/>
          <w:color w:val="auto"/>
        </w:rPr>
        <w:t>Separation Date</w:t>
      </w:r>
      <w:r>
        <w:rPr>
          <w:rFonts w:ascii="Arial" w:cs="Arial" w:eastAsia="Arial" w:hAnsi="Arial"/>
          <w:sz w:val="22"/>
          <w:szCs w:val="22"/>
          <w:color w:val="auto"/>
        </w:rPr>
        <w:t>”).</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ACCRUED SALARY. </w:t>
      </w:r>
      <w:r>
        <w:rPr>
          <w:rFonts w:ascii="Arial" w:cs="Arial" w:eastAsia="Arial" w:hAnsi="Arial"/>
          <w:sz w:val="22"/>
          <w:szCs w:val="22"/>
          <w:color w:val="auto"/>
        </w:rPr>
        <w:t>On the Separation Date, the Company will pay you all accrued salary earned</w:t>
      </w:r>
      <w:r>
        <w:rPr>
          <w:rFonts w:ascii="Arial" w:cs="Arial" w:eastAsia="Arial" w:hAnsi="Arial"/>
          <w:sz w:val="22"/>
          <w:szCs w:val="22"/>
          <w:b w:val="1"/>
          <w:bCs w:val="1"/>
          <w:color w:val="auto"/>
        </w:rPr>
        <w:t xml:space="preserve"> </w:t>
      </w:r>
      <w:r>
        <w:rPr>
          <w:rFonts w:ascii="Arial" w:cs="Arial" w:eastAsia="Arial" w:hAnsi="Arial"/>
          <w:sz w:val="22"/>
          <w:szCs w:val="22"/>
          <w:color w:val="auto"/>
        </w:rPr>
        <w:t>through the Separation Date, subject to standard payroll deductions and withholdings.</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SEVERANCE BENEFITS. </w:t>
      </w:r>
      <w:r>
        <w:rPr>
          <w:rFonts w:ascii="Arial" w:cs="Arial" w:eastAsia="Arial" w:hAnsi="Arial"/>
          <w:sz w:val="22"/>
          <w:szCs w:val="22"/>
          <w:color w:val="auto"/>
        </w:rPr>
        <w:t>If you sign this Agreement, allow it to become effective, and remain in</w:t>
      </w:r>
      <w:r>
        <w:rPr>
          <w:rFonts w:ascii="Arial" w:cs="Arial" w:eastAsia="Arial" w:hAnsi="Arial"/>
          <w:sz w:val="22"/>
          <w:szCs w:val="22"/>
          <w:b w:val="1"/>
          <w:bCs w:val="1"/>
          <w:color w:val="auto"/>
        </w:rPr>
        <w:t xml:space="preserve"> </w:t>
      </w:r>
      <w:r>
        <w:rPr>
          <w:rFonts w:ascii="Arial" w:cs="Arial" w:eastAsia="Arial" w:hAnsi="Arial"/>
          <w:sz w:val="22"/>
          <w:szCs w:val="22"/>
          <w:color w:val="auto"/>
        </w:rPr>
        <w:t>compliance with your legal and contractual obligations to the Company, then the Company will provide you with the following severance benefits in accordance with your Executive Employment Agreement with the Company dated January 9</w:t>
      </w:r>
      <w:r>
        <w:rPr>
          <w:rFonts w:ascii="Arial" w:cs="Arial" w:eastAsia="Arial" w:hAnsi="Arial"/>
          <w:sz w:val="10"/>
          <w:szCs w:val="10"/>
          <w:color w:val="auto"/>
        </w:rPr>
        <w:t>th</w:t>
      </w:r>
      <w:r>
        <w:rPr>
          <w:rFonts w:ascii="Arial" w:cs="Arial" w:eastAsia="Arial" w:hAnsi="Arial"/>
          <w:sz w:val="22"/>
          <w:szCs w:val="22"/>
          <w:color w:val="auto"/>
        </w:rPr>
        <w:t>, 2017 (the “</w:t>
      </w:r>
      <w:r>
        <w:rPr>
          <w:rFonts w:ascii="Arial" w:cs="Arial" w:eastAsia="Arial" w:hAnsi="Arial"/>
          <w:sz w:val="22"/>
          <w:szCs w:val="22"/>
          <w:b w:val="1"/>
          <w:bCs w:val="1"/>
          <w:color w:val="auto"/>
        </w:rPr>
        <w:t>Employment Agreement</w:t>
      </w:r>
      <w:r>
        <w:rPr>
          <w:rFonts w:ascii="Arial" w:cs="Arial" w:eastAsia="Arial" w:hAnsi="Arial"/>
          <w:sz w:val="22"/>
          <w:szCs w:val="22"/>
          <w:color w:val="auto"/>
        </w:rPr>
        <w:t>”):</w:t>
      </w:r>
    </w:p>
    <w:p>
      <w:pPr>
        <w:spacing w:after="0" w:line="153" w:lineRule="exact"/>
        <w:rPr>
          <w:sz w:val="20"/>
          <w:szCs w:val="20"/>
          <w:color w:val="auto"/>
        </w:rPr>
      </w:pPr>
    </w:p>
    <w:p>
      <w:pPr>
        <w:jc w:val="both"/>
        <w:ind w:firstLine="1296"/>
        <w:spacing w:after="0" w:line="213" w:lineRule="auto"/>
        <w:tabs>
          <w:tab w:leader="none" w:pos="2269"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Cash Severance. </w:t>
      </w:r>
      <w:r>
        <w:rPr>
          <w:rFonts w:ascii="Arial" w:cs="Arial" w:eastAsia="Arial" w:hAnsi="Arial"/>
          <w:sz w:val="22"/>
          <w:szCs w:val="22"/>
          <w:color w:val="auto"/>
        </w:rPr>
        <w:t>The Company will pay you a total of $130,000.00, less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withholdings, which will be paid over the course of six (6) months from the Separation Date in accordance with the Company’s regular payroll schedule; provided, however, that no payments will be made to you before August 29, 2018 (the “Payment Start Date”). On the Payment Start Date, the Company will pay you a lump sum of $43,333.33 which is equivalent to the salary continuation payments that you would have received from the Separation Date until the Payment Start Date had the Company begun making payments under this paragraph on the Separation Date.</w:t>
      </w:r>
    </w:p>
    <w:p>
      <w:pPr>
        <w:spacing w:after="0" w:line="157" w:lineRule="exact"/>
        <w:rPr>
          <w:rFonts w:ascii="Arial" w:cs="Arial" w:eastAsia="Arial" w:hAnsi="Arial"/>
          <w:sz w:val="22"/>
          <w:szCs w:val="22"/>
          <w:b w:val="1"/>
          <w:bCs w:val="1"/>
          <w:color w:val="auto"/>
        </w:rPr>
      </w:pPr>
    </w:p>
    <w:p>
      <w:pPr>
        <w:jc w:val="both"/>
        <w:ind w:firstLine="1296"/>
        <w:spacing w:after="0" w:line="223" w:lineRule="auto"/>
        <w:tabs>
          <w:tab w:leader="none" w:pos="2038"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Paid COBRA. </w:t>
      </w:r>
      <w:r>
        <w:rPr>
          <w:rFonts w:ascii="Arial" w:cs="Arial" w:eastAsia="Arial" w:hAnsi="Arial"/>
          <w:sz w:val="21"/>
          <w:szCs w:val="21"/>
          <w:color w:val="auto"/>
        </w:rPr>
        <w:t>Provided that you timely elect continued coverage under COBRA, then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shall reimburse you for the COBRA premiums to continue your health insurance coverage (including coverage for eligible dependents, if applicable) through the period starting on the Separation Date and ending on the earliest to occur of: (i) June 30, 2019; (ii) the date you become eligible for group health insurance coverage through a new employer; or (iii) the date you cease to be eligible for COBRA coverage for any reason. You must timely pay your premiums, and then provide the Company with proof of same, to obtain reimbursement for your COBRA premiums under this Section 3.b.</w:t>
      </w:r>
    </w:p>
    <w:p>
      <w:pPr>
        <w:spacing w:after="0" w:line="158" w:lineRule="exact"/>
        <w:rPr>
          <w:rFonts w:ascii="Arial" w:cs="Arial" w:eastAsia="Arial" w:hAnsi="Arial"/>
          <w:sz w:val="21"/>
          <w:szCs w:val="21"/>
          <w:b w:val="1"/>
          <w:bCs w:val="1"/>
          <w:color w:val="auto"/>
        </w:rPr>
      </w:pPr>
    </w:p>
    <w:p>
      <w:pPr>
        <w:ind w:firstLine="1296"/>
        <w:spacing w:after="0" w:line="235" w:lineRule="auto"/>
        <w:tabs>
          <w:tab w:leader="none" w:pos="211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During your employment, you were granted certain equity interests</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Awards</w:t>
      </w:r>
      <w:r>
        <w:rPr>
          <w:rFonts w:ascii="Arial" w:cs="Arial" w:eastAsia="Arial" w:hAnsi="Arial"/>
          <w:sz w:val="22"/>
          <w:szCs w:val="22"/>
          <w:color w:val="auto"/>
        </w:rPr>
        <w:t>”). The Company will accelerate the vesting of the Awards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63887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86" w:right="919" w:bottom="1440" w:gutter="0" w:footer="0" w:header="0"/>
        </w:sectPr>
      </w:pPr>
    </w:p>
    <w:bookmarkStart w:id="87" w:name="page88"/>
    <w:bookmarkEnd w:id="87"/>
    <w:p>
      <w:pPr>
        <w:jc w:val="both"/>
        <w:spacing w:after="0" w:line="233" w:lineRule="auto"/>
        <w:rPr>
          <w:sz w:val="20"/>
          <w:szCs w:val="20"/>
          <w:color w:val="auto"/>
        </w:rPr>
      </w:pPr>
      <w:r>
        <w:rPr>
          <w:rFonts w:ascii="Arial" w:cs="Arial" w:eastAsia="Arial" w:hAnsi="Arial"/>
          <w:sz w:val="22"/>
          <w:szCs w:val="22"/>
          <w:color w:val="auto"/>
        </w:rPr>
        <w:t xml:space="preserve">that, as of the Separation Date, </w:t>
      </w:r>
      <w:r>
        <w:rPr>
          <w:rFonts w:ascii="Arial" w:cs="Arial" w:eastAsia="Arial" w:hAnsi="Arial"/>
          <w:sz w:val="22"/>
          <w:szCs w:val="22"/>
          <w:u w:val="single" w:color="auto"/>
          <w:color w:val="auto"/>
        </w:rPr>
        <w:t>you will be deemed vested in those Awards that would have vested in the six (6)</w:t>
      </w:r>
      <w:r>
        <w:rPr>
          <w:rFonts w:ascii="Arial" w:cs="Arial" w:eastAsia="Arial" w:hAnsi="Arial"/>
          <w:sz w:val="22"/>
          <w:szCs w:val="22"/>
          <w:color w:val="auto"/>
        </w:rPr>
        <w:t xml:space="preserve"> </w:t>
      </w:r>
      <w:r>
        <w:rPr>
          <w:rFonts w:ascii="Arial" w:cs="Arial" w:eastAsia="Arial" w:hAnsi="Arial"/>
          <w:sz w:val="22"/>
          <w:szCs w:val="22"/>
          <w:u w:val="single" w:color="auto"/>
          <w:color w:val="auto"/>
        </w:rPr>
        <w:t>months following the Separation Date had you remained employed</w:t>
      </w:r>
      <w:r>
        <w:rPr>
          <w:rFonts w:ascii="Arial" w:cs="Arial" w:eastAsia="Arial" w:hAnsi="Arial"/>
          <w:sz w:val="22"/>
          <w:szCs w:val="22"/>
          <w:color w:val="auto"/>
        </w:rPr>
        <w:t>.</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OTHER COMPENSATION OR BENEFITS. </w:t>
      </w:r>
      <w:r>
        <w:rPr>
          <w:rFonts w:ascii="Arial" w:cs="Arial" w:eastAsia="Arial" w:hAnsi="Arial"/>
          <w:sz w:val="19"/>
          <w:szCs w:val="19"/>
          <w:color w:val="auto"/>
        </w:rPr>
        <w:t>You acknowledge that, except as expressly provided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you will not receive any additional compensation, severance, or benefits after the Separation Date. You further expressly acknowledge and agree that the severance benefits being provided to you under this Agreement are in full satisfaction of any severance benefits you are eligible to receive under the Employment Agreement.</w:t>
      </w:r>
    </w:p>
    <w:p>
      <w:pPr>
        <w:spacing w:after="0" w:line="13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EXPENSE REIMBURSEMENTS. </w:t>
      </w:r>
      <w:r>
        <w:rPr>
          <w:rFonts w:ascii="Arial" w:cs="Arial" w:eastAsia="Arial" w:hAnsi="Arial"/>
          <w:sz w:val="22"/>
          <w:szCs w:val="22"/>
          <w:color w:val="auto"/>
        </w:rPr>
        <w:t>You agree that, within ten (10) days after the Separation Date, you will</w:t>
      </w:r>
      <w:r>
        <w:rPr>
          <w:rFonts w:ascii="Arial" w:cs="Arial" w:eastAsia="Arial" w:hAnsi="Arial"/>
          <w:sz w:val="22"/>
          <w:szCs w:val="22"/>
          <w:b w:val="1"/>
          <w:bCs w:val="1"/>
          <w:color w:val="auto"/>
        </w:rPr>
        <w:t xml:space="preserve"> </w:t>
      </w:r>
      <w:r>
        <w:rPr>
          <w:rFonts w:ascii="Arial" w:cs="Arial" w:eastAsia="Arial" w:hAnsi="Arial"/>
          <w:sz w:val="22"/>
          <w:szCs w:val="22"/>
          <w:color w:val="auto"/>
        </w:rPr>
        <w:t>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spacing w:after="0" w:line="1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9"/>
          <w:szCs w:val="19"/>
          <w:b w:val="1"/>
          <w:bCs w:val="1"/>
          <w:color w:val="auto"/>
        </w:rPr>
        <w:t>RETURN OF COMPANY PROPERTY</w:t>
      </w:r>
      <w:r>
        <w:rPr>
          <w:rFonts w:ascii="Arial" w:cs="Arial" w:eastAsia="Arial" w:hAnsi="Arial"/>
          <w:sz w:val="19"/>
          <w:szCs w:val="19"/>
          <w:color w:val="auto"/>
        </w:rPr>
        <w:t>. By the Separation Date, you agree to return to the Company all</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documents (and all copies thereof) and other Company property within your possession, custody or control, including, but not limited to, Company files, notes, drawings, records, business plans and forecasts, financial information, specifications, computer-recorded information, tangible property (including, but not limited to), credit cards, entry cards, identification badges, and keys; and, any materials of any kind that contain or embody any proprietary or confidential information of the Company (and all reproductions thereof).</w:t>
      </w:r>
    </w:p>
    <w:p>
      <w:pPr>
        <w:spacing w:after="0" w:line="147"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PROPRIETARY INFORMATION OBLIGATIONS</w:t>
      </w:r>
      <w:r>
        <w:rPr>
          <w:rFonts w:ascii="Arial" w:cs="Arial" w:eastAsia="Arial" w:hAnsi="Arial"/>
          <w:sz w:val="22"/>
          <w:szCs w:val="22"/>
          <w:color w:val="auto"/>
        </w:rPr>
        <w:t>. You acknowledge your continuing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under your Employee Proprietary Information and Inventions Assignment Agreement, a copy of which is 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15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 xml:space="preserve">NONDISPARAGEMENT. </w:t>
      </w:r>
      <w:r>
        <w:rPr>
          <w:rFonts w:ascii="Arial" w:cs="Arial" w:eastAsia="Arial" w:hAnsi="Arial"/>
          <w:sz w:val="22"/>
          <w:szCs w:val="22"/>
          <w:color w:val="auto"/>
        </w:rPr>
        <w:t>You agree not to disparage the Company, its officers, directors,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shareholders, and agents, in any manner likely to be harmful to its or their business, business reputation or personal reputation; and the Company (through its officers and directors) agrees not to disparage you in any manner likely to be harmful to you or your business, business reputation or personal reputation; provided that you and the Company will respond accurately and fully to any question, inquiry or request for information when required by legal process.</w:t>
      </w:r>
    </w:p>
    <w:p>
      <w:pPr>
        <w:spacing w:after="0" w:line="15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 xml:space="preserve">NO ADMISSIONS. </w:t>
      </w:r>
      <w:r>
        <w:rPr>
          <w:rFonts w:ascii="Arial" w:cs="Arial" w:eastAsia="Arial" w:hAnsi="Arial"/>
          <w:sz w:val="22"/>
          <w:szCs w:val="22"/>
          <w:color w:val="auto"/>
        </w:rPr>
        <w:t>You understand and agree that the promises and payments in consideration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not be construed to be an admission of any liability or obligation by the Company to you or to any other person, and that the Company makes no such admission.</w:t>
      </w:r>
    </w:p>
    <w:p>
      <w:pPr>
        <w:spacing w:after="0" w:line="15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b w:val="1"/>
          <w:bCs w:val="1"/>
          <w:color w:val="auto"/>
        </w:rPr>
        <w:t xml:space="preserve">RELEASE OF CLAIMS. </w:t>
      </w:r>
      <w:r>
        <w:rPr>
          <w:rFonts w:ascii="Arial" w:cs="Arial" w:eastAsia="Arial" w:hAnsi="Arial"/>
          <w:sz w:val="19"/>
          <w:szCs w:val="19"/>
          <w:color w:val="auto"/>
        </w:rPr>
        <w:t>In exchange for the consideration under this Agreement to which you would not</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be entitled, you hereby generally and completely release the Company and its directors, officers, employees, shareholders, partners, agents, attorneys, predecessors, successors, parent and subsidiary entities, insurers, affiliates, and assigns from any and all claims, liabilities and obligations, both known and unknown, that arise out of or are in any way related to events, acts, conduct, or omissions occurring at any time prior to and including the date you sign this Agreement. This general release includes, but is not limited to: (a) all claims arising out of or in any way related to your employment with the Company or the termination of that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3887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4" w:right="919" w:bottom="1440" w:gutter="0" w:footer="0" w:header="0"/>
        </w:sectPr>
      </w:pPr>
    </w:p>
    <w:bookmarkStart w:id="88" w:name="page89"/>
    <w:bookmarkEnd w:id="88"/>
    <w:p>
      <w:pPr>
        <w:jc w:val="both"/>
        <w:ind w:left="1" w:hanging="1"/>
        <w:spacing w:after="0" w:line="242" w:lineRule="auto"/>
        <w:tabs>
          <w:tab w:leader="none" w:pos="316" w:val="left"/>
        </w:tabs>
        <w:numPr>
          <w:ilvl w:val="0"/>
          <w:numId w:val="39"/>
        </w:numPr>
        <w:rPr>
          <w:rFonts w:ascii="Arial" w:cs="Arial" w:eastAsia="Arial" w:hAnsi="Arial"/>
          <w:sz w:val="19"/>
          <w:szCs w:val="19"/>
          <w:color w:val="auto"/>
        </w:rPr>
      </w:pPr>
      <w:r>
        <w:rPr>
          <w:rFonts w:ascii="Arial" w:cs="Arial" w:eastAsia="Arial" w:hAnsi="Arial"/>
          <w:sz w:val="19"/>
          <w:szCs w:val="19"/>
          <w:color w:val="auto"/>
        </w:rPr>
        <w:t>all claims related to your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federal Americans with Disabilities Act of 1990, the Age Discrimination in Employment Act (“</w:t>
      </w:r>
      <w:r>
        <w:rPr>
          <w:rFonts w:ascii="Arial" w:cs="Arial" w:eastAsia="Arial" w:hAnsi="Arial"/>
          <w:sz w:val="19"/>
          <w:szCs w:val="19"/>
          <w:b w:val="1"/>
          <w:bCs w:val="1"/>
          <w:color w:val="auto"/>
        </w:rPr>
        <w:t>ADEA</w:t>
      </w:r>
      <w:r>
        <w:rPr>
          <w:rFonts w:ascii="Arial" w:cs="Arial" w:eastAsia="Arial" w:hAnsi="Arial"/>
          <w:sz w:val="19"/>
          <w:szCs w:val="19"/>
          <w:color w:val="auto"/>
        </w:rPr>
        <w:t>”) the Arizona Wage Act, the Arizona Employment Protection Act, the Arizona Civil Rights Act, the Arizona Revised Statutes, the Arizona Administrative Rules, the Texas Human Rights Act and the Texas Labor Code. Notwithstanding the foregoing, you are not releasing the Company hereby from any obligation to indemnify you pursuant to the Articles and Bylaws of the Company, any valid fully executed indemnification agreement with the Company, applicable law, or applicable directors and officers’ liability insurance. Also, excluded from this Agreement are any claims that cannot be waived by law.</w:t>
      </w:r>
    </w:p>
    <w:p>
      <w:pPr>
        <w:spacing w:after="0" w:line="156" w:lineRule="exact"/>
        <w:rPr>
          <w:sz w:val="20"/>
          <w:szCs w:val="20"/>
          <w:color w:val="auto"/>
        </w:rPr>
      </w:pPr>
    </w:p>
    <w:p>
      <w:pPr>
        <w:jc w:val="both"/>
        <w:ind w:left="1" w:firstLine="648"/>
        <w:spacing w:after="0" w:line="244" w:lineRule="auto"/>
        <w:rPr>
          <w:sz w:val="20"/>
          <w:szCs w:val="20"/>
          <w:color w:val="auto"/>
        </w:rPr>
      </w:pPr>
      <w:r>
        <w:rPr>
          <w:rFonts w:ascii="Arial" w:cs="Arial" w:eastAsia="Arial" w:hAnsi="Arial"/>
          <w:sz w:val="19"/>
          <w:szCs w:val="19"/>
          <w:b w:val="1"/>
          <w:bCs w:val="1"/>
          <w:color w:val="auto"/>
        </w:rPr>
        <w:t xml:space="preserve">ADEA RELEASE. </w:t>
      </w:r>
      <w:r>
        <w:rPr>
          <w:rFonts w:ascii="Arial" w:cs="Arial" w:eastAsia="Arial" w:hAnsi="Arial"/>
          <w:sz w:val="19"/>
          <w:szCs w:val="19"/>
          <w:color w:val="auto"/>
        </w:rPr>
        <w:t>You acknowledge that you are knowingly and voluntarily waiving and releasing any</w:t>
      </w:r>
      <w:r>
        <w:rPr>
          <w:rFonts w:ascii="Arial" w:cs="Arial" w:eastAsia="Arial" w:hAnsi="Arial"/>
          <w:sz w:val="19"/>
          <w:szCs w:val="19"/>
          <w:b w:val="1"/>
          <w:bCs w:val="1"/>
          <w:color w:val="auto"/>
        </w:rPr>
        <w:t xml:space="preserve"> </w:t>
      </w:r>
      <w:r>
        <w:rPr>
          <w:rFonts w:ascii="Arial" w:cs="Arial" w:eastAsia="Arial" w:hAnsi="Arial"/>
          <w:sz w:val="19"/>
          <w:szCs w:val="19"/>
          <w:color w:val="auto"/>
        </w:rPr>
        <w:t>rights you have 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that arise after the date you sign this Agreement; (b) you should consult with an attorney prior to signing this Agreement (although you may choose voluntarily not to do so); (c) you have twenty-one (21) days to consider this Agreement (although you may choose voluntarily to sign it sooner); (d) you have seven (7) days following the date you sign this Agreement to revoke this Agreement (in a written revocation sent to me); and (e) this Agreement will not be effective until the date upon which the revocation period has expired, which will be the eighth day after you sign this Agreement provided that you do not revoke it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56" w:lineRule="exact"/>
        <w:rPr>
          <w:sz w:val="20"/>
          <w:szCs w:val="20"/>
          <w:color w:val="auto"/>
        </w:rPr>
      </w:pPr>
    </w:p>
    <w:p>
      <w:pPr>
        <w:jc w:val="both"/>
        <w:ind w:left="1" w:firstLine="648"/>
        <w:spacing w:after="0" w:line="220" w:lineRule="auto"/>
        <w:rPr>
          <w:sz w:val="20"/>
          <w:szCs w:val="20"/>
          <w:color w:val="auto"/>
        </w:rPr>
      </w:pPr>
      <w:r>
        <w:rPr>
          <w:rFonts w:ascii="Arial" w:cs="Arial" w:eastAsia="Arial" w:hAnsi="Arial"/>
          <w:sz w:val="21"/>
          <w:szCs w:val="21"/>
          <w:b w:val="1"/>
          <w:bCs w:val="1"/>
          <w:color w:val="auto"/>
        </w:rPr>
        <w:t xml:space="preserve">PROTECTED RIGHTS. </w:t>
      </w:r>
      <w:r>
        <w:rPr>
          <w:rFonts w:ascii="Arial" w:cs="Arial" w:eastAsia="Arial" w:hAnsi="Arial"/>
          <w:sz w:val="21"/>
          <w:szCs w:val="21"/>
          <w:color w:val="auto"/>
        </w:rPr>
        <w:t>You understand that nothing in this Agreement limits your ability to file a</w:t>
      </w:r>
      <w:r>
        <w:rPr>
          <w:rFonts w:ascii="Arial" w:cs="Arial" w:eastAsia="Arial" w:hAnsi="Arial"/>
          <w:sz w:val="21"/>
          <w:szCs w:val="21"/>
          <w:b w:val="1"/>
          <w:bCs w:val="1"/>
          <w:color w:val="auto"/>
        </w:rPr>
        <w:t xml:space="preserve"> </w:t>
      </w:r>
      <w:r>
        <w:rPr>
          <w:rFonts w:ascii="Arial" w:cs="Arial" w:eastAsia="Arial" w:hAnsi="Arial"/>
          <w:sz w:val="21"/>
          <w:szCs w:val="21"/>
          <w:color w:val="auto"/>
        </w:rPr>
        <w:t>charge or complaint with the Equal Employment Opportunity Commission, the Department of Labor, the National Labor Relations Board, the Occupational Safety and Health Administration, the Securities and Exchange Commission or any other federal, state or local governmental agency or commission (“</w:t>
      </w:r>
      <w:r>
        <w:rPr>
          <w:rFonts w:ascii="Arial" w:cs="Arial" w:eastAsia="Arial" w:hAnsi="Arial"/>
          <w:sz w:val="21"/>
          <w:szCs w:val="21"/>
          <w:b w:val="1"/>
          <w:bCs w:val="1"/>
          <w:color w:val="auto"/>
        </w:rPr>
        <w:t>Government</w:t>
      </w:r>
      <w:r>
        <w:rPr>
          <w:rFonts w:ascii="Arial" w:cs="Arial" w:eastAsia="Arial" w:hAnsi="Arial"/>
          <w:sz w:val="21"/>
          <w:szCs w:val="21"/>
          <w:color w:val="auto"/>
        </w:rPr>
        <w:t xml:space="preserve"> </w:t>
      </w:r>
      <w:r>
        <w:rPr>
          <w:rFonts w:ascii="Arial" w:cs="Arial" w:eastAsia="Arial" w:hAnsi="Arial"/>
          <w:sz w:val="21"/>
          <w:szCs w:val="21"/>
          <w:b w:val="1"/>
          <w:bCs w:val="1"/>
          <w:color w:val="auto"/>
        </w:rPr>
        <w:t>Agencies</w:t>
      </w:r>
      <w:r>
        <w:rPr>
          <w:rFonts w:ascii="Arial" w:cs="Arial" w:eastAsia="Arial" w:hAnsi="Arial"/>
          <w:sz w:val="21"/>
          <w:szCs w:val="21"/>
          <w:color w:val="auto"/>
        </w:rPr>
        <w:t>”). You further understand this Agreement does not limit your ability to communicate with any</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w:t>
      </w:r>
    </w:p>
    <w:p>
      <w:pPr>
        <w:spacing w:after="0" w:line="158" w:lineRule="exact"/>
        <w:rPr>
          <w:sz w:val="20"/>
          <w:szCs w:val="20"/>
          <w:color w:val="auto"/>
        </w:rPr>
      </w:pPr>
    </w:p>
    <w:p>
      <w:pPr>
        <w:jc w:val="both"/>
        <w:ind w:left="1" w:firstLine="648"/>
        <w:spacing w:after="0" w:line="225" w:lineRule="auto"/>
        <w:rPr>
          <w:sz w:val="20"/>
          <w:szCs w:val="20"/>
          <w:color w:val="auto"/>
        </w:rPr>
      </w:pPr>
      <w:r>
        <w:rPr>
          <w:rFonts w:ascii="Arial" w:cs="Arial" w:eastAsia="Arial" w:hAnsi="Arial"/>
          <w:sz w:val="22"/>
          <w:szCs w:val="22"/>
          <w:b w:val="1"/>
          <w:bCs w:val="1"/>
          <w:color w:val="auto"/>
        </w:rPr>
        <w:t xml:space="preserve">REPRESENTATIONS. </w:t>
      </w:r>
      <w:r>
        <w:rPr>
          <w:rFonts w:ascii="Arial" w:cs="Arial" w:eastAsia="Arial" w:hAnsi="Arial"/>
          <w:sz w:val="22"/>
          <w:szCs w:val="22"/>
          <w:color w:val="auto"/>
        </w:rPr>
        <w:t>You hereby represent that you have been paid all compensation owed and for all</w:t>
      </w:r>
      <w:r>
        <w:rPr>
          <w:rFonts w:ascii="Arial" w:cs="Arial" w:eastAsia="Arial" w:hAnsi="Arial"/>
          <w:sz w:val="22"/>
          <w:szCs w:val="22"/>
          <w:b w:val="1"/>
          <w:bCs w:val="1"/>
          <w:color w:val="auto"/>
        </w:rPr>
        <w:t xml:space="preserve"> </w:t>
      </w:r>
      <w:r>
        <w:rPr>
          <w:rFonts w:ascii="Arial" w:cs="Arial" w:eastAsia="Arial" w:hAnsi="Arial"/>
          <w:sz w:val="22"/>
          <w:szCs w:val="22"/>
          <w:color w:val="auto"/>
        </w:rPr>
        <w:t>hours worked, have received all the leave and leave benefits and protections for which you are eligible pursuant to the Family and Medical Leave Act or otherwise, and have not suffered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63887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4" w:right="91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auto"/>
        </w:rPr>
        <w:t>any on-the-job injury for which you have not already filed a workers’ compensation claim.</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b w:val="1"/>
          <w:bCs w:val="1"/>
          <w:color w:val="auto"/>
        </w:rPr>
        <w:t xml:space="preserve">MISCELLANEOUS. </w:t>
      </w:r>
      <w:r>
        <w:rPr>
          <w:rFonts w:ascii="Arial" w:cs="Arial" w:eastAsia="Arial" w:hAnsi="Arial"/>
          <w:sz w:val="19"/>
          <w:szCs w:val="19"/>
          <w:color w:val="auto"/>
        </w:rPr>
        <w:t>This Agreement, including</w:t>
      </w:r>
      <w:r>
        <w:rPr>
          <w:rFonts w:ascii="Arial" w:cs="Arial" w:eastAsia="Arial" w:hAnsi="Arial"/>
          <w:sz w:val="19"/>
          <w:szCs w:val="19"/>
          <w:b w:val="1"/>
          <w:bCs w:val="1"/>
          <w:color w:val="auto"/>
        </w:rPr>
        <w:t xml:space="preserve"> Exhibit A</w:t>
      </w:r>
      <w:r>
        <w:rPr>
          <w:rFonts w:ascii="Arial" w:cs="Arial" w:eastAsia="Arial" w:hAnsi="Arial"/>
          <w:sz w:val="19"/>
          <w:szCs w:val="19"/>
          <w:color w:val="auto"/>
        </w:rPr>
        <w:t>, constitutes the complete, final and exclusive</w:t>
      </w:r>
      <w:r>
        <w:rPr>
          <w:rFonts w:ascii="Arial" w:cs="Arial" w:eastAsia="Arial" w:hAnsi="Arial"/>
          <w:sz w:val="19"/>
          <w:szCs w:val="19"/>
          <w:b w:val="1"/>
          <w:bCs w:val="1"/>
          <w:color w:val="auto"/>
        </w:rPr>
        <w:t xml:space="preserve"> </w:t>
      </w:r>
      <w:r>
        <w:rPr>
          <w:rFonts w:ascii="Arial" w:cs="Arial" w:eastAsia="Arial" w:hAnsi="Arial"/>
          <w:sz w:val="19"/>
          <w:szCs w:val="19"/>
          <w:color w:val="auto"/>
        </w:rPr>
        <w:t>embodiment of 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Arizona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facsimile signatures will suffice as original signatures.</w:t>
      </w:r>
    </w:p>
    <w:p>
      <w:pPr>
        <w:spacing w:after="0" w:line="383"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If this Agreement is acceptable to you, please sign below and return the original to me. You have twenty-one (21) calendar days to decide whether you would like to accept this Agreement, and the Company’s offer contained herein will automatically expire if you do not sign and return it within this timeframe.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We wish you the best in your future endeavors.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By:/s/ Jim Everett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-635</wp:posOffset>
            </wp:positionV>
            <wp:extent cx="31388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340"/>
        <w:spacing w:after="0" w:line="225" w:lineRule="auto"/>
        <w:rPr>
          <w:sz w:val="20"/>
          <w:szCs w:val="20"/>
          <w:color w:val="auto"/>
        </w:rPr>
      </w:pPr>
      <w:r>
        <w:rPr>
          <w:rFonts w:ascii="Arial" w:cs="Arial" w:eastAsia="Arial" w:hAnsi="Arial"/>
          <w:sz w:val="22"/>
          <w:szCs w:val="22"/>
          <w:color w:val="auto"/>
        </w:rPr>
        <w:t>Jim Everett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Vice President of Human Resources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Exhibit A – Employee Proprietary Information and Inventions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3887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4" w:right="919"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color w:val="auto"/>
        </w:rPr>
        <w:t>I HAVE READ, UNDERSTAND AND AGREE FULLY TO THE FOREGOING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60" w:type="dxa"/>
            <w:vAlign w:val="bottom"/>
            <w:gridSpan w:val="2"/>
          </w:tcPr>
          <w:p>
            <w:pPr>
              <w:spacing w:after="0"/>
              <w:rPr>
                <w:sz w:val="20"/>
                <w:szCs w:val="20"/>
                <w:color w:val="auto"/>
              </w:rPr>
            </w:pPr>
            <w:r>
              <w:rPr>
                <w:rFonts w:ascii="Arial" w:cs="Arial" w:eastAsia="Arial" w:hAnsi="Arial"/>
                <w:sz w:val="22"/>
                <w:szCs w:val="22"/>
                <w:color w:val="auto"/>
              </w:rPr>
              <w:t>/s/ Patrick Patla</w:t>
            </w:r>
          </w:p>
        </w:tc>
        <w:tc>
          <w:tcPr>
            <w:tcW w:w="4800" w:type="dxa"/>
            <w:vAlign w:val="bottom"/>
          </w:tcPr>
          <w:p>
            <w:pPr>
              <w:spacing w:after="0"/>
              <w:rPr>
                <w:sz w:val="20"/>
                <w:szCs w:val="20"/>
                <w:color w:val="auto"/>
              </w:rPr>
            </w:pPr>
            <w:r>
              <w:rPr>
                <w:rFonts w:ascii="Arial" w:cs="Arial" w:eastAsia="Arial" w:hAnsi="Arial"/>
                <w:sz w:val="22"/>
                <w:szCs w:val="22"/>
                <w:color w:val="auto"/>
              </w:rPr>
              <w:t>June 7, 2018</w:t>
            </w:r>
          </w:p>
        </w:tc>
      </w:tr>
      <w:tr>
        <w:trPr>
          <w:trHeight w:val="268"/>
        </w:trPr>
        <w:tc>
          <w:tcPr>
            <w:tcW w:w="48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Patrick Patla</w:t>
            </w:r>
          </w:p>
        </w:tc>
        <w:tc>
          <w:tcPr>
            <w:tcW w:w="460" w:type="dxa"/>
            <w:vAlign w:val="bottom"/>
          </w:tcPr>
          <w:p>
            <w:pPr>
              <w:spacing w:after="0"/>
              <w:rPr>
                <w:sz w:val="23"/>
                <w:szCs w:val="23"/>
                <w:color w:val="auto"/>
              </w:rPr>
            </w:pPr>
          </w:p>
        </w:tc>
        <w:tc>
          <w:tcPr>
            <w:tcW w:w="48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Date</w:t>
            </w:r>
          </w:p>
        </w:tc>
      </w:tr>
      <w:tr>
        <w:trPr>
          <w:trHeight w:val="192"/>
        </w:trPr>
        <w:tc>
          <w:tcPr>
            <w:tcW w:w="4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r>
    </w:tbl>
    <w:p>
      <w:pPr>
        <w:sectPr>
          <w:pgSz w:w="11900" w:h="16838" w:orient="portrait"/>
          <w:cols w:equalWidth="0" w:num="1">
            <w:col w:w="10060"/>
          </w:cols>
          <w:pgMar w:left="920" w:top="98" w:right="919" w:bottom="1440" w:gutter="0" w:footer="0" w:header="0"/>
        </w:sectPr>
      </w:pPr>
    </w:p>
    <w:bookmarkStart w:id="91" w:name="page92"/>
    <w:bookmarkEnd w:id="91"/>
    <w:p>
      <w:pPr>
        <w:jc w:val="center"/>
        <w:spacing w:after="0"/>
        <w:rPr>
          <w:sz w:val="20"/>
          <w:szCs w:val="20"/>
          <w:color w:val="auto"/>
        </w:rPr>
      </w:pPr>
      <w:r>
        <w:rPr>
          <w:rFonts w:ascii="Arial" w:cs="Arial" w:eastAsia="Arial" w:hAnsi="Arial"/>
          <w:sz w:val="23"/>
          <w:szCs w:val="23"/>
          <w:b w:val="1"/>
          <w:bCs w:val="1"/>
          <w:color w:val="auto"/>
        </w:rPr>
        <w:t>E</w:t>
      </w:r>
      <w:r>
        <w:rPr>
          <w:rFonts w:ascii="Arial" w:cs="Arial" w:eastAsia="Arial" w:hAnsi="Arial"/>
          <w:sz w:val="21"/>
          <w:szCs w:val="21"/>
          <w:b w:val="1"/>
          <w:bCs w:val="1"/>
          <w:color w:val="auto"/>
        </w:rPr>
        <w:t>XHIBIT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 PROPRIETARY INFORMATION AND INVENTIONS ASSIGNMENT AGREEMENT</w:t>
      </w:r>
    </w:p>
    <w:p>
      <w:pPr>
        <w:spacing w:after="0" w:line="1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In consideration of my employment or continued employment by Everspin Technologies, Inc. (“</w:t>
      </w:r>
      <w:r>
        <w:rPr>
          <w:rFonts w:ascii="Arial" w:cs="Arial" w:eastAsia="Arial" w:hAnsi="Arial"/>
          <w:sz w:val="22"/>
          <w:szCs w:val="22"/>
          <w:b w:val="1"/>
          <w:bCs w:val="1"/>
          <w:color w:val="auto"/>
        </w:rPr>
        <w:t>Company</w:t>
      </w:r>
      <w:r>
        <w:rPr>
          <w:rFonts w:ascii="Arial" w:cs="Arial" w:eastAsia="Arial" w:hAnsi="Arial"/>
          <w:sz w:val="22"/>
          <w:szCs w:val="22"/>
          <w:color w:val="auto"/>
        </w:rPr>
        <w:t>”), and the compensation paid to me now and during my employment with the Company, I agree to the terms of this Agreement as follows: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CONFIDENTIAL INFORMATION PROTECTIONS.</w:t>
      </w:r>
    </w:p>
    <w:p>
      <w:pPr>
        <w:spacing w:after="0" w:line="17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b w:val="1"/>
          <w:bCs w:val="1"/>
          <w:color w:val="auto"/>
        </w:rPr>
        <w:t>Nondisclosure; Recognition of Company’s Rights</w:t>
      </w:r>
      <w:r>
        <w:rPr>
          <w:rFonts w:ascii="Arial" w:cs="Arial" w:eastAsia="Arial" w:hAnsi="Arial"/>
          <w:sz w:val="21"/>
          <w:szCs w:val="21"/>
          <w:color w:val="auto"/>
        </w:rPr>
        <w:t>. At all times during and after my employment, I will</w:t>
      </w:r>
      <w:r>
        <w:rPr>
          <w:rFonts w:ascii="Arial" w:cs="Arial" w:eastAsia="Arial" w:hAnsi="Arial"/>
          <w:sz w:val="21"/>
          <w:szCs w:val="21"/>
          <w:b w:val="1"/>
          <w:bCs w:val="1"/>
          <w:color w:val="auto"/>
        </w:rPr>
        <w:t xml:space="preserve"> </w:t>
      </w:r>
      <w:r>
        <w:rPr>
          <w:rFonts w:ascii="Arial" w:cs="Arial" w:eastAsia="Arial" w:hAnsi="Arial"/>
          <w:sz w:val="21"/>
          <w:szCs w:val="21"/>
          <w:color w:val="auto"/>
        </w:rPr>
        <w:t>hold in confidence and will not disclose, use, lecture upon, or publish any of Company’s Confidential Information (defined below), except as may be required in connection with my work for Company, or as expressly authorized by the Chief Executive Officer (the “</w:t>
      </w:r>
      <w:r>
        <w:rPr>
          <w:rFonts w:ascii="Arial" w:cs="Arial" w:eastAsia="Arial" w:hAnsi="Arial"/>
          <w:sz w:val="21"/>
          <w:szCs w:val="21"/>
          <w:b w:val="1"/>
          <w:bCs w:val="1"/>
          <w:color w:val="auto"/>
        </w:rPr>
        <w:t>CEO</w:t>
      </w:r>
      <w:r>
        <w:rPr>
          <w:rFonts w:ascii="Arial" w:cs="Arial" w:eastAsia="Arial" w:hAnsi="Arial"/>
          <w:sz w:val="21"/>
          <w:szCs w:val="21"/>
          <w:color w:val="auto"/>
        </w:rPr>
        <w:t>”) of Company. I will obtain the CEO’s written approval before publishing or submitting for publication any material (written, oral, or otherwise) that relates to my work at Company and/or incorporates any Confidential Information. I hereby assign to Company any rights I may have or acquire in any and all Confidential Information and recognize that all Confidential Information shall be the sole and exclusive property of Company and its assigns.</w:t>
      </w:r>
    </w:p>
    <w:p>
      <w:pPr>
        <w:spacing w:after="0" w:line="158"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b w:val="1"/>
          <w:bCs w:val="1"/>
          <w:color w:val="auto"/>
        </w:rPr>
        <w:t xml:space="preserve">Confidential Information. </w:t>
      </w:r>
      <w:r>
        <w:rPr>
          <w:rFonts w:ascii="Arial" w:cs="Arial" w:eastAsia="Arial" w:hAnsi="Arial"/>
          <w:sz w:val="21"/>
          <w:szCs w:val="21"/>
          <w:color w:val="auto"/>
        </w:rPr>
        <w:t>The term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shall mean any and all confidential</w:t>
      </w:r>
      <w:r>
        <w:rPr>
          <w:rFonts w:ascii="Arial" w:cs="Arial" w:eastAsia="Arial" w:hAnsi="Arial"/>
          <w:sz w:val="21"/>
          <w:szCs w:val="21"/>
          <w:b w:val="1"/>
          <w:bCs w:val="1"/>
          <w:color w:val="auto"/>
        </w:rPr>
        <w:t xml:space="preserve"> </w:t>
      </w:r>
      <w:r>
        <w:rPr>
          <w:rFonts w:ascii="Arial" w:cs="Arial" w:eastAsia="Arial" w:hAnsi="Arial"/>
          <w:sz w:val="21"/>
          <w:szCs w:val="21"/>
          <w:color w:val="auto"/>
        </w:rPr>
        <w:t>knowledge, data or information related to Company’s business or its actual or demonstrably anticipated research or development, including without limitation (a) trade secrets, inventions, ideas, processes, computer source and object code, data, formulae, programs, other works of authorship, know-how, improvements, discoveries, developments, designs, and techniques; (b) information regarding products, services, plans for research and development, marketing and business plans, budgets, financial statements, contracts, prices, suppliers, and customers; (c) information regarding the skills and compensation of Company’s employees, contractors, and any other service providers of Company; and (d) the existence of any business discussions, negotiations, or agreements between Company and any third party.</w:t>
      </w:r>
    </w:p>
    <w:p>
      <w:pPr>
        <w:spacing w:after="0" w:line="16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1"/>
          <w:szCs w:val="21"/>
          <w:b w:val="1"/>
          <w:bCs w:val="1"/>
          <w:color w:val="auto"/>
        </w:rPr>
        <w:t xml:space="preserve">Third Party Information. </w:t>
      </w:r>
      <w:r>
        <w:rPr>
          <w:rFonts w:ascii="Arial" w:cs="Arial" w:eastAsia="Arial" w:hAnsi="Arial"/>
          <w:sz w:val="21"/>
          <w:szCs w:val="21"/>
          <w:color w:val="auto"/>
        </w:rPr>
        <w:t>I understand that Company has received and in the future will receive from third</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confidential or proprietary information (</w:t>
      </w:r>
      <w:r>
        <w:rPr>
          <w:rFonts w:ascii="Arial" w:cs="Arial" w:eastAsia="Arial" w:hAnsi="Arial"/>
          <w:sz w:val="21"/>
          <w:szCs w:val="21"/>
          <w:b w:val="1"/>
          <w:bCs w:val="1"/>
          <w:color w:val="auto"/>
        </w:rPr>
        <w:t>“Third Party Information”</w:t>
      </w:r>
      <w:r>
        <w:rPr>
          <w:rFonts w:ascii="Arial" w:cs="Arial" w:eastAsia="Arial" w:hAnsi="Arial"/>
          <w:sz w:val="21"/>
          <w:szCs w:val="21"/>
          <w:color w:val="auto"/>
        </w:rPr>
        <w:t>) subject to a duty on Company’s part to maintain the confidentiality of such information and to use it only for certain limited purposes. During and after the term of my employment, I will hold Third Party Information in strict confidence and will not disclose to anyone (other than Company personnel who need to know such information in connection with their work for Company) or use, Third Party Information, except in connection with my work for Company or unless expressly authorized by an officer of Company in writing.</w:t>
      </w:r>
    </w:p>
    <w:p>
      <w:pPr>
        <w:spacing w:after="0" w:line="15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b w:val="1"/>
          <w:bCs w:val="1"/>
          <w:color w:val="auto"/>
        </w:rPr>
        <w:t xml:space="preserve">No Improper Use of Information of Prior Employers and Others. </w:t>
      </w:r>
      <w:r>
        <w:rPr>
          <w:rFonts w:ascii="Arial" w:cs="Arial" w:eastAsia="Arial" w:hAnsi="Arial"/>
          <w:sz w:val="19"/>
          <w:szCs w:val="19"/>
          <w:color w:val="auto"/>
        </w:rPr>
        <w:t>I represent that my employment by</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does not and will not breach any agreement with any former employer, including any noncompete agreement or any agreement to keep in confidence or refrain from using information acquired by me prior to my employment by Company. I further represent that I have not entered into, and will not enter into, any agreement, either written or oral, in conflict with my obligations under this Agreement. During my employment by Company, I will not improperly make use of, or disclose, any information or trade secrets of any former employer or other third party, nor will I bring onto the premises of Company or use any unpublished documents or any property belonging to any former employer or other third party, in violation of any lawful agreements with that former employer or third party. I will use in the performance of my duties only information that is generally known and used by persons with training and experience comparable to my own, is common knowledge in the industry or otherwise legally in the public domain, or is otherwise provided or developed by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94" w:right="919" w:bottom="1440" w:gutter="0" w:footer="0" w:header="0"/>
        </w:sectPr>
      </w:pPr>
    </w:p>
    <w:bookmarkStart w:id="92" w:name="page93"/>
    <w:bookmarkEnd w:id="92"/>
    <w:p>
      <w:pPr>
        <w:spacing w:after="0"/>
        <w:rPr>
          <w:sz w:val="20"/>
          <w:szCs w:val="20"/>
          <w:color w:val="auto"/>
        </w:rPr>
      </w:pPr>
      <w:r>
        <w:rPr>
          <w:rFonts w:ascii="Arial" w:cs="Arial" w:eastAsia="Arial" w:hAnsi="Arial"/>
          <w:sz w:val="22"/>
          <w:szCs w:val="22"/>
          <w:b w:val="1"/>
          <w:bCs w:val="1"/>
          <w:color w:val="auto"/>
        </w:rPr>
        <w:t>INVENTIONS.</w:t>
      </w:r>
    </w:p>
    <w:p>
      <w:pPr>
        <w:spacing w:after="0" w:line="180"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 xml:space="preserve">Inventions and Intellectual Property Rights. </w:t>
      </w:r>
      <w:r>
        <w:rPr>
          <w:rFonts w:ascii="Arial" w:cs="Arial" w:eastAsia="Arial" w:hAnsi="Arial"/>
          <w:sz w:val="22"/>
          <w:szCs w:val="22"/>
          <w:color w:val="auto"/>
        </w:rPr>
        <w:t>As used in this Agreement, the term</w:t>
      </w:r>
      <w:r>
        <w:rPr>
          <w:rFonts w:ascii="Arial" w:cs="Arial" w:eastAsia="Arial" w:hAnsi="Arial"/>
          <w:sz w:val="22"/>
          <w:szCs w:val="22"/>
          <w:b w:val="1"/>
          <w:bCs w:val="1"/>
          <w:color w:val="auto"/>
        </w:rPr>
        <w:t xml:space="preserve"> “Invention” </w:t>
      </w:r>
      <w:r>
        <w:rPr>
          <w:rFonts w:ascii="Arial" w:cs="Arial" w:eastAsia="Arial" w:hAnsi="Arial"/>
          <w:sz w:val="22"/>
          <w:szCs w:val="22"/>
          <w:color w:val="auto"/>
        </w:rPr>
        <w:t>means 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ideas, concepts, information, materials, processes, data, programs, know-how, improvements, discoveries, developments, designs, artwork, formulae, copyrightable works, and techniques and all Intellectual Property Rights in any of the items listed above. The term </w:t>
      </w:r>
      <w:r>
        <w:rPr>
          <w:rFonts w:ascii="Arial" w:cs="Arial" w:eastAsia="Arial" w:hAnsi="Arial"/>
          <w:sz w:val="22"/>
          <w:szCs w:val="22"/>
          <w:b w:val="1"/>
          <w:bCs w:val="1"/>
          <w:color w:val="auto"/>
        </w:rPr>
        <w:t>“Intellectual Property Rights”</w:t>
      </w:r>
      <w:r>
        <w:rPr>
          <w:rFonts w:ascii="Arial" w:cs="Arial" w:eastAsia="Arial" w:hAnsi="Arial"/>
          <w:sz w:val="22"/>
          <w:szCs w:val="22"/>
          <w:color w:val="auto"/>
        </w:rPr>
        <w:t xml:space="preserve"> means all trade secrets, copyrights, trademarks, mask work rights, patents and other intellectual property rights recognized by the laws of any jurisdiction or country.</w:t>
      </w:r>
    </w:p>
    <w:p>
      <w:pPr>
        <w:spacing w:after="0" w:line="1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b w:val="1"/>
          <w:bCs w:val="1"/>
          <w:color w:val="auto"/>
        </w:rPr>
        <w:t xml:space="preserve">Prior Inventions. </w:t>
      </w:r>
      <w:r>
        <w:rPr>
          <w:rFonts w:ascii="Arial" w:cs="Arial" w:eastAsia="Arial" w:hAnsi="Arial"/>
          <w:sz w:val="19"/>
          <w:szCs w:val="19"/>
          <w:color w:val="auto"/>
        </w:rPr>
        <w:t>I have disclosed on</w:t>
      </w:r>
      <w:r>
        <w:rPr>
          <w:rFonts w:ascii="Arial" w:cs="Arial" w:eastAsia="Arial" w:hAnsi="Arial"/>
          <w:sz w:val="19"/>
          <w:szCs w:val="19"/>
          <w:b w:val="1"/>
          <w:bCs w:val="1"/>
          <w:color w:val="auto"/>
        </w:rPr>
        <w:t xml:space="preserve"> Exhibit A </w:t>
      </w:r>
      <w:r>
        <w:rPr>
          <w:rFonts w:ascii="Arial" w:cs="Arial" w:eastAsia="Arial" w:hAnsi="Arial"/>
          <w:sz w:val="19"/>
          <w:szCs w:val="19"/>
          <w:color w:val="auto"/>
        </w:rPr>
        <w:t>a complete list of all Inventions that (a) I have, or I have</w:t>
      </w:r>
      <w:r>
        <w:rPr>
          <w:rFonts w:ascii="Arial" w:cs="Arial" w:eastAsia="Arial" w:hAnsi="Arial"/>
          <w:sz w:val="19"/>
          <w:szCs w:val="19"/>
          <w:b w:val="1"/>
          <w:bCs w:val="1"/>
          <w:color w:val="auto"/>
        </w:rPr>
        <w:t xml:space="preserve"> </w:t>
      </w:r>
      <w:r>
        <w:rPr>
          <w:rFonts w:ascii="Arial" w:cs="Arial" w:eastAsia="Arial" w:hAnsi="Arial"/>
          <w:sz w:val="19"/>
          <w:szCs w:val="19"/>
          <w:color w:val="auto"/>
        </w:rPr>
        <w:t>caused to be, alone or jointly with others, conceived, developed, or reduced to practice prior to the commencement of my employment by Company; (b) in which I have an ownership interest or which I have a license to use; (c) and that I wish to have excluded from the scope of this Agreement (collectively referred to as “</w:t>
      </w:r>
      <w:r>
        <w:rPr>
          <w:rFonts w:ascii="Arial" w:cs="Arial" w:eastAsia="Arial" w:hAnsi="Arial"/>
          <w:sz w:val="19"/>
          <w:szCs w:val="19"/>
          <w:b w:val="1"/>
          <w:bCs w:val="1"/>
          <w:color w:val="auto"/>
        </w:rPr>
        <w:t>Prior Inventions</w:t>
      </w:r>
      <w:r>
        <w:rPr>
          <w:rFonts w:ascii="Arial" w:cs="Arial" w:eastAsia="Arial" w:hAnsi="Arial"/>
          <w:sz w:val="19"/>
          <w:szCs w:val="19"/>
          <w:color w:val="auto"/>
        </w:rPr>
        <w:t xml:space="preserve">”). If no Prior Inventions are listed in </w:t>
      </w:r>
      <w:r>
        <w:rPr>
          <w:rFonts w:ascii="Arial" w:cs="Arial" w:eastAsia="Arial" w:hAnsi="Arial"/>
          <w:sz w:val="19"/>
          <w:szCs w:val="19"/>
          <w:b w:val="1"/>
          <w:bCs w:val="1"/>
          <w:color w:val="auto"/>
        </w:rPr>
        <w:t>Exhibit A</w:t>
      </w:r>
      <w:r>
        <w:rPr>
          <w:rFonts w:ascii="Arial" w:cs="Arial" w:eastAsia="Arial" w:hAnsi="Arial"/>
          <w:sz w:val="19"/>
          <w:szCs w:val="19"/>
          <w:color w:val="auto"/>
        </w:rPr>
        <w:t>, I warrant that there are no Prior Inventions. I agree that I will not incorporate, or permit to be incorporated, Prior Inventions in any Company Inventions (defined below) without Company’s prior written consent. If, in the course of my employment with Company, I incorporate a Prior Invention into a Company process, machine or other work, I hereby grant Company a non-exclusive, perpetual,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such Prior Invention.</w:t>
      </w:r>
    </w:p>
    <w:p>
      <w:pPr>
        <w:spacing w:after="0" w:line="168"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b w:val="1"/>
          <w:bCs w:val="1"/>
          <w:color w:val="auto"/>
        </w:rPr>
        <w:t xml:space="preserve">Assignment of Company Inventions. </w:t>
      </w:r>
      <w:r>
        <w:rPr>
          <w:rFonts w:ascii="Arial" w:cs="Arial" w:eastAsia="Arial" w:hAnsi="Arial"/>
          <w:sz w:val="22"/>
          <w:szCs w:val="22"/>
          <w:color w:val="auto"/>
        </w:rPr>
        <w:t>Inventions assigned to the Company or to a third party as directed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Company pursuant to the section titled “Government or Third Party” are referred to in this Agreement as “</w:t>
      </w:r>
      <w:r>
        <w:rPr>
          <w:rFonts w:ascii="Arial" w:cs="Arial" w:eastAsia="Arial" w:hAnsi="Arial"/>
          <w:sz w:val="22"/>
          <w:szCs w:val="22"/>
          <w:b w:val="1"/>
          <w:bCs w:val="1"/>
          <w:color w:val="auto"/>
        </w:rPr>
        <w:t>Company Inventions</w:t>
      </w:r>
      <w:r>
        <w:rPr>
          <w:rFonts w:ascii="Arial" w:cs="Arial" w:eastAsia="Arial" w:hAnsi="Arial"/>
          <w:sz w:val="22"/>
          <w:szCs w:val="22"/>
          <w:color w:val="auto"/>
        </w:rPr>
        <w:t xml:space="preserve"> .” Subject to the section titled “Government or Third Party” and except for Inventions that I can prove qualify fully under the provisions of a Specific Inventions Law (as defined below) and I have set forth in </w:t>
      </w:r>
      <w:r>
        <w:rPr>
          <w:rFonts w:ascii="Arial" w:cs="Arial" w:eastAsia="Arial" w:hAnsi="Arial"/>
          <w:sz w:val="22"/>
          <w:szCs w:val="22"/>
          <w:b w:val="1"/>
          <w:bCs w:val="1"/>
          <w:color w:val="auto"/>
        </w:rPr>
        <w:t>Exhibit A</w:t>
      </w:r>
      <w:r>
        <w:rPr>
          <w:rFonts w:ascii="Arial" w:cs="Arial" w:eastAsia="Arial" w:hAnsi="Arial"/>
          <w:sz w:val="22"/>
          <w:szCs w:val="22"/>
          <w:color w:val="auto"/>
        </w:rPr>
        <w:t>, I</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hereby assign and agree to assign in the future (when any such Inventions or Intellectual Property Rights are first reduced to practice or first fixed in a tangible medium, as applicable) to Company all my right, title, and interest in and to (i) any and all Inventions (and all Intellectual Property Rights with respect thereto) made, conceived, reduced to practice, or learned by me, either alone or with others, during the period of my employment by Company and (ii) any and all priority rights corresponding to any patent applications of such Intellectual Property Rights, including the right to claim priority, provided by any International Convention, including the Paris Convention. To the extent necessary, company accepts all such assignments.</w:t>
      </w:r>
    </w:p>
    <w:p>
      <w:pPr>
        <w:spacing w:after="0" w:line="1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b w:val="1"/>
          <w:bCs w:val="1"/>
          <w:color w:val="auto"/>
        </w:rPr>
        <w:t xml:space="preserve">Specific Inventions Law. </w:t>
      </w:r>
      <w:r>
        <w:rPr>
          <w:rFonts w:ascii="Arial" w:cs="Arial" w:eastAsia="Arial" w:hAnsi="Arial"/>
          <w:sz w:val="19"/>
          <w:szCs w:val="19"/>
          <w:color w:val="auto"/>
        </w:rPr>
        <w:t>I recognize that, in the event of a specifically applicable state law, regulation,</w:t>
      </w:r>
      <w:r>
        <w:rPr>
          <w:rFonts w:ascii="Arial" w:cs="Arial" w:eastAsia="Arial" w:hAnsi="Arial"/>
          <w:sz w:val="19"/>
          <w:szCs w:val="19"/>
          <w:b w:val="1"/>
          <w:bCs w:val="1"/>
          <w:color w:val="auto"/>
        </w:rPr>
        <w:t xml:space="preserve"> </w:t>
      </w:r>
      <w:r>
        <w:rPr>
          <w:rFonts w:ascii="Arial" w:cs="Arial" w:eastAsia="Arial" w:hAnsi="Arial"/>
          <w:sz w:val="19"/>
          <w:szCs w:val="19"/>
          <w:color w:val="auto"/>
        </w:rPr>
        <w:t>rule or public policy (“</w:t>
      </w:r>
      <w:r>
        <w:rPr>
          <w:rFonts w:ascii="Arial" w:cs="Arial" w:eastAsia="Arial" w:hAnsi="Arial"/>
          <w:sz w:val="19"/>
          <w:szCs w:val="19"/>
          <w:b w:val="1"/>
          <w:bCs w:val="1"/>
          <w:color w:val="auto"/>
        </w:rPr>
        <w:t>Specific Inventions Law</w:t>
      </w:r>
      <w:r>
        <w:rPr>
          <w:rFonts w:ascii="Arial" w:cs="Arial" w:eastAsia="Arial" w:hAnsi="Arial"/>
          <w:sz w:val="19"/>
          <w:szCs w:val="19"/>
          <w:color w:val="auto"/>
        </w:rPr>
        <w:t>”), this Agreement will not be deemed to require assignment of any invention which qualifies fully for protection under a Specific Inventions Law by virtue of the fact that any such invention was, for example, developed entirely on my own time without using the company’s equipment, supplies, facilities, or trade secrets and neither related to the company’s actual or anticipated business, research or development, nor resulted from work performed by me for the Company. Examples of Specific Inventions Laws include California Labor Code Section 2870 and the Revised Code of Washington Section 49.44.140.</w:t>
      </w:r>
    </w:p>
    <w:p>
      <w:pPr>
        <w:spacing w:after="0" w:line="1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 xml:space="preserve">Obligation to Keep Company Informed. </w:t>
      </w:r>
      <w:r>
        <w:rPr>
          <w:rFonts w:ascii="Arial" w:cs="Arial" w:eastAsia="Arial" w:hAnsi="Arial"/>
          <w:sz w:val="19"/>
          <w:szCs w:val="19"/>
          <w:color w:val="auto"/>
        </w:rPr>
        <w:t>While employed with the Company and for one (1) year after</w:t>
      </w:r>
      <w:r>
        <w:rPr>
          <w:rFonts w:ascii="Arial" w:cs="Arial" w:eastAsia="Arial" w:hAnsi="Arial"/>
          <w:sz w:val="19"/>
          <w:szCs w:val="19"/>
          <w:b w:val="1"/>
          <w:bCs w:val="1"/>
          <w:color w:val="auto"/>
        </w:rPr>
        <w:t xml:space="preserve"> </w:t>
      </w:r>
      <w:r>
        <w:rPr>
          <w:rFonts w:ascii="Arial" w:cs="Arial" w:eastAsia="Arial" w:hAnsi="Arial"/>
          <w:sz w:val="19"/>
          <w:szCs w:val="19"/>
          <w:color w:val="auto"/>
        </w:rPr>
        <w:t>my employment ends, I will promptly and fully disclose to the Company in writing (a) all Inventions I author, conceive or reduce to practice, either alone or with others and including any that might be covered under a Specific Inventions Law, and (b) all patent applications I file or in which I am named as an inventor or co-inventor.</w:t>
      </w:r>
    </w:p>
    <w:p>
      <w:pPr>
        <w:spacing w:after="0" w:line="13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Government or Third Party</w:t>
      </w:r>
      <w:r>
        <w:rPr>
          <w:rFonts w:ascii="Arial" w:cs="Arial" w:eastAsia="Arial" w:hAnsi="Arial"/>
          <w:sz w:val="22"/>
          <w:szCs w:val="22"/>
          <w:color w:val="auto"/>
        </w:rPr>
        <w:t>. I agree that, as directed by the Company, I will assign to a third party,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without limitation the United States, all my right, title, and interest in and to any particular Company Invention.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63887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98" w:right="919" w:bottom="1440" w:gutter="0" w:footer="0" w:header="0"/>
        </w:sectPr>
      </w:pPr>
    </w:p>
    <w:bookmarkStart w:id="93" w:name="page94"/>
    <w:bookmarkEnd w:id="93"/>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Enforcement of Intellectual Property Rights and Assistance. </w:t>
      </w:r>
      <w:r>
        <w:rPr>
          <w:rFonts w:ascii="Arial" w:cs="Arial" w:eastAsia="Arial" w:hAnsi="Arial"/>
          <w:sz w:val="19"/>
          <w:szCs w:val="19"/>
          <w:color w:val="auto"/>
        </w:rPr>
        <w:t>During and after the period of my</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I will assist Company in every proper way to obtain and enforce United States and foreign Intellectual Property Rights relating to Company Inventions in all countries. If the Company is unable to secure my signature on any document needed in connection with such purposes, I hereby irrevocably designate and appoint Company and its duly authorized officers and agents as my agent and attorney in fact, which appointment is coupled with an interest, to act on my behalf to execute and file any such documents and to do all other lawfully permitted acts to further such purposes with the same legal force and effect as if executed by me.</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Incorporation of Software Code. </w:t>
      </w:r>
      <w:r>
        <w:rPr>
          <w:rFonts w:ascii="Arial" w:cs="Arial" w:eastAsia="Arial" w:hAnsi="Arial"/>
          <w:sz w:val="21"/>
          <w:szCs w:val="21"/>
          <w:color w:val="auto"/>
        </w:rPr>
        <w:t>I agree that I will not incorporate into any Company software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deliver to 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RECORDS. </w:t>
      </w:r>
      <w:r>
        <w:rPr>
          <w:rFonts w:ascii="Arial" w:cs="Arial" w:eastAsia="Arial" w:hAnsi="Arial"/>
          <w:sz w:val="22"/>
          <w:szCs w:val="22"/>
          <w:color w:val="auto"/>
        </w:rPr>
        <w:t>I agree to keep and maintain adequate and current records (in the form of notes, sketches, drawings</w:t>
      </w:r>
      <w:r>
        <w:rPr>
          <w:rFonts w:ascii="Arial" w:cs="Arial" w:eastAsia="Arial" w:hAnsi="Arial"/>
          <w:sz w:val="22"/>
          <w:szCs w:val="22"/>
          <w:b w:val="1"/>
          <w:bCs w:val="1"/>
          <w:color w:val="auto"/>
        </w:rPr>
        <w:t xml:space="preserve"> </w:t>
      </w:r>
      <w:r>
        <w:rPr>
          <w:rFonts w:ascii="Arial" w:cs="Arial" w:eastAsia="Arial" w:hAnsi="Arial"/>
          <w:sz w:val="22"/>
          <w:szCs w:val="22"/>
          <w:color w:val="auto"/>
        </w:rPr>
        <w:t>and in any other form that is required by the Company) of all Inventions made by me during the period of my employment by the Company, which records shall be available to, and remain the sole property of, the Company at all times.</w:t>
      </w:r>
    </w:p>
    <w:p>
      <w:pPr>
        <w:spacing w:after="0" w:line="181"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ADDITIONAL ACTIVITIES. </w:t>
      </w:r>
      <w:r>
        <w:rPr>
          <w:rFonts w:ascii="Arial" w:cs="Arial" w:eastAsia="Arial" w:hAnsi="Arial"/>
          <w:sz w:val="19"/>
          <w:szCs w:val="19"/>
          <w:color w:val="auto"/>
        </w:rPr>
        <w:t>I agree that (a) during the term of my employment by Company, I will not,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express written consent, engage in any employment or business activity that is competitive with, or would otherwise conflict with my employment by, Company, and (b) for the period of my employment by Company and for one (l) year thereafter, I will not, either directly or indirectly, solicit or attempt to solicit any employee, independent contractor, or consultant of Company to terminate his, her or its relationship with Company in order to become an employee, consultant, or independent contractor to or for any other person or entity.</w:t>
      </w:r>
    </w:p>
    <w:p>
      <w:pPr>
        <w:spacing w:after="0" w:line="14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RETURN OF COMPANY PROPERTY. </w:t>
      </w:r>
      <w:r>
        <w:rPr>
          <w:rFonts w:ascii="Arial" w:cs="Arial" w:eastAsia="Arial" w:hAnsi="Arial"/>
          <w:sz w:val="19"/>
          <w:szCs w:val="19"/>
          <w:color w:val="auto"/>
        </w:rPr>
        <w:t>Upon termination of my employment or upon Company’s request at</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time, I will deliver to Company all of Company’s property, equipment, and documents, together with all copies thereof, and any other material containing or disclosing any Inventions, Third Party Information or Confidential Information and certify in writing that I have fully complied with the foregoing obligation. I agree that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the Company with a computer-useable copy of all such Confidential Information and then permanently delete and expunge such Confidential Information from those systems; and I agree to provide the Company access to my system as reasonably requested to verify that the necessary copying and/or deletion is completed. I further agree that any property situated on Company’s premises and owned by Company is subject to inspection by Company’s personnel at any time with or without notice. Prior to the termination of my employment or promptly after termination of my employment, I will cooperate with Company in attending an exit interview and certify in writing that I have complied with the requirements of this section.</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NOTIFICATION OF NEW EMPLOYER. </w:t>
      </w:r>
      <w:r>
        <w:rPr>
          <w:rFonts w:ascii="Arial" w:cs="Arial" w:eastAsia="Arial" w:hAnsi="Arial"/>
          <w:sz w:val="22"/>
          <w:szCs w:val="22"/>
          <w:color w:val="auto"/>
        </w:rPr>
        <w:t>If I leave the employ of Company, I consent to the notification of my</w:t>
      </w:r>
      <w:r>
        <w:rPr>
          <w:rFonts w:ascii="Arial" w:cs="Arial" w:eastAsia="Arial" w:hAnsi="Arial"/>
          <w:sz w:val="22"/>
          <w:szCs w:val="22"/>
          <w:b w:val="1"/>
          <w:bCs w:val="1"/>
          <w:color w:val="auto"/>
        </w:rPr>
        <w:t xml:space="preserve"> </w:t>
      </w:r>
      <w:r>
        <w:rPr>
          <w:rFonts w:ascii="Arial" w:cs="Arial" w:eastAsia="Arial" w:hAnsi="Arial"/>
          <w:sz w:val="22"/>
          <w:szCs w:val="22"/>
          <w:color w:val="auto"/>
        </w:rPr>
        <w:t>new employer of my rights and obligations under this Agreement, by Company providing a copy of this Agreement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PROVISIONS.</w:t>
      </w:r>
    </w:p>
    <w:p>
      <w:pPr>
        <w:spacing w:after="0" w:line="20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Governing Law and Venue. </w:t>
      </w:r>
      <w:r>
        <w:rPr>
          <w:rFonts w:ascii="Arial" w:cs="Arial" w:eastAsia="Arial" w:hAnsi="Arial"/>
          <w:sz w:val="19"/>
          <w:szCs w:val="19"/>
          <w:color w:val="auto"/>
        </w:rPr>
        <w:t>This Agreement and any action related thereto will be governed and</w:t>
      </w:r>
      <w:r>
        <w:rPr>
          <w:rFonts w:ascii="Arial" w:cs="Arial" w:eastAsia="Arial" w:hAnsi="Arial"/>
          <w:sz w:val="19"/>
          <w:szCs w:val="19"/>
          <w:b w:val="1"/>
          <w:bCs w:val="1"/>
          <w:color w:val="auto"/>
        </w:rPr>
        <w:t xml:space="preserve"> </w:t>
      </w:r>
      <w:r>
        <w:rPr>
          <w:rFonts w:ascii="Arial" w:cs="Arial" w:eastAsia="Arial" w:hAnsi="Arial"/>
          <w:sz w:val="19"/>
          <w:szCs w:val="19"/>
          <w:color w:val="auto"/>
        </w:rPr>
        <w:t>interpreted by and under the laws of the State of Arizona, without giving effect to any conflicts of laws principles that require the application of the law of a different state. I expressly consent to personal jurisdiction and venue in the state and federal courts for the county in which Company’s principal place of business is located for any lawsuit filed there against me by Company arising from or related to this Agreement.</w:t>
      </w:r>
    </w:p>
    <w:p>
      <w:pPr>
        <w:spacing w:after="0" w:line="125"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22"/>
          <w:szCs w:val="22"/>
          <w:b w:val="1"/>
          <w:bCs w:val="1"/>
          <w:color w:val="auto"/>
        </w:rPr>
        <w:t>Severability.</w:t>
      </w:r>
      <w:r>
        <w:rPr>
          <w:sz w:val="20"/>
          <w:szCs w:val="20"/>
          <w:color w:val="auto"/>
        </w:rPr>
        <w:tab/>
      </w:r>
      <w:r>
        <w:rPr>
          <w:rFonts w:ascii="Arial" w:cs="Arial" w:eastAsia="Arial" w:hAnsi="Arial"/>
          <w:sz w:val="19"/>
          <w:szCs w:val="19"/>
          <w:color w:val="auto"/>
        </w:rPr>
        <w:t>If any provision of this Agreement is, for any reason, held to be invalid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94" w:name="page95"/>
    <w:bookmarkEnd w:id="94"/>
    <w:p>
      <w:pPr>
        <w:jc w:val="both"/>
        <w:spacing w:after="0" w:line="300" w:lineRule="auto"/>
        <w:rPr>
          <w:sz w:val="20"/>
          <w:szCs w:val="20"/>
          <w:color w:val="auto"/>
        </w:rPr>
      </w:pPr>
      <w:r>
        <w:rPr>
          <w:rFonts w:ascii="Arial" w:cs="Arial" w:eastAsia="Arial" w:hAnsi="Arial"/>
          <w:sz w:val="19"/>
          <w:szCs w:val="19"/>
          <w:color w:val="auto"/>
        </w:rPr>
        <w:t>unenforceable, the other provisions of this Agreement will remain enforceable and the invalid or unenforceable provision will be deemed modified so that it is valid and enforceable to the maximum extent permitted by law.</w:t>
      </w:r>
    </w:p>
    <w:p>
      <w:pPr>
        <w:spacing w:after="0" w:line="9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b w:val="1"/>
          <w:bCs w:val="1"/>
          <w:color w:val="auto"/>
        </w:rPr>
        <w:t xml:space="preserve">Survival. </w:t>
      </w:r>
      <w:r>
        <w:rPr>
          <w:rFonts w:ascii="Arial" w:cs="Arial" w:eastAsia="Arial" w:hAnsi="Arial"/>
          <w:sz w:val="19"/>
          <w:szCs w:val="19"/>
          <w:color w:val="auto"/>
        </w:rPr>
        <w:t>This Agreement shall survive the termination of my employment and the assignment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by Company to any successor or other assignee and be binding upon my heirs and legal representatives.</w:t>
      </w:r>
    </w:p>
    <w:p>
      <w:pPr>
        <w:spacing w:after="0" w:line="9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Employment</w:t>
      </w:r>
      <w:r>
        <w:rPr>
          <w:rFonts w:ascii="Arial" w:cs="Arial" w:eastAsia="Arial" w:hAnsi="Arial"/>
          <w:sz w:val="21"/>
          <w:szCs w:val="21"/>
          <w:color w:val="auto"/>
        </w:rPr>
        <w:t>. I agree and understand that nothing in this Agreement shall give me any right to continued</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by Company, and it will not interfere in any way with my right or Company’s right to terminate my employment at any time, with or without cause and with or without advance notice.</w:t>
      </w:r>
    </w:p>
    <w:p>
      <w:pPr>
        <w:spacing w:after="0" w:line="15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b w:val="1"/>
          <w:bCs w:val="1"/>
          <w:color w:val="auto"/>
        </w:rPr>
        <w:t xml:space="preserve">Notices. </w:t>
      </w:r>
      <w:r>
        <w:rPr>
          <w:rFonts w:ascii="Arial" w:cs="Arial" w:eastAsia="Arial" w:hAnsi="Arial"/>
          <w:sz w:val="21"/>
          <w:szCs w:val="21"/>
          <w:color w:val="auto"/>
        </w:rPr>
        <w:t>Each party must deliver all notices or other communications required or permitted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in writing to the other party at the address listed on the signature page, by courier, by certified or registered mail (postage prepaid and return receipt requested), or by a nationally-recognized express mail service. Notice will be effective upon receipt or refusal of delivery. If delivered by certified or registered mail, notice will be considered to have been given five (5) business days after it was mailed, as evidenced by the postmark. If delivered by courier or express mail service, notice will be considered to have been given on the delivery date reflected by the courier or express mail service receipt. Each party may change its address for receipt of notice by giving notice of the change to the other party.</w:t>
      </w:r>
    </w:p>
    <w:p>
      <w:pPr>
        <w:spacing w:after="0" w:line="158"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2"/>
          <w:szCs w:val="22"/>
          <w:b w:val="1"/>
          <w:bCs w:val="1"/>
          <w:color w:val="auto"/>
        </w:rPr>
        <w:t>Injunctive Relief</w:t>
      </w:r>
      <w:r>
        <w:rPr>
          <w:rFonts w:ascii="Arial" w:cs="Arial" w:eastAsia="Arial" w:hAnsi="Arial"/>
          <w:sz w:val="22"/>
          <w:szCs w:val="22"/>
          <w:color w:val="auto"/>
        </w:rPr>
        <w:t>. I acknowledge that, because my services are personal and unique and because I will</w:t>
      </w:r>
      <w:r>
        <w:rPr>
          <w:rFonts w:ascii="Arial" w:cs="Arial" w:eastAsia="Arial" w:hAnsi="Arial"/>
          <w:sz w:val="22"/>
          <w:szCs w:val="22"/>
          <w:b w:val="1"/>
          <w:bCs w:val="1"/>
          <w:color w:val="auto"/>
        </w:rPr>
        <w:t xml:space="preserve"> </w:t>
      </w:r>
      <w:r>
        <w:rPr>
          <w:rFonts w:ascii="Arial" w:cs="Arial" w:eastAsia="Arial" w:hAnsi="Arial"/>
          <w:sz w:val="22"/>
          <w:szCs w:val="22"/>
          <w:color w:val="auto"/>
        </w:rPr>
        <w:t>have access to the Confidential Information of Company, any breach of this Agreement by me would cause irreparable injury to Company for which monetary damages would not be an adequate remedy and, therefore, will entitle Company to injunctive relief (including specific performance). The rights and remedies provided to each party in this Agreement are cumulative and in addition to any other rights and remedies available to such party at law or in equity.</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Any waiver or failure to enforce any provision of this Agreement on one occasion will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 waiver of that provision or any other provision on any other occasion.</w:t>
      </w:r>
    </w:p>
    <w:p>
      <w:pPr>
        <w:spacing w:after="0" w:line="1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Export</w:t>
      </w:r>
      <w:r>
        <w:rPr>
          <w:rFonts w:ascii="Arial" w:cs="Arial" w:eastAsia="Arial" w:hAnsi="Arial"/>
          <w:sz w:val="19"/>
          <w:szCs w:val="19"/>
          <w:color w:val="auto"/>
        </w:rPr>
        <w:t>. I agree not to export, directly or indirectly, any U.S. technical data acquired from Company or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products utilizing such data, to countries outside the United States, because </w:t>
      </w:r>
      <w:r>
        <w:rPr>
          <w:rFonts w:ascii="Arial" w:cs="Arial" w:eastAsia="Arial" w:hAnsi="Arial"/>
          <w:sz w:val="16"/>
          <w:szCs w:val="16"/>
          <w:color w:val="auto"/>
        </w:rPr>
        <w:t>such export</w:t>
      </w:r>
      <w:r>
        <w:rPr>
          <w:rFonts w:ascii="Arial" w:cs="Arial" w:eastAsia="Arial" w:hAnsi="Arial"/>
          <w:sz w:val="19"/>
          <w:szCs w:val="19"/>
          <w:color w:val="auto"/>
        </w:rPr>
        <w:t xml:space="preserve"> could be in violation of the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United States export laws or regulations.</w:t>
      </w:r>
    </w:p>
    <w:p>
      <w:pPr>
        <w:spacing w:after="0" w:line="15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b w:val="1"/>
          <w:bCs w:val="1"/>
          <w:color w:val="auto"/>
        </w:rPr>
        <w:t xml:space="preserve">Entire Agreement. </w:t>
      </w:r>
      <w:r>
        <w:rPr>
          <w:rFonts w:ascii="Arial" w:cs="Arial" w:eastAsia="Arial" w:hAnsi="Arial"/>
          <w:sz w:val="19"/>
          <w:szCs w:val="19"/>
          <w:color w:val="auto"/>
        </w:rPr>
        <w:t>If no other agreement governs nondisclosure and assignment of inventions during any</w:t>
      </w:r>
      <w:r>
        <w:rPr>
          <w:rFonts w:ascii="Arial" w:cs="Arial" w:eastAsia="Arial" w:hAnsi="Arial"/>
          <w:sz w:val="19"/>
          <w:szCs w:val="19"/>
          <w:b w:val="1"/>
          <w:bCs w:val="1"/>
          <w:color w:val="auto"/>
        </w:rPr>
        <w:t xml:space="preserve"> </w:t>
      </w:r>
      <w:r>
        <w:rPr>
          <w:rFonts w:ascii="Arial" w:cs="Arial" w:eastAsia="Arial" w:hAnsi="Arial"/>
          <w:sz w:val="19"/>
          <w:szCs w:val="19"/>
          <w:color w:val="auto"/>
        </w:rPr>
        <w:t>period in which I was previously employed or am in the future employed by Company as an independent contractor, the obligations pursuant to sections of this Agreement titled “Confidential Information Protections” and “Inventions” shall apply. This Agreement is the final, complete and exclusive agreement of the parties with respect to the subject matter hereof and supersedes and merges all prior communications between us with respect to such matters. No modification of or amendment to this Agreement, or any waiver of any rights under this Agreement, will be effective unless in writing and signed by me and the CEO of Company. Any subsequent change or changes in my duties, salary or compensation will not affect the validity or scope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63887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4" w:right="919" w:bottom="1440" w:gutter="0" w:footer="0" w:header="0"/>
        </w:sectPr>
      </w:pPr>
    </w:p>
    <w:bookmarkStart w:id="95" w:name="page96"/>
    <w:bookmarkEnd w:id="95"/>
    <w:p>
      <w:pPr>
        <w:spacing w:after="0" w:line="232" w:lineRule="auto"/>
        <w:rPr>
          <w:sz w:val="20"/>
          <w:szCs w:val="20"/>
          <w:color w:val="auto"/>
        </w:rPr>
      </w:pPr>
      <w:r>
        <w:rPr>
          <w:rFonts w:ascii="Arial" w:cs="Arial" w:eastAsia="Arial" w:hAnsi="Arial"/>
          <w:sz w:val="22"/>
          <w:szCs w:val="22"/>
          <w:color w:val="auto"/>
        </w:rPr>
        <w:t>This Employee Proprietary Information and Inventions Assignment Agreement shall be effective as of the first day of my employment with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20" w:type="dxa"/>
            <w:vAlign w:val="bottom"/>
            <w:gridSpan w:val="3"/>
          </w:tcPr>
          <w:p>
            <w:pPr>
              <w:spacing w:after="0"/>
              <w:rPr>
                <w:sz w:val="20"/>
                <w:szCs w:val="20"/>
                <w:color w:val="auto"/>
              </w:rPr>
            </w:pPr>
            <w:r>
              <w:rPr>
                <w:rFonts w:ascii="Arial" w:cs="Arial" w:eastAsia="Arial" w:hAnsi="Arial"/>
                <w:sz w:val="22"/>
                <w:szCs w:val="22"/>
                <w:b w:val="1"/>
                <w:bCs w:val="1"/>
                <w:color w:val="auto"/>
              </w:rPr>
              <w:t>EMPLOYEE:</w:t>
            </w:r>
          </w:p>
        </w:tc>
        <w:tc>
          <w:tcPr>
            <w:tcW w:w="2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22"/>
                <w:szCs w:val="22"/>
                <w:b w:val="1"/>
                <w:bCs w:val="1"/>
                <w:color w:val="auto"/>
              </w:rPr>
              <w:t>COMPANY: EVERSPIN TECHNOLOGIES, INC.</w:t>
            </w:r>
          </w:p>
        </w:tc>
      </w:tr>
      <w:tr>
        <w:trPr>
          <w:trHeight w:val="230"/>
        </w:trPr>
        <w:tc>
          <w:tcPr>
            <w:tcW w:w="4620" w:type="dxa"/>
            <w:vAlign w:val="bottom"/>
            <w:gridSpan w:val="3"/>
          </w:tcPr>
          <w:p>
            <w:pPr>
              <w:spacing w:after="0" w:line="229" w:lineRule="exact"/>
              <w:rPr>
                <w:sz w:val="20"/>
                <w:szCs w:val="20"/>
                <w:color w:val="auto"/>
              </w:rPr>
            </w:pPr>
            <w:r>
              <w:rPr>
                <w:rFonts w:ascii="Arial" w:cs="Arial" w:eastAsia="Arial" w:hAnsi="Arial"/>
                <w:sz w:val="22"/>
                <w:szCs w:val="22"/>
                <w:b w:val="1"/>
                <w:bCs w:val="1"/>
                <w:color w:val="auto"/>
                <w:w w:val="99"/>
              </w:rPr>
              <w:t>I HAVE READ, UNDERSTAND, AND ACCEPT</w:t>
            </w:r>
          </w:p>
        </w:tc>
        <w:tc>
          <w:tcPr>
            <w:tcW w:w="220" w:type="dxa"/>
            <w:vAlign w:val="bottom"/>
          </w:tcPr>
          <w:p>
            <w:pPr>
              <w:spacing w:after="0"/>
              <w:rPr>
                <w:sz w:val="19"/>
                <w:szCs w:val="19"/>
                <w:color w:val="auto"/>
              </w:rPr>
            </w:pPr>
          </w:p>
        </w:tc>
        <w:tc>
          <w:tcPr>
            <w:tcW w:w="5220" w:type="dxa"/>
            <w:vAlign w:val="bottom"/>
            <w:gridSpan w:val="2"/>
          </w:tcPr>
          <w:p>
            <w:pPr>
              <w:spacing w:after="0" w:line="229" w:lineRule="exact"/>
              <w:rPr>
                <w:sz w:val="20"/>
                <w:szCs w:val="20"/>
                <w:color w:val="auto"/>
              </w:rPr>
            </w:pPr>
            <w:r>
              <w:rPr>
                <w:rFonts w:ascii="Arial" w:cs="Arial" w:eastAsia="Arial" w:hAnsi="Arial"/>
                <w:sz w:val="22"/>
                <w:szCs w:val="22"/>
                <w:b w:val="1"/>
                <w:bCs w:val="1"/>
                <w:color w:val="auto"/>
              </w:rPr>
              <w:t>ACCEPTED AND AGREED:</w:t>
            </w:r>
          </w:p>
        </w:tc>
      </w:tr>
      <w:tr>
        <w:trPr>
          <w:trHeight w:val="230"/>
        </w:trPr>
        <w:tc>
          <w:tcPr>
            <w:tcW w:w="4620" w:type="dxa"/>
            <w:vAlign w:val="bottom"/>
            <w:gridSpan w:val="3"/>
          </w:tcPr>
          <w:p>
            <w:pPr>
              <w:spacing w:after="0" w:line="229" w:lineRule="exact"/>
              <w:rPr>
                <w:sz w:val="20"/>
                <w:szCs w:val="20"/>
                <w:color w:val="auto"/>
              </w:rPr>
            </w:pPr>
            <w:r>
              <w:rPr>
                <w:rFonts w:ascii="Arial" w:cs="Arial" w:eastAsia="Arial" w:hAnsi="Arial"/>
                <w:sz w:val="22"/>
                <w:szCs w:val="22"/>
                <w:b w:val="1"/>
                <w:bCs w:val="1"/>
                <w:color w:val="auto"/>
              </w:rPr>
              <w:t>THIS AGREEMENT AND HAVE BEEN GIVEN</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230"/>
        </w:trPr>
        <w:tc>
          <w:tcPr>
            <w:tcW w:w="4620" w:type="dxa"/>
            <w:vAlign w:val="bottom"/>
            <w:gridSpan w:val="3"/>
          </w:tcPr>
          <w:p>
            <w:pPr>
              <w:spacing w:after="0" w:line="229" w:lineRule="exact"/>
              <w:rPr>
                <w:sz w:val="20"/>
                <w:szCs w:val="20"/>
                <w:color w:val="auto"/>
              </w:rPr>
            </w:pPr>
            <w:r>
              <w:rPr>
                <w:rFonts w:ascii="Arial" w:cs="Arial" w:eastAsia="Arial" w:hAnsi="Arial"/>
                <w:sz w:val="22"/>
                <w:szCs w:val="22"/>
                <w:b w:val="1"/>
                <w:bCs w:val="1"/>
                <w:color w:val="auto"/>
              </w:rPr>
              <w:t>THE OPPORTUNITY TO REVIEW IT WITH</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281"/>
        </w:trPr>
        <w:tc>
          <w:tcPr>
            <w:tcW w:w="4620" w:type="dxa"/>
            <w:vAlign w:val="bottom"/>
            <w:gridSpan w:val="3"/>
          </w:tcPr>
          <w:p>
            <w:pPr>
              <w:spacing w:after="0"/>
              <w:rPr>
                <w:sz w:val="20"/>
                <w:szCs w:val="20"/>
                <w:color w:val="auto"/>
              </w:rPr>
            </w:pPr>
            <w:r>
              <w:rPr>
                <w:rFonts w:ascii="Arial" w:cs="Arial" w:eastAsia="Arial" w:hAnsi="Arial"/>
                <w:sz w:val="22"/>
                <w:szCs w:val="22"/>
                <w:b w:val="1"/>
                <w:bCs w:val="1"/>
                <w:color w:val="auto"/>
              </w:rPr>
              <w:t>INDEPENDENT LEGAL COUNSEL.</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665"/>
        </w:trPr>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/s/ Patrick M Patla</w:t>
            </w:r>
          </w:p>
        </w:tc>
        <w:tc>
          <w:tcPr>
            <w:tcW w:w="220" w:type="dxa"/>
            <w:vAlign w:val="bottom"/>
          </w:tcPr>
          <w:p>
            <w:pPr>
              <w:spacing w:after="0"/>
              <w:rPr>
                <w:sz w:val="24"/>
                <w:szCs w:val="24"/>
                <w:color w:val="auto"/>
              </w:rPr>
            </w:pP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Jeff Winzeler</w:t>
            </w:r>
          </w:p>
        </w:tc>
      </w:tr>
      <w:tr>
        <w:trPr>
          <w:trHeight w:val="268"/>
        </w:trPr>
        <w:tc>
          <w:tcPr>
            <w:tcW w:w="4620" w:type="dxa"/>
            <w:vAlign w:val="bottom"/>
            <w:gridSpan w:val="3"/>
          </w:tcPr>
          <w:p>
            <w:pPr>
              <w:spacing w:after="0"/>
              <w:rPr>
                <w:sz w:val="20"/>
                <w:szCs w:val="20"/>
                <w:color w:val="auto"/>
              </w:rPr>
            </w:pPr>
            <w:r>
              <w:rPr>
                <w:rFonts w:ascii="Arial" w:cs="Arial" w:eastAsia="Arial" w:hAnsi="Arial"/>
                <w:sz w:val="22"/>
                <w:szCs w:val="22"/>
                <w:i w:val="1"/>
                <w:iCs w:val="1"/>
                <w:color w:val="auto"/>
              </w:rPr>
              <w:t>(Signature)</w:t>
            </w:r>
          </w:p>
        </w:tc>
        <w:tc>
          <w:tcPr>
            <w:tcW w:w="220" w:type="dxa"/>
            <w:vAlign w:val="bottom"/>
          </w:tcPr>
          <w:p>
            <w:pPr>
              <w:spacing w:after="0"/>
              <w:rPr>
                <w:sz w:val="23"/>
                <w:szCs w:val="23"/>
                <w:color w:val="auto"/>
              </w:rPr>
            </w:pPr>
          </w:p>
        </w:tc>
        <w:tc>
          <w:tcPr>
            <w:tcW w:w="5220" w:type="dxa"/>
            <w:vAlign w:val="bottom"/>
            <w:gridSpan w:val="2"/>
          </w:tcPr>
          <w:p>
            <w:pPr>
              <w:spacing w:after="0"/>
              <w:rPr>
                <w:sz w:val="20"/>
                <w:szCs w:val="20"/>
                <w:color w:val="auto"/>
              </w:rPr>
            </w:pPr>
            <w:r>
              <w:rPr>
                <w:rFonts w:ascii="Arial" w:cs="Arial" w:eastAsia="Arial" w:hAnsi="Arial"/>
                <w:sz w:val="22"/>
                <w:szCs w:val="22"/>
                <w:i w:val="1"/>
                <w:iCs w:val="1"/>
                <w:color w:val="auto"/>
              </w:rPr>
              <w:t>(Signature)</w:t>
            </w:r>
          </w:p>
        </w:tc>
      </w:tr>
      <w:tr>
        <w:trPr>
          <w:trHeight w:val="414"/>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160" w:type="dxa"/>
            <w:vAlign w:val="bottom"/>
          </w:tcPr>
          <w:p>
            <w:pPr>
              <w:spacing w:after="0"/>
              <w:rPr>
                <w:sz w:val="24"/>
                <w:szCs w:val="24"/>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Patrick M Patla</w:t>
            </w:r>
          </w:p>
        </w:tc>
        <w:tc>
          <w:tcPr>
            <w:tcW w:w="2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Jeff Winzeler</w:t>
            </w:r>
          </w:p>
        </w:tc>
      </w:tr>
      <w:tr>
        <w:trPr>
          <w:trHeight w:val="439"/>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160" w:type="dxa"/>
            <w:vAlign w:val="bottom"/>
          </w:tcPr>
          <w:p>
            <w:pPr>
              <w:spacing w:after="0"/>
              <w:rPr>
                <w:sz w:val="24"/>
                <w:szCs w:val="24"/>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SVP of Marketing</w:t>
            </w:r>
          </w:p>
        </w:tc>
        <w:tc>
          <w:tcPr>
            <w:tcW w:w="2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44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CFO</w:t>
            </w:r>
          </w:p>
        </w:tc>
      </w:tr>
      <w:tr>
        <w:trPr>
          <w:trHeight w:val="439"/>
        </w:trPr>
        <w:tc>
          <w:tcPr>
            <w:tcW w:w="620" w:type="dxa"/>
            <w:vAlign w:val="bottom"/>
          </w:tcPr>
          <w:p>
            <w:pPr>
              <w:spacing w:after="0"/>
              <w:rPr>
                <w:sz w:val="20"/>
                <w:szCs w:val="20"/>
                <w:color w:val="auto"/>
              </w:rPr>
            </w:pPr>
            <w:r>
              <w:rPr>
                <w:rFonts w:ascii="Arial" w:cs="Arial" w:eastAsia="Arial" w:hAnsi="Arial"/>
                <w:sz w:val="22"/>
                <w:szCs w:val="22"/>
                <w:color w:val="auto"/>
              </w:rPr>
              <w:t>Date:</w:t>
            </w:r>
          </w:p>
        </w:tc>
        <w:tc>
          <w:tcPr>
            <w:tcW w:w="160" w:type="dxa"/>
            <w:vAlign w:val="bottom"/>
          </w:tcPr>
          <w:p>
            <w:pPr>
              <w:spacing w:after="0"/>
              <w:rPr>
                <w:sz w:val="24"/>
                <w:szCs w:val="24"/>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January 10, 2017</w:t>
            </w:r>
          </w:p>
        </w:tc>
        <w:tc>
          <w:tcPr>
            <w:tcW w:w="2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22"/>
                <w:szCs w:val="22"/>
                <w:color w:val="auto"/>
              </w:rPr>
              <w:t>Date:</w:t>
            </w:r>
          </w:p>
        </w:tc>
        <w:tc>
          <w:tcPr>
            <w:tcW w:w="44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January 12, 2017</w:t>
            </w:r>
          </w:p>
        </w:tc>
      </w:tr>
      <w:tr>
        <w:trPr>
          <w:trHeight w:val="439"/>
        </w:trPr>
        <w:tc>
          <w:tcPr>
            <w:tcW w:w="4620" w:type="dxa"/>
            <w:vAlign w:val="bottom"/>
            <w:gridSpan w:val="3"/>
          </w:tcPr>
          <w:p>
            <w:pPr>
              <w:spacing w:after="0"/>
              <w:rPr>
                <w:sz w:val="20"/>
                <w:szCs w:val="20"/>
                <w:color w:val="auto"/>
              </w:rPr>
            </w:pPr>
            <w:r>
              <w:rPr>
                <w:rFonts w:ascii="Arial" w:cs="Arial" w:eastAsia="Arial" w:hAnsi="Arial"/>
                <w:sz w:val="22"/>
                <w:szCs w:val="22"/>
                <w:color w:val="auto"/>
              </w:rPr>
              <w:t>Address:4201 Prince Andrew Lane, Austin, TX</w:t>
            </w:r>
          </w:p>
        </w:tc>
        <w:tc>
          <w:tcPr>
            <w:tcW w:w="2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22"/>
                <w:szCs w:val="22"/>
                <w:color w:val="auto"/>
              </w:rPr>
              <w:t>Address:1300 N Alma School</w:t>
            </w:r>
          </w:p>
        </w:tc>
      </w:tr>
      <w:tr>
        <w:trPr>
          <w:trHeight w:val="230"/>
        </w:trPr>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4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40" w:type="dxa"/>
            <w:vAlign w:val="bottom"/>
            <w:tcBorders>
              <w:top w:val="single" w:sz="8" w:color="auto"/>
              <w:bottom w:val="single" w:sz="8" w:color="auto"/>
            </w:tcBorders>
          </w:tcPr>
          <w:p>
            <w:pPr>
              <w:spacing w:after="0"/>
              <w:rPr>
                <w:sz w:val="20"/>
                <w:szCs w:val="20"/>
                <w:color w:val="auto"/>
              </w:rPr>
            </w:pPr>
          </w:p>
        </w:tc>
      </w:tr>
    </w:tbl>
    <w:p>
      <w:pPr>
        <w:sectPr>
          <w:pgSz w:w="11900" w:h="16838" w:orient="portrait"/>
          <w:cols w:equalWidth="0" w:num="1">
            <w:col w:w="10060"/>
          </w:cols>
          <w:pgMar w:left="920" w:top="537" w:right="919" w:bottom="1440" w:gutter="0" w:footer="0" w:header="0"/>
        </w:sectPr>
      </w:pPr>
    </w:p>
    <w:bookmarkStart w:id="96" w:name="page97"/>
    <w:bookmarkEnd w:id="96"/>
    <w:p>
      <w:pPr>
        <w:jc w:val="center"/>
        <w:spacing w:after="0"/>
        <w:rPr>
          <w:sz w:val="20"/>
          <w:szCs w:val="20"/>
          <w:color w:val="auto"/>
        </w:rPr>
      </w:pPr>
      <w:r>
        <w:rPr>
          <w:rFonts w:ascii="Arial" w:cs="Arial" w:eastAsia="Arial" w:hAnsi="Arial"/>
          <w:sz w:val="22"/>
          <w:szCs w:val="22"/>
          <w:b w:val="1"/>
          <w:bCs w:val="1"/>
          <w:color w:val="auto"/>
        </w:rPr>
        <w:t>EXHIBIT 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INVENTIONS</w:t>
      </w:r>
    </w:p>
    <w:p>
      <w:pPr>
        <w:spacing w:after="0" w:line="179" w:lineRule="exact"/>
        <w:rPr>
          <w:sz w:val="20"/>
          <w:szCs w:val="20"/>
          <w:color w:val="auto"/>
        </w:rPr>
      </w:pPr>
    </w:p>
    <w:p>
      <w:pPr>
        <w:jc w:val="both"/>
        <w:ind w:left="1" w:hanging="1"/>
        <w:spacing w:after="0" w:line="225" w:lineRule="auto"/>
        <w:tabs>
          <w:tab w:leader="none" w:pos="892"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Prior Inventions Disclosure. </w:t>
      </w:r>
      <w:r>
        <w:rPr>
          <w:rFonts w:ascii="Arial" w:cs="Arial" w:eastAsia="Arial" w:hAnsi="Arial"/>
          <w:sz w:val="22"/>
          <w:szCs w:val="22"/>
          <w:color w:val="auto"/>
        </w:rPr>
        <w:t>The following is a complete list of all Prior Inventions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2.2 of the attached Employee Proprietary Information and Inventions Assignment Agreement, defined herein as the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left="1361" w:hanging="712"/>
        <w:spacing w:after="0"/>
        <w:tabs>
          <w:tab w:leader="none" w:pos="1361" w:val="left"/>
        </w:tabs>
        <w:numPr>
          <w:ilvl w:val="1"/>
          <w:numId w:val="40"/>
        </w:numPr>
        <w:rPr>
          <w:rFonts w:ascii="MS PGothic" w:cs="MS PGothic" w:eastAsia="MS PGothic" w:hAnsi="MS PGothic"/>
          <w:sz w:val="25"/>
          <w:szCs w:val="25"/>
          <w:color w:val="auto"/>
        </w:rPr>
      </w:pPr>
      <w:r>
        <w:rPr>
          <w:rFonts w:ascii="Arial" w:cs="Arial" w:eastAsia="Arial" w:hAnsi="Arial"/>
          <w:sz w:val="22"/>
          <w:szCs w:val="22"/>
          <w:color w:val="auto"/>
        </w:rPr>
        <w:t>None</w:t>
      </w:r>
    </w:p>
    <w:p>
      <w:pPr>
        <w:spacing w:after="0" w:line="211" w:lineRule="exact"/>
        <w:rPr>
          <w:rFonts w:ascii="MS PGothic" w:cs="MS PGothic" w:eastAsia="MS PGothic" w:hAnsi="MS PGothic"/>
          <w:sz w:val="25"/>
          <w:szCs w:val="25"/>
          <w:color w:val="auto"/>
        </w:rPr>
      </w:pPr>
    </w:p>
    <w:p>
      <w:pPr>
        <w:ind w:left="1361" w:hanging="712"/>
        <w:spacing w:after="0"/>
        <w:tabs>
          <w:tab w:leader="none" w:pos="1361" w:val="left"/>
        </w:tabs>
        <w:numPr>
          <w:ilvl w:val="1"/>
          <w:numId w:val="40"/>
        </w:numPr>
        <w:rPr>
          <w:rFonts w:ascii="MS PGothic" w:cs="MS PGothic" w:eastAsia="MS PGothic" w:hAnsi="MS PGothic"/>
          <w:sz w:val="25"/>
          <w:szCs w:val="25"/>
          <w:color w:val="auto"/>
        </w:rPr>
      </w:pPr>
      <w:r>
        <w:rPr>
          <w:rFonts w:ascii="Arial" w:cs="Arial" w:eastAsia="Arial" w:hAnsi="Arial"/>
          <w:sz w:val="22"/>
          <w:szCs w:val="22"/>
          <w:color w:val="auto"/>
        </w:rPr>
        <w:t>See immediately below:</w:t>
      </w:r>
    </w:p>
    <w:p>
      <w:pPr>
        <w:spacing w:after="0" w:line="184" w:lineRule="exact"/>
        <w:rPr>
          <w:rFonts w:ascii="MS PGothic" w:cs="MS PGothic" w:eastAsia="MS PGothic" w:hAnsi="MS PGothic"/>
          <w:sz w:val="25"/>
          <w:szCs w:val="25"/>
          <w:color w:val="auto"/>
        </w:rPr>
      </w:pPr>
    </w:p>
    <w:p>
      <w:pPr>
        <w:ind w:left="641"/>
        <w:spacing w:after="0"/>
        <w:rPr>
          <w:rFonts w:ascii="MS PGothic" w:cs="MS PGothic" w:eastAsia="MS PGothic" w:hAnsi="MS PGothic"/>
          <w:sz w:val="25"/>
          <w:szCs w:val="25"/>
          <w:color w:val="auto"/>
        </w:rPr>
      </w:pPr>
      <w:r>
        <w:rPr>
          <w:rFonts w:ascii="Arial" w:cs="Arial" w:eastAsia="Arial" w:hAnsi="Arial"/>
          <w:sz w:val="19"/>
          <w:szCs w:val="19"/>
          <w:color w:val="auto"/>
        </w:rPr>
        <w:t>_________________________________________________________________________________</w:t>
      </w:r>
    </w:p>
    <w:p>
      <w:pPr>
        <w:spacing w:after="0" w:line="213" w:lineRule="exact"/>
        <w:rPr>
          <w:rFonts w:ascii="MS PGothic" w:cs="MS PGothic" w:eastAsia="MS PGothic" w:hAnsi="MS PGothic"/>
          <w:sz w:val="25"/>
          <w:szCs w:val="25"/>
          <w:color w:val="auto"/>
        </w:rPr>
      </w:pPr>
    </w:p>
    <w:p>
      <w:pPr>
        <w:ind w:left="641"/>
        <w:spacing w:after="0"/>
        <w:rPr>
          <w:rFonts w:ascii="MS PGothic" w:cs="MS PGothic" w:eastAsia="MS PGothic" w:hAnsi="MS PGothic"/>
          <w:sz w:val="25"/>
          <w:szCs w:val="25"/>
          <w:color w:val="auto"/>
        </w:rPr>
      </w:pPr>
      <w:r>
        <w:rPr>
          <w:rFonts w:ascii="Arial" w:cs="Arial" w:eastAsia="Arial" w:hAnsi="Arial"/>
          <w:sz w:val="19"/>
          <w:szCs w:val="19"/>
          <w:color w:val="auto"/>
        </w:rPr>
        <w:t>_________________________________________________________________________________</w:t>
      </w:r>
    </w:p>
    <w:p>
      <w:pPr>
        <w:spacing w:after="0" w:line="207" w:lineRule="exact"/>
        <w:rPr>
          <w:rFonts w:ascii="MS PGothic" w:cs="MS PGothic" w:eastAsia="MS PGothic" w:hAnsi="MS PGothic"/>
          <w:sz w:val="25"/>
          <w:szCs w:val="25"/>
          <w:color w:val="auto"/>
        </w:rPr>
      </w:pPr>
    </w:p>
    <w:p>
      <w:pPr>
        <w:ind w:left="641" w:hanging="641"/>
        <w:spacing w:after="0"/>
        <w:tabs>
          <w:tab w:leader="none" w:pos="641"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Limited Exclusion Notification.</w:t>
      </w:r>
    </w:p>
    <w:p>
      <w:pPr>
        <w:spacing w:after="0" w:line="179" w:lineRule="exact"/>
        <w:rPr>
          <w:sz w:val="20"/>
          <w:szCs w:val="20"/>
          <w:color w:val="auto"/>
        </w:rPr>
      </w:pPr>
    </w:p>
    <w:p>
      <w:pPr>
        <w:jc w:val="both"/>
        <w:ind w:left="1" w:firstLine="648"/>
        <w:spacing w:after="0" w:line="220" w:lineRule="auto"/>
        <w:rPr>
          <w:sz w:val="20"/>
          <w:szCs w:val="20"/>
          <w:color w:val="auto"/>
        </w:rPr>
      </w:pPr>
      <w:r>
        <w:rPr>
          <w:rFonts w:ascii="Arial" w:cs="Arial" w:eastAsia="Arial" w:hAnsi="Arial"/>
          <w:sz w:val="22"/>
          <w:szCs w:val="22"/>
          <w:b w:val="1"/>
          <w:bCs w:val="1"/>
          <w:color w:val="auto"/>
        </w:rPr>
        <w:t xml:space="preserve">THIS IS TO NOTIFY </w:t>
      </w:r>
      <w:r>
        <w:rPr>
          <w:rFonts w:ascii="Arial" w:cs="Arial" w:eastAsia="Arial" w:hAnsi="Arial"/>
          <w:sz w:val="22"/>
          <w:szCs w:val="22"/>
          <w:color w:val="auto"/>
        </w:rPr>
        <w:t>you in accordance with any applicable Specific Inventions Law that the foregoing</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between you and Company does not require you to assign or offer to assign to Company any Invention that you develop entirely on your own time without using Company’s equipment, supplies, facilities or trade secret information, except for those Inventions that either:</w:t>
      </w:r>
    </w:p>
    <w:p>
      <w:pPr>
        <w:spacing w:after="0" w:line="159" w:lineRule="exact"/>
        <w:rPr>
          <w:sz w:val="20"/>
          <w:szCs w:val="20"/>
          <w:color w:val="auto"/>
        </w:rPr>
      </w:pPr>
    </w:p>
    <w:p>
      <w:pPr>
        <w:ind w:left="1" w:firstLine="648"/>
        <w:spacing w:after="0" w:line="232" w:lineRule="auto"/>
        <w:tabs>
          <w:tab w:leader="none" w:pos="1595" w:val="left"/>
        </w:tabs>
        <w:numPr>
          <w:ilvl w:val="0"/>
          <w:numId w:val="41"/>
        </w:numPr>
        <w:rPr>
          <w:rFonts w:ascii="Arial" w:cs="Arial" w:eastAsia="Arial" w:hAnsi="Arial"/>
          <w:sz w:val="22"/>
          <w:szCs w:val="22"/>
          <w:b w:val="1"/>
          <w:bCs w:val="1"/>
          <w:color w:val="auto"/>
        </w:rPr>
      </w:pPr>
      <w:r>
        <w:rPr>
          <w:rFonts w:ascii="Arial" w:cs="Arial" w:eastAsia="Arial" w:hAnsi="Arial"/>
          <w:sz w:val="22"/>
          <w:szCs w:val="22"/>
          <w:color w:val="auto"/>
        </w:rPr>
        <w:t>Relate at the time of conception or reduction to practice to Company’s business, or actual or demonstrably anticipated research or development; or</w:t>
      </w:r>
    </w:p>
    <w:p>
      <w:pPr>
        <w:spacing w:after="0" w:line="159" w:lineRule="exact"/>
        <w:rPr>
          <w:rFonts w:ascii="Arial" w:cs="Arial" w:eastAsia="Arial" w:hAnsi="Arial"/>
          <w:sz w:val="22"/>
          <w:szCs w:val="22"/>
          <w:b w:val="1"/>
          <w:bCs w:val="1"/>
          <w:color w:val="auto"/>
        </w:rPr>
      </w:pPr>
    </w:p>
    <w:p>
      <w:pPr>
        <w:ind w:left="1301" w:hanging="652"/>
        <w:spacing w:after="0"/>
        <w:tabs>
          <w:tab w:leader="none" w:pos="1301" w:val="left"/>
        </w:tabs>
        <w:numPr>
          <w:ilvl w:val="0"/>
          <w:numId w:val="41"/>
        </w:numPr>
        <w:rPr>
          <w:rFonts w:ascii="Arial" w:cs="Arial" w:eastAsia="Arial" w:hAnsi="Arial"/>
          <w:sz w:val="22"/>
          <w:szCs w:val="22"/>
          <w:b w:val="1"/>
          <w:bCs w:val="1"/>
          <w:color w:val="auto"/>
        </w:rPr>
      </w:pPr>
      <w:r>
        <w:rPr>
          <w:rFonts w:ascii="Arial" w:cs="Arial" w:eastAsia="Arial" w:hAnsi="Arial"/>
          <w:sz w:val="22"/>
          <w:szCs w:val="22"/>
          <w:color w:val="auto"/>
        </w:rPr>
        <w:t>Result from any work performed by you for Company.</w:t>
      </w:r>
    </w:p>
    <w:p>
      <w:pPr>
        <w:spacing w:after="0" w:line="179" w:lineRule="exact"/>
        <w:rPr>
          <w:sz w:val="20"/>
          <w:szCs w:val="20"/>
          <w:color w:val="auto"/>
        </w:rPr>
      </w:pPr>
    </w:p>
    <w:p>
      <w:pPr>
        <w:jc w:val="both"/>
        <w:ind w:left="1" w:firstLine="648"/>
        <w:spacing w:after="0" w:line="223" w:lineRule="auto"/>
        <w:rPr>
          <w:sz w:val="20"/>
          <w:szCs w:val="20"/>
          <w:color w:val="auto"/>
        </w:rPr>
      </w:pPr>
      <w:r>
        <w:rPr>
          <w:rFonts w:ascii="Arial" w:cs="Arial" w:eastAsia="Arial" w:hAnsi="Arial"/>
          <w:sz w:val="22"/>
          <w:szCs w:val="22"/>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159" w:lineRule="exact"/>
        <w:rPr>
          <w:sz w:val="20"/>
          <w:szCs w:val="20"/>
          <w:color w:val="auto"/>
        </w:rPr>
      </w:pPr>
    </w:p>
    <w:p>
      <w:pPr>
        <w:jc w:val="both"/>
        <w:ind w:left="1" w:firstLine="648"/>
        <w:spacing w:after="0" w:line="298" w:lineRule="auto"/>
        <w:rPr>
          <w:sz w:val="20"/>
          <w:szCs w:val="20"/>
          <w:color w:val="auto"/>
        </w:rPr>
      </w:pPr>
      <w:r>
        <w:rPr>
          <w:rFonts w:ascii="Arial" w:cs="Arial" w:eastAsia="Arial" w:hAnsi="Arial"/>
          <w:sz w:val="19"/>
          <w:szCs w:val="19"/>
          <w:color w:val="auto"/>
        </w:rPr>
        <w:t>This limited exclusion does not apply to any patent or Invention covered by a contract between Company and the United States or any of its agencies requiring full title to such patent or Invention to be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89535</wp:posOffset>
            </wp:positionV>
            <wp:extent cx="63887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98" w:right="91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10.4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LEASE TERMINATION AGREEMENT</w:t>
      </w:r>
    </w:p>
    <w:p>
      <w:pPr>
        <w:spacing w:after="0" w:line="175" w:lineRule="exact"/>
        <w:rPr>
          <w:sz w:val="20"/>
          <w:szCs w:val="20"/>
          <w:color w:val="auto"/>
        </w:rPr>
      </w:pPr>
    </w:p>
    <w:p>
      <w:pPr>
        <w:jc w:val="both"/>
        <w:ind w:left="1" w:firstLine="648"/>
        <w:spacing w:after="0" w:line="220" w:lineRule="auto"/>
        <w:rPr>
          <w:sz w:val="20"/>
          <w:szCs w:val="20"/>
          <w:color w:val="auto"/>
        </w:rPr>
      </w:pPr>
      <w:r>
        <w:rPr>
          <w:rFonts w:ascii="Arial" w:cs="Arial" w:eastAsia="Arial" w:hAnsi="Arial"/>
          <w:sz w:val="20"/>
          <w:szCs w:val="20"/>
          <w:color w:val="auto"/>
        </w:rPr>
        <w:t>This Lease Termination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April 12, 2018 (the "</w:t>
      </w:r>
      <w:r>
        <w:rPr>
          <w:rFonts w:ascii="Arial" w:cs="Arial" w:eastAsia="Arial" w:hAnsi="Arial"/>
          <w:sz w:val="20"/>
          <w:szCs w:val="20"/>
          <w:b w:val="1"/>
          <w:bCs w:val="1"/>
          <w:color w:val="auto"/>
        </w:rPr>
        <w:t>Effective</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by and between JUTLAND 4141 INVESTMENTS, LTD., a California limited partnership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w:t>
      </w:r>
      <w:r>
        <w:rPr>
          <w:rFonts w:ascii="Arial" w:cs="Arial" w:eastAsia="Arial" w:hAnsi="Arial"/>
          <w:sz w:val="20"/>
          <w:szCs w:val="20"/>
          <w:color w:val="auto"/>
        </w:rPr>
        <w:t>EVERSPIN TECHNOLOGIES, INC.,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175" w:lineRule="exact"/>
        <w:rPr>
          <w:sz w:val="20"/>
          <w:szCs w:val="20"/>
          <w:color w:val="auto"/>
        </w:rPr>
      </w:pPr>
    </w:p>
    <w:p>
      <w:pPr>
        <w:jc w:val="both"/>
        <w:ind w:left="1" w:firstLine="648"/>
        <w:spacing w:after="0" w:line="239" w:lineRule="auto"/>
        <w:rPr>
          <w:sz w:val="20"/>
          <w:szCs w:val="20"/>
          <w:color w:val="auto"/>
        </w:rPr>
      </w:pPr>
      <w:r>
        <w:rPr>
          <w:rFonts w:ascii="Arial" w:cs="Arial" w:eastAsia="Arial" w:hAnsi="Arial"/>
          <w:sz w:val="18"/>
          <w:szCs w:val="18"/>
          <w:color w:val="auto"/>
        </w:rPr>
        <w:t>Landlord and Tenant are parties to that certain Office Lease Agreement dated as of January 7, 2011 (the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color w:val="auto"/>
        </w:rPr>
        <w:t>Lease</w:t>
      </w:r>
      <w:r>
        <w:rPr>
          <w:rFonts w:ascii="Arial" w:cs="Arial" w:eastAsia="Arial" w:hAnsi="Arial"/>
          <w:sz w:val="18"/>
          <w:szCs w:val="18"/>
          <w:color w:val="auto"/>
        </w:rPr>
        <w:t>"), as amended by that certain First Amendment to Commercial Office Lease dated as of January [</w:t>
      </w:r>
      <w:r>
        <w:rPr>
          <w:rFonts w:ascii="Arial" w:cs="Arial" w:eastAsia="Arial" w:hAnsi="Arial"/>
          <w:sz w:val="14"/>
          <w:szCs w:val="14"/>
          <w:color w:val="auto"/>
        </w:rPr>
        <w:t>undated</w:t>
      </w:r>
      <w:r>
        <w:rPr>
          <w:rFonts w:ascii="Arial" w:cs="Arial" w:eastAsia="Arial" w:hAnsi="Arial"/>
          <w:sz w:val="18"/>
          <w:szCs w:val="18"/>
          <w:color w:val="auto"/>
        </w:rPr>
        <w:t>], 2015 (the</w:t>
      </w:r>
    </w:p>
    <w:p>
      <w:pPr>
        <w:spacing w:after="0" w:line="1" w:lineRule="exact"/>
        <w:rPr>
          <w:sz w:val="20"/>
          <w:szCs w:val="20"/>
          <w:color w:val="auto"/>
        </w:rPr>
      </w:pPr>
    </w:p>
    <w:p>
      <w:pPr>
        <w:jc w:val="both"/>
        <w:ind w:left="1"/>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w:t>
      </w:r>
      <w:r>
        <w:rPr>
          <w:rFonts w:ascii="Arial" w:cs="Arial" w:eastAsia="Arial" w:hAnsi="Arial"/>
          <w:sz w:val="18"/>
          <w:szCs w:val="18"/>
          <w:color w:val="auto"/>
        </w:rPr>
        <w:t>" and, together with the Original Lease, the "</w:t>
      </w:r>
      <w:r>
        <w:rPr>
          <w:rFonts w:ascii="Arial" w:cs="Arial" w:eastAsia="Arial" w:hAnsi="Arial"/>
          <w:sz w:val="18"/>
          <w:szCs w:val="18"/>
          <w:b w:val="1"/>
          <w:bCs w:val="1"/>
          <w:color w:val="auto"/>
        </w:rPr>
        <w:t>Lease</w:t>
      </w:r>
      <w:r>
        <w:rPr>
          <w:rFonts w:ascii="Arial" w:cs="Arial" w:eastAsia="Arial" w:hAnsi="Arial"/>
          <w:sz w:val="18"/>
          <w:szCs w:val="18"/>
          <w:color w:val="auto"/>
        </w:rPr>
        <w:t>"), pursuant to which Landlord leases to Tenant, and Tenant leases from Landlord, certain premises containing approximately 11,837 rentable square feet and commonly known as Suites 200 and 220 (the "</w:t>
      </w:r>
      <w:r>
        <w:rPr>
          <w:rFonts w:ascii="Arial" w:cs="Arial" w:eastAsia="Arial" w:hAnsi="Arial"/>
          <w:sz w:val="18"/>
          <w:szCs w:val="18"/>
          <w:b w:val="1"/>
          <w:bCs w:val="1"/>
          <w:color w:val="auto"/>
        </w:rPr>
        <w:t>Premises</w:t>
      </w:r>
      <w:r>
        <w:rPr>
          <w:rFonts w:ascii="Arial" w:cs="Arial" w:eastAsia="Arial" w:hAnsi="Arial"/>
          <w:sz w:val="18"/>
          <w:szCs w:val="18"/>
          <w:color w:val="auto"/>
        </w:rPr>
        <w:t>"), in the office building located at 1347 N. Alma School Road, Chandler, Arizona (the "</w:t>
      </w:r>
      <w:r>
        <w:rPr>
          <w:rFonts w:ascii="Arial" w:cs="Arial" w:eastAsia="Arial" w:hAnsi="Arial"/>
          <w:sz w:val="18"/>
          <w:szCs w:val="18"/>
          <w:b w:val="1"/>
          <w:bCs w:val="1"/>
          <w:color w:val="auto"/>
        </w:rPr>
        <w:t>Building</w:t>
      </w:r>
      <w:r>
        <w:rPr>
          <w:rFonts w:ascii="Arial" w:cs="Arial" w:eastAsia="Arial" w:hAnsi="Arial"/>
          <w:sz w:val="18"/>
          <w:szCs w:val="18"/>
          <w:color w:val="auto"/>
        </w:rPr>
        <w:t>"), in the office project commonly known as Chandler Office Center (the "</w:t>
      </w:r>
      <w:r>
        <w:rPr>
          <w:rFonts w:ascii="Arial" w:cs="Arial" w:eastAsia="Arial" w:hAnsi="Arial"/>
          <w:sz w:val="18"/>
          <w:szCs w:val="18"/>
          <w:b w:val="1"/>
          <w:bCs w:val="1"/>
          <w:color w:val="auto"/>
        </w:rPr>
        <w:t>Project</w:t>
      </w:r>
      <w:r>
        <w:rPr>
          <w:rFonts w:ascii="Arial" w:cs="Arial" w:eastAsia="Arial" w:hAnsi="Arial"/>
          <w:sz w:val="18"/>
          <w:szCs w:val="18"/>
          <w:color w:val="auto"/>
        </w:rPr>
        <w:t>"), as more particularly described in the Lease. The parties now desire to terminate the Lease in accordance with the terms and conditions of this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181" w:lineRule="exact"/>
        <w:rPr>
          <w:sz w:val="20"/>
          <w:szCs w:val="20"/>
          <w:color w:val="auto"/>
        </w:rPr>
      </w:pPr>
    </w:p>
    <w:p>
      <w:pPr>
        <w:jc w:val="both"/>
        <w:ind w:left="1" w:firstLine="648"/>
        <w:spacing w:after="0" w:line="218" w:lineRule="auto"/>
        <w:rPr>
          <w:sz w:val="20"/>
          <w:szCs w:val="20"/>
          <w:color w:val="auto"/>
        </w:rPr>
      </w:pPr>
      <w:r>
        <w:rPr>
          <w:rFonts w:ascii="Arial" w:cs="Arial" w:eastAsia="Arial" w:hAnsi="Arial"/>
          <w:sz w:val="20"/>
          <w:szCs w:val="20"/>
          <w:color w:val="auto"/>
        </w:rPr>
        <w:t>NOW, THEREFORE, in consideration of the mutual covenants and upon the conditions contained herein, and for other good and valuable consideration, the receipt and sufficiency of which are hereby acknowledged, Landlord and Tenant hereby agree as follows:</w:t>
      </w:r>
    </w:p>
    <w:p>
      <w:pPr>
        <w:spacing w:after="0" w:line="151" w:lineRule="exact"/>
        <w:rPr>
          <w:sz w:val="20"/>
          <w:szCs w:val="20"/>
          <w:color w:val="auto"/>
        </w:rPr>
      </w:pPr>
    </w:p>
    <w:p>
      <w:pPr>
        <w:jc w:val="both"/>
        <w:ind w:left="1" w:firstLine="648"/>
        <w:spacing w:after="0" w:line="252" w:lineRule="auto"/>
        <w:tabs>
          <w:tab w:leader="none" w:pos="1387"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Termination of Lease</w:t>
      </w:r>
      <w:r>
        <w:rPr>
          <w:rFonts w:ascii="Arial" w:cs="Arial" w:eastAsia="Arial" w:hAnsi="Arial"/>
          <w:sz w:val="16"/>
          <w:szCs w:val="16"/>
          <w:color w:val="auto"/>
        </w:rPr>
        <w:t>. Effective as of April 13, 2018 (the "</w:t>
      </w:r>
      <w:r>
        <w:rPr>
          <w:rFonts w:ascii="Arial" w:cs="Arial" w:eastAsia="Arial" w:hAnsi="Arial"/>
          <w:sz w:val="16"/>
          <w:szCs w:val="16"/>
          <w:b w:val="1"/>
          <w:bCs w:val="1"/>
          <w:color w:val="auto"/>
        </w:rPr>
        <w:t>Termination Date</w:t>
      </w:r>
      <w:r>
        <w:rPr>
          <w:rFonts w:ascii="Arial" w:cs="Arial" w:eastAsia="Arial" w:hAnsi="Arial"/>
          <w:sz w:val="16"/>
          <w:szCs w:val="16"/>
          <w:color w:val="auto"/>
        </w:rPr>
        <w:t>"), the Lease shall be deemed terminated and Tenant shall surrender to Landlord all of Tenant's right, title and interest in and to the Premises, the Lease and any other rights of occupancy with respect to the Premises. Subject to the terms of this Agreement, from and after the Termination Date, Tenant shall have no further rights whatsoever (occupancy or otherwise) to the Premises or under the Lease, and Landlord and Tenant shall have no further duties or obligations to one another in connection with the Lease, except for</w:t>
      </w:r>
    </w:p>
    <w:p>
      <w:pPr>
        <w:spacing w:after="0" w:line="1" w:lineRule="exact"/>
        <w:rPr>
          <w:rFonts w:ascii="Arial" w:cs="Arial" w:eastAsia="Arial" w:hAnsi="Arial"/>
          <w:sz w:val="16"/>
          <w:szCs w:val="16"/>
          <w:color w:val="auto"/>
        </w:rPr>
      </w:pPr>
    </w:p>
    <w:p>
      <w:pPr>
        <w:jc w:val="both"/>
        <w:ind w:left="1" w:hanging="1"/>
        <w:spacing w:after="0" w:line="214" w:lineRule="auto"/>
        <w:tabs>
          <w:tab w:leader="none" w:pos="263" w:val="left"/>
        </w:tabs>
        <w:numPr>
          <w:ilvl w:val="0"/>
          <w:numId w:val="43"/>
        </w:numPr>
        <w:rPr>
          <w:rFonts w:ascii="Arial" w:cs="Arial" w:eastAsia="Arial" w:hAnsi="Arial"/>
          <w:sz w:val="19"/>
          <w:szCs w:val="19"/>
          <w:color w:val="auto"/>
        </w:rPr>
      </w:pPr>
      <w:r>
        <w:rPr>
          <w:rFonts w:ascii="Arial" w:cs="Arial" w:eastAsia="Arial" w:hAnsi="Arial"/>
          <w:sz w:val="19"/>
          <w:szCs w:val="19"/>
          <w:color w:val="auto"/>
        </w:rPr>
        <w:t>Tenant's obligations to continue performance of all obligations under the Lease (including, without limitation, Tenant's obligation to pay rent and all other charges and amounts due under the Lease) until such time as Tenant has properly surrendered the Premises in accordance with the terms of the Lease; (ii) Tenant's obligations under this Agreement, and (iii) the obligations of Tenant under the Lease and/or at law which are specifically stated to survive the expiration or earlier termination of the Lease (collectively, the "</w:t>
      </w:r>
      <w:r>
        <w:rPr>
          <w:rFonts w:ascii="Arial" w:cs="Arial" w:eastAsia="Arial" w:hAnsi="Arial"/>
          <w:sz w:val="19"/>
          <w:szCs w:val="19"/>
          <w:b w:val="1"/>
          <w:bCs w:val="1"/>
          <w:color w:val="auto"/>
        </w:rPr>
        <w:t>Surviving Obligations</w:t>
      </w:r>
      <w:r>
        <w:rPr>
          <w:rFonts w:ascii="Arial" w:cs="Arial" w:eastAsia="Arial" w:hAnsi="Arial"/>
          <w:sz w:val="19"/>
          <w:szCs w:val="19"/>
          <w:color w:val="auto"/>
        </w:rPr>
        <w:t>"). Tenant hereby acknowledges and agrees that, notwithstanding anything to the contrary contained in the Lease or this Agreement, the Surviving Obligations shall include, without limitation, Tenant's indemnification obligations contained in the Lease.</w:t>
      </w:r>
    </w:p>
    <w:p>
      <w:pPr>
        <w:spacing w:after="0" w:line="159" w:lineRule="exact"/>
        <w:rPr>
          <w:rFonts w:ascii="Arial" w:cs="Arial" w:eastAsia="Arial" w:hAnsi="Arial"/>
          <w:sz w:val="19"/>
          <w:szCs w:val="19"/>
          <w:color w:val="auto"/>
        </w:rPr>
      </w:pPr>
    </w:p>
    <w:p>
      <w:pPr>
        <w:jc w:val="both"/>
        <w:ind w:left="1" w:firstLine="648"/>
        <w:spacing w:after="0" w:line="228" w:lineRule="auto"/>
        <w:tabs>
          <w:tab w:leader="none" w:pos="1535"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Agreement Contingency</w:t>
      </w:r>
      <w:r>
        <w:rPr>
          <w:rFonts w:ascii="Arial" w:cs="Arial" w:eastAsia="Arial" w:hAnsi="Arial"/>
          <w:sz w:val="18"/>
          <w:szCs w:val="18"/>
          <w:color w:val="auto"/>
        </w:rPr>
        <w:t>. Notwithstanding anything to the contrary herein, Landlord and Tenant hereby acknowledge and agree that this Agreement (and the early termination of the Lease pursuant to the terms of this Agreement) is expressly conditioned upon the execution of a lease agreement (satisfactory to Landlord in its sole and absolute discretion), on or prior to, or concurrently with, the Effective Date, between Landlord and a third party tenant for the lease of the Premises (the "</w:t>
      </w:r>
      <w:r>
        <w:rPr>
          <w:rFonts w:ascii="Arial" w:cs="Arial" w:eastAsia="Arial" w:hAnsi="Arial"/>
          <w:sz w:val="18"/>
          <w:szCs w:val="18"/>
          <w:b w:val="1"/>
          <w:bCs w:val="1"/>
          <w:color w:val="auto"/>
        </w:rPr>
        <w:t>Third-Party Lease</w:t>
      </w:r>
      <w:r>
        <w:rPr>
          <w:rFonts w:ascii="Arial" w:cs="Arial" w:eastAsia="Arial" w:hAnsi="Arial"/>
          <w:sz w:val="18"/>
          <w:szCs w:val="18"/>
          <w:color w:val="auto"/>
        </w:rPr>
        <w:t>"). The foregoing condition is for the sole benefit of Landlord and, accordingly, may be waived only by Landlord (in its sole and absolute discretion) in writing, and not by Tenant or any other party. If the foregoing condition is not satisfied or waived in writing by Landlord, then the other terms and conditions of this Agreement shall be null and void and of no force or effect, unless otherwise designated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118110</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98" w:name="page99"/>
    <w:bookmarkEnd w:id="98"/>
    <w:p>
      <w:pPr>
        <w:ind w:left="1"/>
        <w:spacing w:after="0"/>
        <w:rPr>
          <w:sz w:val="20"/>
          <w:szCs w:val="20"/>
          <w:color w:val="auto"/>
        </w:rPr>
      </w:pPr>
      <w:r>
        <w:rPr>
          <w:rFonts w:ascii="Arial" w:cs="Arial" w:eastAsia="Arial" w:hAnsi="Arial"/>
          <w:sz w:val="20"/>
          <w:szCs w:val="20"/>
          <w:color w:val="auto"/>
        </w:rPr>
        <w:t>within ten (10) business days after the Effective Date.</w:t>
      </w:r>
    </w:p>
    <w:p>
      <w:pPr>
        <w:spacing w:after="0" w:line="177" w:lineRule="exact"/>
        <w:rPr>
          <w:sz w:val="20"/>
          <w:szCs w:val="20"/>
          <w:color w:val="auto"/>
        </w:rPr>
      </w:pPr>
    </w:p>
    <w:p>
      <w:pPr>
        <w:jc w:val="both"/>
        <w:ind w:left="1" w:firstLine="648"/>
        <w:spacing w:after="0" w:line="221" w:lineRule="auto"/>
        <w:tabs>
          <w:tab w:leader="none" w:pos="1387"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Fee</w:t>
      </w:r>
      <w:r>
        <w:rPr>
          <w:rFonts w:ascii="Arial" w:cs="Arial" w:eastAsia="Arial" w:hAnsi="Arial"/>
          <w:sz w:val="18"/>
          <w:szCs w:val="18"/>
          <w:color w:val="auto"/>
        </w:rPr>
        <w:t>. In consideration of Landlord accepting the early termination of the Lease pursuant to this Agreement, on or before May 1, 2018 (the "</w:t>
      </w:r>
      <w:r>
        <w:rPr>
          <w:rFonts w:ascii="Arial" w:cs="Arial" w:eastAsia="Arial" w:hAnsi="Arial"/>
          <w:sz w:val="18"/>
          <w:szCs w:val="18"/>
          <w:b w:val="1"/>
          <w:bCs w:val="1"/>
          <w:color w:val="auto"/>
        </w:rPr>
        <w:t>Termination Fee Date</w:t>
      </w:r>
      <w:r>
        <w:rPr>
          <w:rFonts w:ascii="Arial" w:cs="Arial" w:eastAsia="Arial" w:hAnsi="Arial"/>
          <w:sz w:val="18"/>
          <w:szCs w:val="18"/>
          <w:color w:val="auto"/>
        </w:rPr>
        <w:t>"), Tenant shall pay to Landlord the amount of Forty-Two Thousand Five Hundred Forty-Five and 80/100 Dollars ($42,545.80) in immediately available funds (the "</w:t>
      </w:r>
      <w:r>
        <w:rPr>
          <w:rFonts w:ascii="Arial" w:cs="Arial" w:eastAsia="Arial" w:hAnsi="Arial"/>
          <w:sz w:val="18"/>
          <w:szCs w:val="18"/>
          <w:b w:val="1"/>
          <w:bCs w:val="1"/>
          <w:color w:val="auto"/>
        </w:rPr>
        <w:t>Termination</w:t>
      </w:r>
      <w:r>
        <w:rPr>
          <w:rFonts w:ascii="Arial" w:cs="Arial" w:eastAsia="Arial" w:hAnsi="Arial"/>
          <w:sz w:val="18"/>
          <w:szCs w:val="18"/>
          <w:color w:val="auto"/>
        </w:rPr>
        <w:t xml:space="preserve"> </w:t>
      </w:r>
      <w:r>
        <w:rPr>
          <w:rFonts w:ascii="Arial" w:cs="Arial" w:eastAsia="Arial" w:hAnsi="Arial"/>
          <w:sz w:val="18"/>
          <w:szCs w:val="18"/>
          <w:b w:val="1"/>
          <w:bCs w:val="1"/>
          <w:color w:val="auto"/>
        </w:rPr>
        <w:t>Fee</w:t>
      </w:r>
      <w:r>
        <w:rPr>
          <w:rFonts w:ascii="Arial" w:cs="Arial" w:eastAsia="Arial" w:hAnsi="Arial"/>
          <w:sz w:val="18"/>
          <w:szCs w:val="18"/>
          <w:color w:val="auto"/>
        </w:rPr>
        <w:t>"). The Termination Fee shall constitute separate consideration for Landlord's acceptance of the early termination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Lease as described above and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applied against any other amounts that may be due and payable by Tenant to Landlord on account of any Surviving Obligations. In the event that this Agreement is terminated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 after Tenant has paid the Termination Fee to Landlord, then Landlord shall return the Termination Fee to Tenant within ten</w:t>
      </w:r>
    </w:p>
    <w:p>
      <w:pPr>
        <w:spacing w:after="0" w:line="5" w:lineRule="exact"/>
        <w:rPr>
          <w:rFonts w:ascii="Arial" w:cs="Arial" w:eastAsia="Arial" w:hAnsi="Arial"/>
          <w:sz w:val="18"/>
          <w:szCs w:val="18"/>
          <w:color w:val="auto"/>
        </w:rPr>
      </w:pPr>
    </w:p>
    <w:p>
      <w:pPr>
        <w:ind w:left="381" w:hanging="381"/>
        <w:spacing w:after="0"/>
        <w:tabs>
          <w:tab w:leader="none" w:pos="381" w:val="left"/>
        </w:tabs>
        <w:numPr>
          <w:ilvl w:val="0"/>
          <w:numId w:val="45"/>
        </w:numPr>
        <w:rPr>
          <w:rFonts w:ascii="Arial" w:cs="Arial" w:eastAsia="Arial" w:hAnsi="Arial"/>
          <w:sz w:val="20"/>
          <w:szCs w:val="20"/>
          <w:color w:val="auto"/>
        </w:rPr>
      </w:pPr>
      <w:r>
        <w:rPr>
          <w:rFonts w:ascii="Arial" w:cs="Arial" w:eastAsia="Arial" w:hAnsi="Arial"/>
          <w:sz w:val="20"/>
          <w:szCs w:val="20"/>
          <w:color w:val="auto"/>
        </w:rPr>
        <w:t>days following such termination of this Agreement.</w:t>
      </w:r>
    </w:p>
    <w:p>
      <w:pPr>
        <w:spacing w:after="0" w:line="159" w:lineRule="exact"/>
        <w:rPr>
          <w:rFonts w:ascii="Arial" w:cs="Arial" w:eastAsia="Arial" w:hAnsi="Arial"/>
          <w:sz w:val="20"/>
          <w:szCs w:val="20"/>
          <w:color w:val="auto"/>
        </w:rPr>
      </w:pPr>
    </w:p>
    <w:p>
      <w:pPr>
        <w:jc w:val="both"/>
        <w:ind w:left="1" w:firstLine="648"/>
        <w:spacing w:after="0" w:line="210" w:lineRule="auto"/>
        <w:tabs>
          <w:tab w:leader="none" w:pos="1427" w:val="left"/>
        </w:tabs>
        <w:numPr>
          <w:ilvl w:val="1"/>
          <w:numId w:val="45"/>
        </w:numPr>
        <w:rPr>
          <w:rFonts w:ascii="Arial" w:cs="Arial" w:eastAsia="Arial" w:hAnsi="Arial"/>
          <w:sz w:val="20"/>
          <w:szCs w:val="20"/>
          <w:color w:val="auto"/>
        </w:rPr>
      </w:pPr>
      <w:r>
        <w:rPr>
          <w:rFonts w:ascii="Arial" w:cs="Arial" w:eastAsia="Arial" w:hAnsi="Arial"/>
          <w:sz w:val="20"/>
          <w:szCs w:val="20"/>
          <w:u w:val="single" w:color="auto"/>
          <w:color w:val="auto"/>
        </w:rPr>
        <w:t>Security Deposit</w:t>
      </w:r>
      <w:r>
        <w:rPr>
          <w:rFonts w:ascii="Arial" w:cs="Arial" w:eastAsia="Arial" w:hAnsi="Arial"/>
          <w:sz w:val="20"/>
          <w:szCs w:val="20"/>
          <w:color w:val="auto"/>
        </w:rPr>
        <w:t xml:space="preserve">. Landlord and Tenant hereby acknowledge and agree that Landlord is holding a Security Deposit in the amount of Twenty Thousand Three Hundred Eighty-Two and 00/100 Dollars ($20,382.00). Within thirty (30) days following the full performance by Tenant of all of its obligations under the Lease and this Agreement (including, without limitation, the payment of the Termination Fee pursuant to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above), Landlord shall return any unapplied portion of such Security Deposit to Tenant.</w:t>
      </w:r>
    </w:p>
    <w:p>
      <w:pPr>
        <w:spacing w:after="0" w:line="155" w:lineRule="exact"/>
        <w:rPr>
          <w:rFonts w:ascii="Arial" w:cs="Arial" w:eastAsia="Arial" w:hAnsi="Arial"/>
          <w:sz w:val="20"/>
          <w:szCs w:val="20"/>
          <w:color w:val="auto"/>
        </w:rPr>
      </w:pPr>
    </w:p>
    <w:p>
      <w:pPr>
        <w:jc w:val="both"/>
        <w:ind w:left="1" w:firstLine="648"/>
        <w:spacing w:after="0" w:line="228" w:lineRule="auto"/>
        <w:tabs>
          <w:tab w:leader="none" w:pos="1414"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Condition of Premises</w:t>
      </w:r>
      <w:r>
        <w:rPr>
          <w:rFonts w:ascii="Arial" w:cs="Arial" w:eastAsia="Arial" w:hAnsi="Arial"/>
          <w:sz w:val="18"/>
          <w:szCs w:val="18"/>
          <w:color w:val="auto"/>
        </w:rPr>
        <w:t xml:space="preserve">. As of the Termination Date, Tenant has surrendered the Premises to Landlord in its currently existing "as is" condition , normal wear and tear excepted. In consideration of Lessor's receipt of the Termination Fee as set forth above, and Tenant's execution of the Bill of Sale described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below, Landlord accepts the Premises in such "as is" condition and waives Tenant's obligations with respect to removal, surrender and restoration of the Premises, including Tenant's obligations under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of the Original Lease. Concurrently with Tenant's execution and delivery of this Agreement, Tenant shall execute and deliver to Landlord a bill of sale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Bill of Sale</w:t>
      </w:r>
      <w:r>
        <w:rPr>
          <w:rFonts w:ascii="Arial" w:cs="Arial" w:eastAsia="Arial" w:hAnsi="Arial"/>
          <w:sz w:val="18"/>
          <w:szCs w:val="18"/>
          <w:color w:val="auto"/>
        </w:rPr>
        <w:t>"), relinquishing any rights of Tenant in and to any and all personal property, fixtures, furniture and equipment existing in the Premises as of the date of this Agreement.</w:t>
      </w:r>
    </w:p>
    <w:p>
      <w:pPr>
        <w:spacing w:after="0" w:line="155" w:lineRule="exact"/>
        <w:rPr>
          <w:rFonts w:ascii="Arial" w:cs="Arial" w:eastAsia="Arial" w:hAnsi="Arial"/>
          <w:sz w:val="18"/>
          <w:szCs w:val="18"/>
          <w:color w:val="auto"/>
        </w:rPr>
      </w:pPr>
    </w:p>
    <w:p>
      <w:pPr>
        <w:jc w:val="both"/>
        <w:ind w:left="1" w:firstLine="648"/>
        <w:spacing w:after="0" w:line="223" w:lineRule="auto"/>
        <w:tabs>
          <w:tab w:leader="none" w:pos="1535"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Release by Tenant</w:t>
      </w:r>
      <w:r>
        <w:rPr>
          <w:rFonts w:ascii="Arial" w:cs="Arial" w:eastAsia="Arial" w:hAnsi="Arial"/>
          <w:sz w:val="18"/>
          <w:szCs w:val="18"/>
          <w:color w:val="auto"/>
        </w:rPr>
        <w:t>. Effective on the Termination Date, Tenant, on behalf of itself and its predecessors, successors, affiliates and assigns, and all other persons, firms and corporations claiming through Tenant, and each of them (collectively, the "</w:t>
      </w:r>
      <w:r>
        <w:rPr>
          <w:rFonts w:ascii="Arial" w:cs="Arial" w:eastAsia="Arial" w:hAnsi="Arial"/>
          <w:sz w:val="18"/>
          <w:szCs w:val="18"/>
          <w:b w:val="1"/>
          <w:bCs w:val="1"/>
          <w:color w:val="auto"/>
        </w:rPr>
        <w:t>Tenant Releasing Parties</w:t>
      </w:r>
      <w:r>
        <w:rPr>
          <w:rFonts w:ascii="Arial" w:cs="Arial" w:eastAsia="Arial" w:hAnsi="Arial"/>
          <w:sz w:val="18"/>
          <w:szCs w:val="18"/>
          <w:color w:val="auto"/>
        </w:rPr>
        <w:t>"), do hereby release Landlord and its predecessors, successors, affiliates and assigns, and their respective partners, officers, shareholders, agents, contractors, representatives, members, employees and attorneys (collectively the "</w:t>
      </w:r>
      <w:r>
        <w:rPr>
          <w:rFonts w:ascii="Arial" w:cs="Arial" w:eastAsia="Arial" w:hAnsi="Arial"/>
          <w:sz w:val="18"/>
          <w:szCs w:val="18"/>
          <w:b w:val="1"/>
          <w:bCs w:val="1"/>
          <w:color w:val="auto"/>
        </w:rPr>
        <w:t>Landlord Released Parties</w:t>
      </w:r>
      <w:r>
        <w:rPr>
          <w:rFonts w:ascii="Arial" w:cs="Arial" w:eastAsia="Arial" w:hAnsi="Arial"/>
          <w:sz w:val="18"/>
          <w:szCs w:val="18"/>
          <w:color w:val="auto"/>
        </w:rPr>
        <w:t>"), of and from any and all claims, demands, disputes, damages, liabilities, obligations, controversies, debts, costs, expenses, lawsuits, actions, causes of action and other rights to relief, both legal and equitable, of every kind and nature, whether now known or unknown, suspected or unsuspected, past or present, contingent or fixed, which the Tenant Releasing Parties, or any of them, now have, had, or at any time hereafter may have, against the Landlord Released Parties, or any of them, arising out of or in connection with the Lease, the Premises, or any dealings between the Landlord Released Parties, or any of them, on the one hand, and the Tenant Releasing Parties, or any of them, on the other hand. In connection therewith, Tenant hereby expressly waives all rights which it has, or may hereafter claim to have, that any claim, demand, obligation and/or cause of action has, through ignorance, oversight or error, been omitted from the terms of this Agreement. In connection therewith, Tenant hereby expressly waives all rights which it has, or may hereafter claim to have, that any claim, demand, obligation and/or cause of action has, through ignorance, oversight or error, been omitted from the terms of this Agreement, and hereby expressly waives all rights it may have, or claim to have, under the provisions of California Civil Code Section 1542, or equivalent law of any jurisdiction, which provides:</w:t>
      </w:r>
    </w:p>
    <w:p>
      <w:pPr>
        <w:spacing w:after="0" w:line="164" w:lineRule="exact"/>
        <w:rPr>
          <w:sz w:val="20"/>
          <w:szCs w:val="20"/>
          <w:color w:val="auto"/>
        </w:rPr>
      </w:pPr>
    </w:p>
    <w:p>
      <w:pPr>
        <w:ind w:left="1301"/>
        <w:spacing w:after="0"/>
        <w:rPr>
          <w:sz w:val="20"/>
          <w:szCs w:val="20"/>
          <w:color w:val="auto"/>
        </w:rPr>
      </w:pPr>
      <w:r>
        <w:rPr>
          <w:rFonts w:ascii="Arial" w:cs="Arial" w:eastAsia="Arial" w:hAnsi="Arial"/>
          <w:sz w:val="20"/>
          <w:szCs w:val="20"/>
          <w:color w:val="auto"/>
        </w:rPr>
        <w:t>"A GENERAL RELEASE DOES NOT EXTEND TO CLAIMS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63887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99" w:name="page100"/>
    <w:bookmarkEnd w:id="99"/>
    <w:p>
      <w:pPr>
        <w:jc w:val="both"/>
        <w:ind w:left="780"/>
        <w:spacing w:after="0" w:line="219" w:lineRule="auto"/>
        <w:rPr>
          <w:sz w:val="20"/>
          <w:szCs w:val="20"/>
          <w:color w:val="auto"/>
        </w:rPr>
      </w:pPr>
      <w:r>
        <w:rPr>
          <w:rFonts w:ascii="Arial" w:cs="Arial" w:eastAsia="Arial" w:hAnsi="Arial"/>
          <w:sz w:val="20"/>
          <w:szCs w:val="20"/>
          <w:color w:val="auto"/>
        </w:rPr>
        <w:t>CREDITOR DOES NOT KNOW OR SUSPECT TO EXIST IN HIS OR HER FAVOR AT THE TIME OF EXECUTING THE RELEASE, WHICH IF KNOWN BY HIM OR HER MUST HAVE MATERIALLY AFFECTED HIS OR HER SETTLEMENT WITH THE DEBTOR."</w:t>
      </w:r>
    </w:p>
    <w:p>
      <w:pPr>
        <w:spacing w:after="0" w:line="310"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/s/ JW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-7620</wp:posOffset>
            </wp:positionV>
            <wp:extent cx="515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515620" cy="889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20"/>
          <w:szCs w:val="20"/>
          <w:color w:val="auto"/>
        </w:rPr>
        <w:t>Tenant's Initials</w:t>
      </w:r>
    </w:p>
    <w:p>
      <w:pPr>
        <w:spacing w:after="0" w:line="173" w:lineRule="exact"/>
        <w:rPr>
          <w:sz w:val="20"/>
          <w:szCs w:val="20"/>
          <w:color w:val="auto"/>
        </w:rPr>
      </w:pPr>
    </w:p>
    <w:p>
      <w:pPr>
        <w:jc w:val="both"/>
        <w:ind w:left="-520" w:firstLine="648"/>
        <w:spacing w:after="0" w:line="224" w:lineRule="auto"/>
        <w:tabs>
          <w:tab w:leader="none" w:pos="1069"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Tenant hereby makes the following representations and warranties to Landlord (all of which representations and warranties, together with all other representations and warranties made in this Agreement by Tenant, shall survive the mutual execution and delivery of this Agreement): (i) Tenant has the full power, authority and legal right to enter into and to perform and observe the provisions of this Agreement without the authorization or consent of any other party or entity; (ii) Tenant has not assigned, sublet, transferred or conveyed, and agrees not to assign, sublet, transfer or convey its interest in the Premises, the Lease or any claims or potential claims it may have against Landlord or any of the Landlord Released Parties; and (iii) Landlord is not in default under the Lease and Tenant does not have any defenses or offsets to the timely performance of Tenant's obligations under the Lease or this Agreement. Tenant hereby agrees to indemnify, defend (by counsel reasonably satisfactory to Landlord) and hold Landlord and the Landlord Released Parties harmless from and against any claims, actions, causes of action, losses, liabilities, damages, costs and expenses (including, without limitation, attorneys' fees and costs) suffered or incurred by Landlord or the Landlord Released Parties as a result of any breach of Tenant's obligations under this Agreement including, without limitation, any breach of or inaccuracy in Tenant's representations and warranties contained in this Agreement.</w:t>
      </w:r>
    </w:p>
    <w:p>
      <w:pPr>
        <w:spacing w:after="0" w:line="162" w:lineRule="exact"/>
        <w:rPr>
          <w:rFonts w:ascii="Arial" w:cs="Arial" w:eastAsia="Arial" w:hAnsi="Arial"/>
          <w:sz w:val="18"/>
          <w:szCs w:val="18"/>
          <w:color w:val="auto"/>
        </w:rPr>
      </w:pPr>
    </w:p>
    <w:p>
      <w:pPr>
        <w:jc w:val="both"/>
        <w:ind w:left="-520" w:firstLine="648"/>
        <w:spacing w:after="0" w:line="218" w:lineRule="auto"/>
        <w:tabs>
          <w:tab w:leader="none" w:pos="88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Invalidity of Provisions</w:t>
      </w:r>
      <w:r>
        <w:rPr>
          <w:rFonts w:ascii="Arial" w:cs="Arial" w:eastAsia="Arial" w:hAnsi="Arial"/>
          <w:sz w:val="20"/>
          <w:szCs w:val="20"/>
          <w:color w:val="auto"/>
        </w:rPr>
        <w:t>. If any provision of this Agreement is found to be invalid or unenforceable by any court of competent jurisdiction, the invalidity or unenforceability of any such provision shall not affect the validity and enforceability of the remaining provisions hereof.</w:t>
      </w:r>
    </w:p>
    <w:p>
      <w:pPr>
        <w:spacing w:after="0" w:line="156" w:lineRule="exact"/>
        <w:rPr>
          <w:rFonts w:ascii="Arial" w:cs="Arial" w:eastAsia="Arial" w:hAnsi="Arial"/>
          <w:sz w:val="20"/>
          <w:szCs w:val="20"/>
          <w:color w:val="auto"/>
        </w:rPr>
      </w:pPr>
    </w:p>
    <w:p>
      <w:pPr>
        <w:jc w:val="both"/>
        <w:ind w:left="-520" w:firstLine="648"/>
        <w:spacing w:after="0" w:line="224" w:lineRule="auto"/>
        <w:tabs>
          <w:tab w:leader="none" w:pos="93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Attorneys' Fees</w:t>
      </w:r>
      <w:r>
        <w:rPr>
          <w:rFonts w:ascii="Arial" w:cs="Arial" w:eastAsia="Arial" w:hAnsi="Arial"/>
          <w:sz w:val="19"/>
          <w:szCs w:val="19"/>
          <w:color w:val="auto"/>
        </w:rPr>
        <w:t>. If either party hereto commences an action against the other to enforce any of the terms hereof, or to obtain damages for any alleged breach of any of the terms hereof, or for a declaration of rights hereunder, the losing party shall pay to the prevailing party the prevailing party's reasonable attorneys' fees and costs incurred in connection with the prosecution of such action, whether or not such action proceeds to trial or appeal.</w:t>
      </w:r>
    </w:p>
    <w:p>
      <w:pPr>
        <w:spacing w:after="0" w:line="156" w:lineRule="exact"/>
        <w:rPr>
          <w:rFonts w:ascii="Arial" w:cs="Arial" w:eastAsia="Arial" w:hAnsi="Arial"/>
          <w:sz w:val="19"/>
          <w:szCs w:val="19"/>
          <w:color w:val="auto"/>
        </w:rPr>
      </w:pPr>
    </w:p>
    <w:p>
      <w:pPr>
        <w:jc w:val="both"/>
        <w:ind w:left="-520" w:firstLine="648"/>
        <w:spacing w:after="0" w:line="218" w:lineRule="auto"/>
        <w:tabs>
          <w:tab w:leader="none" w:pos="77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Brokers</w:t>
      </w:r>
      <w:r>
        <w:rPr>
          <w:rFonts w:ascii="Arial" w:cs="Arial" w:eastAsia="Arial" w:hAnsi="Arial"/>
          <w:sz w:val="19"/>
          <w:szCs w:val="19"/>
          <w:color w:val="auto"/>
        </w:rPr>
        <w:t>. Tenant hereby warrants and represents that it has had no dealings with any real estate broker or agent who is or might be entitled to a commission, finder's fee or other like payment in connection with the negotiation of this Agreement. Tenant hereby agrees to indemnify, defend and hold Landlord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occurring by, through, or under Tenant.</w:t>
      </w:r>
    </w:p>
    <w:p>
      <w:pPr>
        <w:spacing w:after="0" w:line="159" w:lineRule="exact"/>
        <w:rPr>
          <w:rFonts w:ascii="Arial" w:cs="Arial" w:eastAsia="Arial" w:hAnsi="Arial"/>
          <w:sz w:val="19"/>
          <w:szCs w:val="19"/>
          <w:color w:val="auto"/>
        </w:rPr>
      </w:pPr>
    </w:p>
    <w:p>
      <w:pPr>
        <w:jc w:val="both"/>
        <w:ind w:left="-520" w:firstLine="648"/>
        <w:spacing w:after="0" w:line="213" w:lineRule="auto"/>
        <w:tabs>
          <w:tab w:leader="none" w:pos="764"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Further Assurances</w:t>
      </w:r>
      <w:r>
        <w:rPr>
          <w:rFonts w:ascii="Arial" w:cs="Arial" w:eastAsia="Arial" w:hAnsi="Arial"/>
          <w:sz w:val="20"/>
          <w:szCs w:val="20"/>
          <w:color w:val="auto"/>
        </w:rPr>
        <w:t>. Each of the parties hereto agrees to execute and deliver all such further documents and to take all such further actions as may be reasonably requested by the other party hereto to effectuate fully the terms and provisions of this Agreement, provided such documents or actions do not limit, reduce or impair the rights of the party upon whom such request is made.</w:t>
      </w:r>
    </w:p>
    <w:p>
      <w:pPr>
        <w:spacing w:after="0" w:line="155" w:lineRule="exact"/>
        <w:rPr>
          <w:rFonts w:ascii="Arial" w:cs="Arial" w:eastAsia="Arial" w:hAnsi="Arial"/>
          <w:sz w:val="20"/>
          <w:szCs w:val="20"/>
          <w:color w:val="auto"/>
        </w:rPr>
      </w:pPr>
    </w:p>
    <w:p>
      <w:pPr>
        <w:jc w:val="both"/>
        <w:ind w:left="-520" w:firstLine="648"/>
        <w:spacing w:after="0" w:line="213" w:lineRule="auto"/>
        <w:tabs>
          <w:tab w:leader="none" w:pos="853"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Electronic Signatures; Counterparts</w:t>
      </w:r>
      <w:r>
        <w:rPr>
          <w:rFonts w:ascii="Arial" w:cs="Arial" w:eastAsia="Arial" w:hAnsi="Arial"/>
          <w:sz w:val="20"/>
          <w:szCs w:val="20"/>
          <w:color w:val="auto"/>
        </w:rPr>
        <w:t>. Each party hereto shall be authorized to rely upon the signatures of all parties to this Agreement which are delivered by facsimile, email or other electronic means as constituting a duly authorized, irrevocable and actual delivery of this Agreement with original ink signatures. This Agreement may be executed in two or more counterparts, each of which shall be 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118110</wp:posOffset>
            </wp:positionV>
            <wp:extent cx="638873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1440" w:top="108" w:right="91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color w:val="auto"/>
        </w:rPr>
        <w:t>an original, and all of which together shall constitute one and the same instrument.</w:t>
      </w:r>
    </w:p>
    <w:p>
      <w:pPr>
        <w:spacing w:after="0" w:line="177" w:lineRule="exact"/>
        <w:rPr>
          <w:sz w:val="20"/>
          <w:szCs w:val="20"/>
          <w:color w:val="auto"/>
        </w:rPr>
      </w:pPr>
    </w:p>
    <w:p>
      <w:pPr>
        <w:ind w:firstLine="648"/>
        <w:spacing w:after="0" w:line="229" w:lineRule="auto"/>
        <w:tabs>
          <w:tab w:leader="none" w:pos="1373"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Binding Agreement</w:t>
      </w:r>
      <w:r>
        <w:rPr>
          <w:rFonts w:ascii="Arial" w:cs="Arial" w:eastAsia="Arial" w:hAnsi="Arial"/>
          <w:sz w:val="20"/>
          <w:szCs w:val="20"/>
          <w:color w:val="auto"/>
        </w:rPr>
        <w:t>. This Agreement shall be binding upon and inure to the benefit of the heirs, successors and assigns of the parties hereto.</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follow on next page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3887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101" w:name="page102"/>
    <w:bookmarkEnd w:id="101"/>
    <w:p>
      <w:pPr>
        <w:ind w:left="640"/>
        <w:spacing w:after="0"/>
        <w:rPr>
          <w:sz w:val="20"/>
          <w:szCs w:val="20"/>
          <w:color w:val="auto"/>
        </w:rPr>
      </w:pPr>
      <w:r>
        <w:rPr>
          <w:rFonts w:ascii="Arial" w:cs="Arial" w:eastAsia="Arial" w:hAnsi="Arial"/>
          <w:sz w:val="18"/>
          <w:szCs w:val="18"/>
          <w:color w:val="auto"/>
        </w:rPr>
        <w:t>IN WITNESS WHEREOF, Landlord and Tenant have entered into this Agreement as of the date first written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JUTLAND 4141 INVESTMENTS, LTD.,</w:t>
      </w:r>
    </w:p>
    <w:p>
      <w:pPr>
        <w:spacing w:after="0"/>
        <w:rPr>
          <w:sz w:val="20"/>
          <w:szCs w:val="20"/>
          <w:color w:val="auto"/>
        </w:rPr>
      </w:pPr>
      <w:r>
        <w:rPr>
          <w:rFonts w:ascii="Arial" w:cs="Arial" w:eastAsia="Arial" w:hAnsi="Arial"/>
          <w:sz w:val="20"/>
          <w:szCs w:val="20"/>
          <w:color w:val="auto"/>
        </w:rPr>
        <w:t>a California limited partnership</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Danny Gabriel</w:t>
            </w:r>
          </w:p>
        </w:tc>
      </w:tr>
      <w:tr>
        <w:trPr>
          <w:trHeight w:val="162"/>
        </w:trPr>
        <w:tc>
          <w:tcPr>
            <w:tcW w:w="680" w:type="dxa"/>
            <w:vAlign w:val="bottom"/>
          </w:tcPr>
          <w:p>
            <w:pPr>
              <w:spacing w:after="0" w:line="162"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162" w:lineRule="exact"/>
              <w:rPr>
                <w:sz w:val="20"/>
                <w:szCs w:val="20"/>
                <w:color w:val="auto"/>
              </w:rPr>
            </w:pPr>
            <w:r>
              <w:rPr>
                <w:rFonts w:ascii="Arial" w:cs="Arial" w:eastAsia="Arial" w:hAnsi="Arial"/>
                <w:sz w:val="18"/>
                <w:szCs w:val="18"/>
                <w:color w:val="auto"/>
              </w:rPr>
              <w:t>Danny Gabriel</w:t>
            </w:r>
          </w:p>
        </w:tc>
      </w:t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Its:</w:t>
            </w:r>
          </w:p>
        </w:tc>
        <w:tc>
          <w:tcPr>
            <w:tcW w:w="4360" w:type="dxa"/>
            <w:vAlign w:val="bottom"/>
          </w:tcPr>
          <w:p>
            <w:pPr>
              <w:spacing w:after="0"/>
              <w:rPr>
                <w:sz w:val="20"/>
                <w:szCs w:val="20"/>
                <w:color w:val="auto"/>
              </w:rPr>
            </w:pPr>
            <w:r>
              <w:rPr>
                <w:rFonts w:ascii="Arial" w:cs="Arial" w:eastAsia="Arial" w:hAnsi="Arial"/>
                <w:sz w:val="20"/>
                <w:szCs w:val="20"/>
                <w:color w:val="auto"/>
              </w:rPr>
              <w:t>Authorized Representative</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EVERSPIN TECHNOLOGIES, INC.,</w:t>
      </w:r>
    </w:p>
    <w:p>
      <w:pPr>
        <w:spacing w:after="0"/>
        <w:rPr>
          <w:sz w:val="20"/>
          <w:szCs w:val="20"/>
          <w:color w:val="auto"/>
        </w:rPr>
      </w:pPr>
      <w:r>
        <w:rPr>
          <w:rFonts w:ascii="Arial" w:cs="Arial" w:eastAsia="Arial" w:hAnsi="Arial"/>
          <w:sz w:val="20"/>
          <w:szCs w:val="20"/>
          <w:color w:val="auto"/>
        </w:rPr>
        <w:t>a Delaware corporation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Jeff Winzeler</w:t>
            </w:r>
          </w:p>
        </w:tc>
        <w:tc>
          <w:tcPr>
            <w:tcW w:w="5020" w:type="dxa"/>
            <w:vAlign w:val="bottom"/>
          </w:tcPr>
          <w:p>
            <w:pPr>
              <w:spacing w:after="0"/>
              <w:rPr>
                <w:sz w:val="20"/>
                <w:szCs w:val="20"/>
                <w:color w:val="auto"/>
              </w:rPr>
            </w:pPr>
          </w:p>
        </w:tc>
      </w:tr>
      <w:tr>
        <w:trPr>
          <w:trHeight w:val="162"/>
        </w:trPr>
        <w:tc>
          <w:tcPr>
            <w:tcW w:w="680" w:type="dxa"/>
            <w:vAlign w:val="bottom"/>
          </w:tcPr>
          <w:p>
            <w:pPr>
              <w:spacing w:after="0" w:line="162"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162" w:lineRule="exact"/>
              <w:rPr>
                <w:sz w:val="20"/>
                <w:szCs w:val="20"/>
                <w:color w:val="auto"/>
              </w:rPr>
            </w:pPr>
            <w:r>
              <w:rPr>
                <w:rFonts w:ascii="Arial" w:cs="Arial" w:eastAsia="Arial" w:hAnsi="Arial"/>
                <w:sz w:val="18"/>
                <w:szCs w:val="18"/>
                <w:color w:val="auto"/>
              </w:rPr>
              <w:t>Jeff Winzeler</w:t>
            </w:r>
          </w:p>
        </w:tc>
        <w:tc>
          <w:tcPr>
            <w:tcW w:w="5020" w:type="dxa"/>
            <w:vAlign w:val="bottom"/>
          </w:tcPr>
          <w:p>
            <w:pPr>
              <w:spacing w:after="0"/>
              <w:rPr>
                <w:sz w:val="14"/>
                <w:szCs w:val="14"/>
                <w:color w:val="auto"/>
              </w:rPr>
            </w:pPr>
          </w:p>
        </w:tc>
      </w:t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Its:</w:t>
            </w:r>
          </w:p>
        </w:tc>
        <w:tc>
          <w:tcPr>
            <w:tcW w:w="4360" w:type="dxa"/>
            <w:vAlign w:val="bottom"/>
          </w:tcPr>
          <w:p>
            <w:pPr>
              <w:spacing w:after="0"/>
              <w:rPr>
                <w:sz w:val="20"/>
                <w:szCs w:val="20"/>
                <w:color w:val="auto"/>
              </w:rPr>
            </w:pPr>
            <w:r>
              <w:rPr>
                <w:rFonts w:ascii="Arial" w:cs="Arial" w:eastAsia="Arial" w:hAnsi="Arial"/>
                <w:sz w:val="20"/>
                <w:szCs w:val="20"/>
                <w:color w:val="auto"/>
              </w:rPr>
              <w:t>Chief Financial Officer</w:t>
            </w:r>
          </w:p>
        </w:tc>
        <w:tc>
          <w:tcPr>
            <w:tcW w:w="5020" w:type="dxa"/>
            <w:vAlign w:val="bottom"/>
          </w:tcPr>
          <w:p>
            <w:pPr>
              <w:spacing w:after="0"/>
              <w:rPr>
                <w:sz w:val="21"/>
                <w:szCs w:val="21"/>
                <w:color w:val="auto"/>
              </w:rPr>
            </w:pPr>
          </w:p>
        </w:tc>
      </w:tr>
      <w:tr>
        <w:trPr>
          <w:trHeight w:val="202"/>
        </w:trPr>
        <w:tc>
          <w:tcPr>
            <w:tcW w:w="6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tcPr>
          <w:p>
            <w:pPr>
              <w:spacing w:after="0"/>
              <w:rPr>
                <w:sz w:val="17"/>
                <w:szCs w:val="17"/>
                <w:color w:val="auto"/>
              </w:rPr>
            </w:pPr>
          </w:p>
        </w:tc>
      </w:tr>
    </w:tbl>
    <w:p>
      <w:pPr>
        <w:sectPr>
          <w:pgSz w:w="11900" w:h="16838" w:orient="portrait"/>
          <w:cols w:equalWidth="0" w:num="1">
            <w:col w:w="10060"/>
          </w:cols>
          <w:pgMar w:left="920" w:top="108" w:right="9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BILL OF SALE</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EVERSPIN TECHNOLOGIES, INC., a Delaware corporation ("</w:t>
      </w:r>
      <w:r>
        <w:rPr>
          <w:rFonts w:ascii="Arial" w:cs="Arial" w:eastAsia="Arial" w:hAnsi="Arial"/>
          <w:sz w:val="19"/>
          <w:szCs w:val="19"/>
          <w:b w:val="1"/>
          <w:bCs w:val="1"/>
          <w:color w:val="auto"/>
        </w:rPr>
        <w:t>Seller</w:t>
      </w:r>
      <w:r>
        <w:rPr>
          <w:rFonts w:ascii="Arial" w:cs="Arial" w:eastAsia="Arial" w:hAnsi="Arial"/>
          <w:sz w:val="19"/>
          <w:szCs w:val="19"/>
          <w:color w:val="auto"/>
        </w:rPr>
        <w:t>"), for and in consideration of the amount of Ten Dollars ($10.00) and other good and valuable consideration received, does hereby sell, assign, grant and convey to JUTLAND 4141 INVESTMENTS, LTD., a California limited partnership ("</w:t>
      </w:r>
      <w:r>
        <w:rPr>
          <w:rFonts w:ascii="Arial" w:cs="Arial" w:eastAsia="Arial" w:hAnsi="Arial"/>
          <w:sz w:val="19"/>
          <w:szCs w:val="19"/>
          <w:b w:val="1"/>
          <w:bCs w:val="1"/>
          <w:color w:val="auto"/>
        </w:rPr>
        <w:t>Buyer</w:t>
      </w:r>
      <w:r>
        <w:rPr>
          <w:rFonts w:ascii="Arial" w:cs="Arial" w:eastAsia="Arial" w:hAnsi="Arial"/>
          <w:sz w:val="19"/>
          <w:szCs w:val="19"/>
          <w:color w:val="auto"/>
        </w:rPr>
        <w:t>"), all furniture, fixtures, equipment, appliances, tools, supplies and other personal property of every kind and character (the "</w:t>
      </w:r>
      <w:r>
        <w:rPr>
          <w:rFonts w:ascii="Arial" w:cs="Arial" w:eastAsia="Arial" w:hAnsi="Arial"/>
          <w:sz w:val="19"/>
          <w:szCs w:val="19"/>
          <w:b w:val="1"/>
          <w:bCs w:val="1"/>
          <w:color w:val="auto"/>
        </w:rPr>
        <w:t>Personal Property</w:t>
      </w:r>
      <w:r>
        <w:rPr>
          <w:rFonts w:ascii="Arial" w:cs="Arial" w:eastAsia="Arial" w:hAnsi="Arial"/>
          <w:sz w:val="19"/>
          <w:szCs w:val="19"/>
          <w:color w:val="auto"/>
        </w:rPr>
        <w:t>") owned by Seller and attached to or located in that certain premises containing approximately 11,837 rentable square feet and commonly known as Suites 200 and 220, in the office building located at 1347 N. Alma School Road, Chandler, Arizona, in the office project commonly known as Chandler Office Center.</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Personal Property is conveyed to Purchaser “AS IS, WHERE IS”.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WITNESS WHEREOF, Seller has caused this Bill of Sale to be executed effective as of the 12th day of April,</w:t>
      </w:r>
    </w:p>
    <w:p>
      <w:pPr>
        <w:spacing w:after="0"/>
        <w:rPr>
          <w:sz w:val="20"/>
          <w:szCs w:val="20"/>
          <w:color w:val="auto"/>
        </w:rPr>
      </w:pPr>
      <w:r>
        <w:rPr>
          <w:rFonts w:ascii="Arial" w:cs="Arial" w:eastAsia="Arial" w:hAnsi="Arial"/>
          <w:sz w:val="20"/>
          <w:szCs w:val="20"/>
          <w:color w:val="auto"/>
        </w:rPr>
        <w:t>2018.</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SELLER:</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EVERSPIN TECHNOLOGIES, INC.,</w:t>
      </w:r>
    </w:p>
    <w:p>
      <w:pPr>
        <w:spacing w:after="0"/>
        <w:rPr>
          <w:sz w:val="20"/>
          <w:szCs w:val="20"/>
          <w:color w:val="auto"/>
        </w:rPr>
      </w:pPr>
      <w:r>
        <w:rPr>
          <w:rFonts w:ascii="Arial" w:cs="Arial" w:eastAsia="Arial" w:hAnsi="Arial"/>
          <w:sz w:val="20"/>
          <w:szCs w:val="20"/>
          <w:color w:val="auto"/>
        </w:rPr>
        <w:t>a Delaware corporation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Jeff Winzeler</w:t>
            </w:r>
          </w:p>
        </w:tc>
        <w:tc>
          <w:tcPr>
            <w:tcW w:w="5020" w:type="dxa"/>
            <w:vAlign w:val="bottom"/>
          </w:tcPr>
          <w:p>
            <w:pPr>
              <w:spacing w:after="0"/>
              <w:rPr>
                <w:sz w:val="20"/>
                <w:szCs w:val="20"/>
                <w:color w:val="auto"/>
              </w:rPr>
            </w:pPr>
          </w:p>
        </w:tc>
      </w:tr>
      <w:tr>
        <w:trPr>
          <w:trHeight w:val="162"/>
        </w:trPr>
        <w:tc>
          <w:tcPr>
            <w:tcW w:w="680" w:type="dxa"/>
            <w:vAlign w:val="bottom"/>
          </w:tcPr>
          <w:p>
            <w:pPr>
              <w:spacing w:after="0" w:line="162"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162" w:lineRule="exact"/>
              <w:rPr>
                <w:sz w:val="20"/>
                <w:szCs w:val="20"/>
                <w:color w:val="auto"/>
              </w:rPr>
            </w:pPr>
            <w:r>
              <w:rPr>
                <w:rFonts w:ascii="Arial" w:cs="Arial" w:eastAsia="Arial" w:hAnsi="Arial"/>
                <w:sz w:val="18"/>
                <w:szCs w:val="18"/>
                <w:color w:val="auto"/>
              </w:rPr>
              <w:t>Jeff Winzeler</w:t>
            </w:r>
          </w:p>
        </w:tc>
        <w:tc>
          <w:tcPr>
            <w:tcW w:w="5020" w:type="dxa"/>
            <w:vAlign w:val="bottom"/>
          </w:tcPr>
          <w:p>
            <w:pPr>
              <w:spacing w:after="0"/>
              <w:rPr>
                <w:sz w:val="14"/>
                <w:szCs w:val="14"/>
                <w:color w:val="auto"/>
              </w:rPr>
            </w:pPr>
          </w:p>
        </w:tc>
      </w:t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Its:</w:t>
            </w:r>
          </w:p>
        </w:tc>
        <w:tc>
          <w:tcPr>
            <w:tcW w:w="4360" w:type="dxa"/>
            <w:vAlign w:val="bottom"/>
          </w:tcPr>
          <w:p>
            <w:pPr>
              <w:spacing w:after="0"/>
              <w:rPr>
                <w:sz w:val="20"/>
                <w:szCs w:val="20"/>
                <w:color w:val="auto"/>
              </w:rPr>
            </w:pPr>
            <w:r>
              <w:rPr>
                <w:rFonts w:ascii="Arial" w:cs="Arial" w:eastAsia="Arial" w:hAnsi="Arial"/>
                <w:sz w:val="20"/>
                <w:szCs w:val="20"/>
                <w:color w:val="auto"/>
              </w:rPr>
              <w:t>Chief Financial Officer</w:t>
            </w:r>
          </w:p>
        </w:tc>
        <w:tc>
          <w:tcPr>
            <w:tcW w:w="5020" w:type="dxa"/>
            <w:vAlign w:val="bottom"/>
          </w:tcPr>
          <w:p>
            <w:pPr>
              <w:spacing w:after="0"/>
              <w:rPr>
                <w:sz w:val="21"/>
                <w:szCs w:val="21"/>
                <w:color w:val="auto"/>
              </w:rPr>
            </w:pPr>
          </w:p>
        </w:tc>
      </w:tr>
      <w:tr>
        <w:trPr>
          <w:trHeight w:val="405"/>
        </w:trPr>
        <w:tc>
          <w:tcPr>
            <w:tcW w:w="68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04" w:right="9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Kevin Conley, certify that:</w:t>
      </w:r>
    </w:p>
    <w:p>
      <w:pPr>
        <w:spacing w:after="0" w:line="144" w:lineRule="exact"/>
        <w:rPr>
          <w:sz w:val="20"/>
          <w:szCs w:val="20"/>
          <w:color w:val="auto"/>
        </w:rPr>
      </w:pPr>
    </w:p>
    <w:p>
      <w:pPr>
        <w:ind w:left="320" w:hanging="317"/>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380" w:right="240" w:hanging="377"/>
        <w:spacing w:after="0" w:line="238"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320" w:firstLine="7"/>
        <w:spacing w:after="0" w:line="219" w:lineRule="auto"/>
        <w:tabs>
          <w:tab w:leader="none" w:pos="572"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320" w:firstLine="7"/>
        <w:spacing w:after="0" w:line="259" w:lineRule="auto"/>
        <w:tabs>
          <w:tab w:leader="none" w:pos="5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320" w:firstLine="7"/>
        <w:spacing w:after="0" w:line="224" w:lineRule="auto"/>
        <w:tabs>
          <w:tab w:leader="none" w:pos="5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320" w:firstLine="7"/>
        <w:spacing w:after="0" w:line="219" w:lineRule="auto"/>
        <w:tabs>
          <w:tab w:leader="none" w:pos="589"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320" w:firstLine="7"/>
        <w:spacing w:after="0" w:line="224" w:lineRule="auto"/>
        <w:tabs>
          <w:tab w:leader="none" w:pos="59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320" w:firstLine="7"/>
        <w:spacing w:after="0" w:line="235" w:lineRule="auto"/>
        <w:tabs>
          <w:tab w:leader="none" w:pos="58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Kevin Conley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-121920</wp:posOffset>
            </wp:positionV>
            <wp:extent cx="25387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Jeffrey Winzeler, certify that:</w:t>
      </w:r>
    </w:p>
    <w:p>
      <w:pPr>
        <w:spacing w:after="0" w:line="144" w:lineRule="exact"/>
        <w:rPr>
          <w:sz w:val="20"/>
          <w:szCs w:val="20"/>
          <w:color w:val="auto"/>
        </w:rPr>
      </w:pPr>
    </w:p>
    <w:p>
      <w:pPr>
        <w:ind w:left="660" w:hanging="333"/>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ind w:left="660" w:right="380" w:hanging="333"/>
        <w:spacing w:after="0" w:line="22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80" w:hanging="333"/>
        <w:spacing w:after="0" w:line="22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hanging="333"/>
        <w:spacing w:after="0" w:line="23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980" w:hanging="329"/>
        <w:spacing w:after="0" w:line="219"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980" w:hanging="329"/>
        <w:spacing w:after="0" w:line="219"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980" w:hanging="329"/>
        <w:spacing w:after="0" w:line="22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980" w:hanging="329"/>
        <w:spacing w:after="0" w:line="219"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660" w:right="80" w:hanging="333"/>
        <w:spacing w:after="0" w:line="22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980" w:hanging="329"/>
        <w:spacing w:after="0" w:line="224"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980" w:hanging="329"/>
        <w:spacing w:after="0" w:line="235" w:lineRule="auto"/>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Jeffrey Winzeler</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-121920</wp:posOffset>
            </wp:positionV>
            <wp:extent cx="23926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89"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Kevin Conley, President and Chief Executive Officer of Everspin Technologies, Inc. (the “Company”), and Jeffrey Winzeler, Chief Financial Officer of the Company, each hereby certifies that, to the best of his knowledge:</w:t>
      </w:r>
    </w:p>
    <w:p>
      <w:pPr>
        <w:spacing w:after="0" w:line="163" w:lineRule="exact"/>
        <w:rPr>
          <w:sz w:val="20"/>
          <w:szCs w:val="20"/>
          <w:color w:val="auto"/>
        </w:rPr>
      </w:pPr>
    </w:p>
    <w:p>
      <w:pPr>
        <w:ind w:right="60" w:firstLine="3"/>
        <w:spacing w:after="0" w:line="224"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2018, to which this Certification is attached as Exhibit 32.1 (the “Periodic Report”), fully complies with the requirements of Section 13(a) or Section 15(d) of the Exchange Act; and</w:t>
      </w:r>
    </w:p>
    <w:p>
      <w:pPr>
        <w:spacing w:after="0" w:line="163" w:lineRule="exact"/>
        <w:rPr>
          <w:rFonts w:ascii="Arial" w:cs="Arial" w:eastAsia="Arial" w:hAnsi="Arial"/>
          <w:sz w:val="18"/>
          <w:szCs w:val="18"/>
          <w:color w:val="auto"/>
        </w:rPr>
      </w:pPr>
    </w:p>
    <w:p>
      <w:pPr>
        <w:ind w:right="20" w:firstLine="3"/>
        <w:spacing w:after="0" w:line="235"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Kevin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5754370" cy="857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5754370" cy="857885"/>
                    </a:xfrm>
                    <a:prstGeom prst="rect">
                      <a:avLst/>
                    </a:prstGeom>
                    <a:noFill/>
                  </pic:spPr>
                </pic:pic>
              </a:graphicData>
            </a:graphic>
          </wp:anchor>
        </w:drawing>
      </w:r>
    </w:p>
    <w:p>
      <w:pPr>
        <w:ind w:left="5440"/>
        <w:spacing w:after="0" w:line="232" w:lineRule="auto"/>
        <w:rPr>
          <w:sz w:val="20"/>
          <w:szCs w:val="20"/>
          <w:color w:val="auto"/>
        </w:rPr>
      </w:pPr>
      <w:r>
        <w:rPr>
          <w:rFonts w:ascii="Arial" w:cs="Arial" w:eastAsia="Arial" w:hAnsi="Arial"/>
          <w:sz w:val="18"/>
          <w:szCs w:val="18"/>
          <w:color w:val="auto"/>
        </w:rPr>
        <w:t>Kevin Conley</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(Principal Executive Officer)</w:t>
      </w:r>
    </w:p>
    <w:p>
      <w:pPr>
        <w:spacing w:after="0" w:line="15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Jeffrey Winzeler</w:t>
      </w:r>
    </w:p>
    <w:p>
      <w:pPr>
        <w:ind w:left="5440"/>
        <w:spacing w:after="0" w:line="232" w:lineRule="auto"/>
        <w:rPr>
          <w:sz w:val="20"/>
          <w:szCs w:val="20"/>
          <w:color w:val="auto"/>
        </w:rPr>
      </w:pPr>
      <w:r>
        <w:rPr>
          <w:rFonts w:ascii="Arial" w:cs="Arial" w:eastAsia="Arial" w:hAnsi="Arial"/>
          <w:sz w:val="18"/>
          <w:szCs w:val="18"/>
          <w:color w:val="auto"/>
        </w:rPr>
        <w:t>Jeffrey Winzeler</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(Principal Financial Officer)</w:t>
      </w:r>
    </w:p>
    <w:p>
      <w:pPr>
        <w:spacing w:after="0" w:line="142"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bullet"/>
      <w:start w:val="1"/>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lowerLetter"/>
      <w:start w:val="2"/>
    </w:lvl>
  </w:abstractNum>
  <w:abstractNum w:abstractNumId="7">
    <w:nsid w:val="2901D82"/>
    <w:multiLevelType w:val="hybridMultilevel"/>
    <w:lvl w:ilvl="0">
      <w:lvlJc w:val="left"/>
      <w:lvlText w:val="(%1)"/>
      <w:numFmt w:val="lowerRoman"/>
      <w:start w:val="1"/>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lowerLetter"/>
      <w:start w:val="1"/>
    </w:lvl>
  </w:abstractNum>
  <w:abstractNum w:abstractNumId="12">
    <w:nsid w:val="737B8DDC"/>
    <w:multiLevelType w:val="hybridMultilevel"/>
    <w:lvl w:ilvl="0">
      <w:lvlJc w:val="left"/>
      <w:lvlText w:val="(%1)"/>
      <w:numFmt w:val="lowerRoman"/>
      <w:start w:val="3"/>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decimal"/>
      <w:start w:val="2"/>
    </w:lvl>
  </w:abstractNum>
  <w:abstractNum w:abstractNumId="16">
    <w:nsid w:val="3006C83E"/>
    <w:multiLevelType w:val="hybridMultilevel"/>
    <w:lvl w:ilvl="0">
      <w:lvlJc w:val="left"/>
      <w:lvlText w:val="%1."/>
      <w:numFmt w:val="decimal"/>
      <w:start w:val="3"/>
    </w:lvl>
  </w:abstractNum>
  <w:abstractNum w:abstractNumId="17">
    <w:nsid w:val="614FD4A1"/>
    <w:multiLevelType w:val="hybridMultilevel"/>
    <w:lvl w:ilvl="0">
      <w:lvlJc w:val="left"/>
      <w:lvlText w:val="%1."/>
      <w:numFmt w:val="upperLetter"/>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20">
    <w:nsid w:val="440BADF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1">
    <w:nsid w:val="5072367"/>
    <w:multiLevelType w:val="hybridMultilevel"/>
    <w:lvl w:ilvl="0">
      <w:lvlJc w:val="left"/>
      <w:lvlText w:val="(%1)"/>
      <w:numFmt w:val="lowerRoman"/>
      <w:start w:val="2"/>
    </w:lvl>
  </w:abstractNum>
  <w:abstractNum w:abstractNumId="22">
    <w:nsid w:val="3804823E"/>
    <w:multiLevelType w:val="hybridMultilevel"/>
    <w:lvl w:ilvl="0">
      <w:lvlJc w:val="left"/>
      <w:lvlText w:val="(%1)"/>
      <w:numFmt w:val="lowerLetter"/>
      <w:start w:val="5"/>
    </w:lvl>
  </w:abstractNum>
  <w:abstractNum w:abstractNumId="23">
    <w:nsid w:val="77465F01"/>
    <w:multiLevelType w:val="hybridMultilevel"/>
    <w:lvl w:ilvl="0">
      <w:lvlJc w:val="left"/>
      <w:lvlText w:val="(%1)"/>
      <w:numFmt w:val="lowerRoman"/>
      <w:start w:val="1"/>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1)"/>
      <w:numFmt w:val="lowerLetter"/>
      <w:start w:val="2"/>
    </w:lvl>
  </w:abstractNum>
  <w:abstractNum w:abstractNumId="27">
    <w:nsid w:val="5E884ADC"/>
    <w:multiLevelType w:val="hybridMultilevel"/>
    <w:lvl w:ilvl="0">
      <w:lvlJc w:val="left"/>
      <w:lvlText w:val="(%1)"/>
      <w:numFmt w:val="lowerLetter"/>
      <w:start w:val="3"/>
    </w:lvl>
  </w:abstractNum>
  <w:abstractNum w:abstractNumId="28">
    <w:nsid w:val="51EAD36B"/>
    <w:multiLevelType w:val="hybridMultilevel"/>
    <w:lvl w:ilvl="0">
      <w:lvlJc w:val="left"/>
      <w:lvlText w:val="%1."/>
      <w:numFmt w:val="decimal"/>
      <w:start w:val="3"/>
    </w:lvl>
  </w:abstractNum>
  <w:abstractNum w:abstractNumId="29">
    <w:nsid w:val="2D517796"/>
    <w:multiLevelType w:val="hybridMultilevel"/>
    <w:lvl w:ilvl="0">
      <w:lvlJc w:val="left"/>
      <w:lvlText w:val="%1."/>
      <w:numFmt w:val="decimal"/>
      <w:start w:val="5"/>
    </w:lvl>
  </w:abstractNum>
  <w:abstractNum w:abstractNumId="30">
    <w:nsid w:val="580BD78F"/>
    <w:multiLevelType w:val="hybridMultilevel"/>
    <w:lvl w:ilvl="0">
      <w:lvlJc w:val="left"/>
      <w:lvlText w:val="%1."/>
      <w:numFmt w:val="decimal"/>
      <w:start w:val="6"/>
    </w:lvl>
  </w:abstractNum>
  <w:abstractNum w:abstractNumId="31">
    <w:nsid w:val="153EA438"/>
    <w:multiLevelType w:val="hybridMultilevel"/>
    <w:lvl w:ilvl="0">
      <w:lvlJc w:val="left"/>
      <w:lvlText w:val="%1."/>
      <w:numFmt w:val="decimal"/>
      <w:start w:val="7"/>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upperLetter"/>
      <w:start w:val="9"/>
    </w:lvl>
  </w:abstractNum>
  <w:abstractNum w:abstractNumId="34">
    <w:nsid w:val="6A2342EC"/>
    <w:multiLevelType w:val="hybridMultilevel"/>
    <w:lvl w:ilvl="0">
      <w:lvlJc w:val="left"/>
      <w:lvlText w:val="%1."/>
      <w:numFmt w:val="upperLetter"/>
      <w:start w:val="35"/>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2"/>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2"/>
    </w:lvl>
  </w:abstractNum>
  <w:abstractNum w:abstractNumId="39">
    <w:nsid w:val="57E4CCAF"/>
    <w:multiLevelType w:val="hybridMultilevel"/>
    <w:lvl w:ilvl="0">
      <w:lvlJc w:val="left"/>
      <w:lvlText w:val="%1."/>
      <w:numFmt w:val="decimal"/>
      <w:start w:val="1"/>
    </w:lvl>
    <w:lvl w:ilvl="1">
      <w:lvlJc w:val="left"/>
      <w:lvlText w:val="☐"/>
      <w:numFmt w:val="bullet"/>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Roman"/>
      <w:start w:val="1"/>
    </w:lvl>
    <w:lvl w:ilvl="1">
      <w:lvlJc w:val="left"/>
      <w:lvlText w:val="%2."/>
      <w:numFmt w:val="decimal"/>
      <w:start w:val="1"/>
    </w:lvl>
  </w:abstractNum>
  <w:abstractNum w:abstractNumId="42">
    <w:nsid w:val="542289EC"/>
    <w:multiLevelType w:val="hybridMultilevel"/>
    <w:lvl w:ilvl="0">
      <w:lvlJc w:val="left"/>
      <w:lvlText w:val="(%1)"/>
      <w:numFmt w:val="lowerRoman"/>
      <w:start w:val="1"/>
    </w:lvl>
    <w:lvl w:ilvl="1">
      <w:lvlJc w:val="left"/>
      <w:lvlText w:val="%2."/>
      <w:numFmt w:val="decimal"/>
      <w:start w:val="2"/>
    </w:lvl>
  </w:abstractNum>
  <w:abstractNum w:abstractNumId="43">
    <w:nsid w:val="6DE91B18"/>
    <w:multiLevelType w:val="hybridMultilevel"/>
    <w:lvl w:ilvl="0">
      <w:lvlJc w:val="left"/>
      <w:lvlText w:val="%1"/>
      <w:numFmt w:val="decimal"/>
      <w:start w:val="1"/>
    </w:lvl>
    <w:lvl w:ilvl="1">
      <w:lvlJc w:val="left"/>
      <w:lvlText w:val="%2."/>
      <w:numFmt w:val="decimal"/>
      <w:start w:val="3"/>
    </w:lvl>
  </w:abstractNum>
  <w:abstractNum w:abstractNumId="44">
    <w:nsid w:val="38437FDB"/>
    <w:multiLevelType w:val="hybridMultilevel"/>
    <w:lvl w:ilvl="0">
      <w:lvlJc w:val="left"/>
      <w:lvlText w:val="(%1)"/>
      <w:numFmt w:val="decimal"/>
      <w:start w:val="10"/>
    </w:lvl>
    <w:lvl w:ilvl="1">
      <w:lvlJc w:val="left"/>
      <w:lvlText w:val="%2."/>
      <w:numFmt w:val="decimal"/>
      <w:start w:val="4"/>
    </w:lvl>
  </w:abstractNum>
  <w:abstractNum w:abstractNumId="45">
    <w:nsid w:val="7644A45C"/>
    <w:multiLevelType w:val="hybridMultilevel"/>
    <w:lvl w:ilvl="0">
      <w:lvlJc w:val="left"/>
      <w:lvlText w:val="%1."/>
      <w:numFmt w:val="decimal"/>
      <w:start w:val="7"/>
    </w:lvl>
  </w:abstractNum>
  <w:abstractNum w:abstractNumId="46">
    <w:nsid w:val="32FFF902"/>
    <w:multiLevelType w:val="hybridMultilevel"/>
    <w:lvl w:ilvl="0">
      <w:lvlJc w:val="left"/>
      <w:lvlText w:val="%1."/>
      <w:numFmt w:val="decimal"/>
      <w:start w:val="13"/>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73" Type="http://schemas.openxmlformats.org/officeDocument/2006/relationships/hyperlink" Target="http://www.sec.gov/Archives/edgar/data/1438423/000119312516737688/d271840dex31.htm" TargetMode="External"/><Relationship Id="rId74" Type="http://schemas.openxmlformats.org/officeDocument/2006/relationships/hyperlink" Target="http://www.sec.gov/Archives/edgar/data/1438423/000119312516706479/d180963dex36.htm" TargetMode="External"/><Relationship Id="rId75" Type="http://schemas.openxmlformats.org/officeDocument/2006/relationships/hyperlink" Target="http://www.sec.gov/Archives/edgar/data/1438423/000119312516706479/d180963dex41.htm" TargetMode="External"/><Relationship Id="rId76" Type="http://schemas.openxmlformats.org/officeDocument/2006/relationships/hyperlink" Target="http://www.sec.gov/Archives/edgar/data/1438423/000119312518170723/d59182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2019-12-28T19:52:46Z</dcterms:created>
  <dcterms:modified xsi:type="dcterms:W3CDTF">2019-12-28T19:52:46Z</dcterms:modified>
</cp:coreProperties>
</file>