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-215265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11"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64770</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2"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2510155</wp:posOffset>
            </wp:positionH>
            <wp:positionV relativeFrom="paragraph">
              <wp:posOffset>92710</wp:posOffset>
            </wp:positionV>
            <wp:extent cx="15862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29" w:lineRule="exact"/>
        <w:rPr>
          <w:sz w:val="24"/>
          <w:szCs w:val="24"/>
          <w:color w:val="auto"/>
        </w:rPr>
      </w:pPr>
    </w:p>
    <w:p>
      <w:pPr>
        <w:ind w:left="9"/>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449" w:right="140" w:hanging="449"/>
        <w:spacing w:after="0" w:line="243" w:lineRule="auto"/>
        <w:tabs>
          <w:tab w:leader="none" w:pos="629"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85"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225"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OR</w:t>
      </w:r>
    </w:p>
    <w:p>
      <w:pPr>
        <w:spacing w:after="0" w:line="230" w:lineRule="exact"/>
        <w:rPr>
          <w:sz w:val="24"/>
          <w:szCs w:val="24"/>
          <w:color w:val="auto"/>
        </w:rPr>
      </w:pPr>
    </w:p>
    <w:p>
      <w:pPr>
        <w:ind w:left="449" w:right="120" w:hanging="449"/>
        <w:spacing w:after="0" w:line="256" w:lineRule="auto"/>
        <w:tabs>
          <w:tab w:leader="none" w:pos="629"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349"/>
        <w:spacing w:after="0"/>
        <w:tabs>
          <w:tab w:leader="none" w:pos="6288"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3637280</wp:posOffset>
            </wp:positionH>
            <wp:positionV relativeFrom="paragraph">
              <wp:posOffset>-7620</wp:posOffset>
            </wp:positionV>
            <wp:extent cx="838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96" w:lineRule="exact"/>
        <w:rPr>
          <w:sz w:val="24"/>
          <w:szCs w:val="24"/>
          <w:color w:val="auto"/>
        </w:rPr>
      </w:pPr>
    </w:p>
    <w:p>
      <w:pPr>
        <w:jc w:val="center"/>
        <w:ind w:right="-8"/>
        <w:spacing w:after="0"/>
        <w:rPr>
          <w:sz w:val="20"/>
          <w:szCs w:val="20"/>
          <w:color w:val="auto"/>
        </w:rPr>
      </w:pPr>
      <w:r>
        <w:rPr>
          <w:rFonts w:ascii="Arial" w:cs="Arial" w:eastAsia="Arial" w:hAnsi="Arial"/>
          <w:sz w:val="16"/>
          <w:szCs w:val="16"/>
          <w:b w:val="1"/>
          <w:bCs w:val="1"/>
          <w:color w:val="auto"/>
        </w:rPr>
        <w:t>Commission File Number 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88900</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99" w:lineRule="exact"/>
        <w:rPr>
          <w:sz w:val="24"/>
          <w:szCs w:val="24"/>
          <w:color w:val="auto"/>
        </w:rPr>
      </w:pPr>
    </w:p>
    <w:p>
      <w:pPr>
        <w:jc w:val="center"/>
        <w:ind w:right="-8"/>
        <w:spacing w:after="0"/>
        <w:rPr>
          <w:sz w:val="20"/>
          <w:szCs w:val="20"/>
          <w:color w:val="auto"/>
        </w:rPr>
      </w:pPr>
      <w:r>
        <w:rPr>
          <w:rFonts w:ascii="Arial" w:cs="Arial" w:eastAsia="Arial" w:hAnsi="Arial"/>
          <w:sz w:val="43"/>
          <w:szCs w:val="43"/>
          <w:b w:val="1"/>
          <w:bCs w:val="1"/>
          <w:color w:val="auto"/>
        </w:rPr>
        <w:t>Everspin Technologies, Inc.</w:t>
      </w:r>
    </w:p>
    <w:p>
      <w:pPr>
        <w:spacing w:after="0" w:line="50"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73025</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269" w:type="dxa"/>
        <w:tblCellMar>
          <w:top w:w="0" w:type="dxa"/>
          <w:left w:w="0" w:type="dxa"/>
          <w:bottom w:w="0" w:type="dxa"/>
          <w:right w:w="0" w:type="dxa"/>
        </w:tblCellMar>
      </w:tblPr>
      <w:tr>
        <w:trPr>
          <w:trHeight w:val="216"/>
        </w:trPr>
        <w:tc>
          <w:tcPr>
            <w:tcW w:w="42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center"/>
              <w:ind w:left="1570"/>
              <w:spacing w:after="0"/>
              <w:rPr>
                <w:sz w:val="20"/>
                <w:szCs w:val="20"/>
                <w:color w:val="auto"/>
              </w:rPr>
            </w:pPr>
            <w:r>
              <w:rPr>
                <w:rFonts w:ascii="Arial" w:cs="Arial" w:eastAsia="Arial" w:hAnsi="Arial"/>
                <w:sz w:val="18"/>
                <w:szCs w:val="18"/>
                <w:b w:val="1"/>
                <w:bCs w:val="1"/>
                <w:color w:val="auto"/>
                <w:w w:val="89"/>
              </w:rPr>
              <w:t>26-2640654</w:t>
            </w:r>
          </w:p>
        </w:tc>
      </w:tr>
      <w:tr>
        <w:trPr>
          <w:trHeight w:val="216"/>
        </w:trPr>
        <w:tc>
          <w:tcPr>
            <w:tcW w:w="422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(State or other jurisdiction</w:t>
            </w:r>
          </w:p>
        </w:tc>
        <w:tc>
          <w:tcPr>
            <w:tcW w:w="3080" w:type="dxa"/>
            <w:vAlign w:val="bottom"/>
          </w:tcPr>
          <w:p>
            <w:pPr>
              <w:jc w:val="center"/>
              <w:ind w:left="15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22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of incorporation or organization)</w:t>
            </w:r>
          </w:p>
        </w:tc>
        <w:tc>
          <w:tcPr>
            <w:tcW w:w="3080" w:type="dxa"/>
            <w:vAlign w:val="bottom"/>
          </w:tcPr>
          <w:p>
            <w:pPr>
              <w:jc w:val="center"/>
              <w:ind w:left="157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98"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1347 N. Alma School Road, Suite 220</w:t>
      </w:r>
    </w:p>
    <w:p>
      <w:pPr>
        <w:spacing w:after="0" w:line="27"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Chandler, Arizona 85224</w:t>
      </w:r>
    </w:p>
    <w:p>
      <w:pPr>
        <w:spacing w:after="0" w:line="9"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166"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85725</wp:posOffset>
            </wp:positionV>
            <wp:extent cx="16554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36" w:lineRule="exact"/>
        <w:rPr>
          <w:sz w:val="24"/>
          <w:szCs w:val="24"/>
          <w:color w:val="auto"/>
        </w:rPr>
      </w:pPr>
    </w:p>
    <w:p>
      <w:pPr>
        <w:jc w:val="both"/>
        <w:ind w:left="9" w:right="2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9" w:right="100"/>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3" w:lineRule="exact"/>
        <w:rPr>
          <w:sz w:val="24"/>
          <w:szCs w:val="24"/>
          <w:color w:val="auto"/>
        </w:rPr>
      </w:pPr>
    </w:p>
    <w:p>
      <w:pPr>
        <w:jc w:val="both"/>
        <w:ind w:left="9" w:right="28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tbl>
      <w:tblPr>
        <w:tblLayout w:type="fixed"/>
        <w:tblInd w:w="9" w:type="dxa"/>
        <w:tblCellMar>
          <w:top w:w="0" w:type="dxa"/>
          <w:left w:w="0" w:type="dxa"/>
          <w:bottom w:w="0" w:type="dxa"/>
          <w:right w:w="0" w:type="dxa"/>
        </w:tblCellMar>
      </w:tblPr>
      <w:tr>
        <w:trPr>
          <w:trHeight w:val="174"/>
        </w:trPr>
        <w:tc>
          <w:tcPr>
            <w:tcW w:w="1720" w:type="dxa"/>
            <w:vAlign w:val="bottom"/>
          </w:tcPr>
          <w:p>
            <w:pPr>
              <w:spacing w:after="0" w:line="175" w:lineRule="exact"/>
              <w:rPr>
                <w:sz w:val="20"/>
                <w:szCs w:val="20"/>
                <w:color w:val="auto"/>
              </w:rPr>
            </w:pPr>
            <w:r>
              <w:rPr>
                <w:rFonts w:ascii="Arial" w:cs="Arial" w:eastAsia="Arial" w:hAnsi="Arial"/>
                <w:sz w:val="18"/>
                <w:szCs w:val="18"/>
                <w:color w:val="auto"/>
                <w:w w:val="95"/>
              </w:rPr>
              <w:t>Large accelerated filer</w:t>
            </w:r>
          </w:p>
        </w:tc>
        <w:tc>
          <w:tcPr>
            <w:tcW w:w="4640" w:type="dxa"/>
            <w:vAlign w:val="bottom"/>
          </w:tcPr>
          <w:p>
            <w:pPr>
              <w:ind w:left="100"/>
              <w:spacing w:after="0" w:line="174"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1080"/>
              <w:spacing w:after="0" w:line="175" w:lineRule="exact"/>
              <w:rPr>
                <w:sz w:val="20"/>
                <w:szCs w:val="20"/>
                <w:color w:val="auto"/>
              </w:rPr>
            </w:pPr>
            <w:r>
              <w:rPr>
                <w:rFonts w:ascii="Arial" w:cs="Arial" w:eastAsia="Arial" w:hAnsi="Arial"/>
                <w:sz w:val="18"/>
                <w:szCs w:val="18"/>
                <w:color w:val="auto"/>
              </w:rPr>
              <w:t>Accelerated filer</w:t>
            </w:r>
          </w:p>
        </w:tc>
        <w:tc>
          <w:tcPr>
            <w:tcW w:w="240" w:type="dxa"/>
            <w:vAlign w:val="bottom"/>
          </w:tcPr>
          <w:p>
            <w:pPr>
              <w:ind w:left="80"/>
              <w:spacing w:after="0" w:line="174"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Non-accelerated filer</w:t>
            </w:r>
          </w:p>
        </w:tc>
        <w:tc>
          <w:tcPr>
            <w:tcW w:w="464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 reporting company)</w:t>
            </w:r>
          </w:p>
        </w:tc>
        <w:tc>
          <w:tcPr>
            <w:tcW w:w="3780" w:type="dxa"/>
            <w:vAlign w:val="bottom"/>
          </w:tcPr>
          <w:p>
            <w:pPr>
              <w:ind w:left="1080"/>
              <w:spacing w:after="0"/>
              <w:rPr>
                <w:sz w:val="20"/>
                <w:szCs w:val="20"/>
                <w:color w:val="auto"/>
              </w:rPr>
            </w:pPr>
            <w:r>
              <w:rPr>
                <w:rFonts w:ascii="Arial" w:cs="Arial" w:eastAsia="Arial" w:hAnsi="Arial"/>
                <w:sz w:val="18"/>
                <w:szCs w:val="18"/>
                <w:color w:val="auto"/>
              </w:rPr>
              <w:t>Small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780" w:type="dxa"/>
            <w:vAlign w:val="bottom"/>
          </w:tcPr>
          <w:p>
            <w:pPr>
              <w:ind w:left="1080"/>
              <w:spacing w:after="0"/>
              <w:rPr>
                <w:sz w:val="20"/>
                <w:szCs w:val="20"/>
                <w:color w:val="auto"/>
              </w:rPr>
            </w:pPr>
            <w:r>
              <w:rPr>
                <w:rFonts w:ascii="Arial" w:cs="Arial" w:eastAsia="Arial" w:hAnsi="Arial"/>
                <w:sz w:val="18"/>
                <w:szCs w:val="18"/>
                <w:color w:val="auto"/>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9"/>
        </w:trPr>
        <w:tc>
          <w:tcPr>
            <w:tcW w:w="10140" w:type="dxa"/>
            <w:vAlign w:val="bottom"/>
            <w:gridSpan w:val="3"/>
          </w:tcPr>
          <w:p>
            <w:pPr>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0140" w:type="dxa"/>
            <w:vAlign w:val="bottom"/>
            <w:gridSpan w:val="3"/>
          </w:tcPr>
          <w:p>
            <w:pPr>
              <w:spacing w:after="0"/>
              <w:rPr>
                <w:sz w:val="20"/>
                <w:szCs w:val="20"/>
                <w:color w:val="auto"/>
              </w:rPr>
            </w:pPr>
            <w:r>
              <w:rPr>
                <w:rFonts w:ascii="Arial" w:cs="Arial" w:eastAsia="Arial" w:hAnsi="Arial"/>
                <w:sz w:val="18"/>
                <w:szCs w:val="18"/>
                <w:color w:val="auto"/>
              </w:rPr>
              <w:t>with any new or revised financial accounting standards provided pursuant to Section 13(a) of the Exchange Act.</w:t>
            </w:r>
          </w:p>
        </w:tc>
        <w:tc>
          <w:tcPr>
            <w:tcW w:w="240" w:type="dxa"/>
            <w:vAlign w:val="bottom"/>
          </w:tcPr>
          <w:p>
            <w:pPr>
              <w:spacing w:after="0"/>
              <w:rPr>
                <w:sz w:val="20"/>
                <w:szCs w:val="20"/>
                <w:color w:val="auto"/>
              </w:rPr>
            </w:pPr>
          </w:p>
        </w:tc>
      </w:tr>
    </w:tbl>
    <w:p>
      <w:pPr>
        <w:spacing w:after="0" w:line="169" w:lineRule="exact"/>
        <w:rPr>
          <w:sz w:val="24"/>
          <w:szCs w:val="24"/>
          <w:color w:val="auto"/>
        </w:rPr>
      </w:pPr>
    </w:p>
    <w:p>
      <w:pPr>
        <w:ind w:left="9"/>
        <w:spacing w:after="0" w:line="207" w:lineRule="exact"/>
        <w:tabs>
          <w:tab w:leader="none" w:pos="8388" w:val="left"/>
          <w:tab w:leader="none" w:pos="9168"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left="9"/>
        <w:spacing w:after="0"/>
        <w:rPr>
          <w:sz w:val="20"/>
          <w:szCs w:val="20"/>
          <w:color w:val="auto"/>
        </w:rPr>
      </w:pPr>
      <w:r>
        <w:rPr>
          <w:rFonts w:ascii="Arial" w:cs="Arial" w:eastAsia="Arial" w:hAnsi="Arial"/>
          <w:sz w:val="18"/>
          <w:szCs w:val="18"/>
          <w:color w:val="auto"/>
        </w:rPr>
        <w:t>The number of shares of Registrant’s Common Stock outstanding as of May 5, 2017 was 12,509,647.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48895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332105</wp:posOffset>
            </wp:positionV>
            <wp:extent cx="66122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389"/>
          </w:cols>
          <w:pgMar w:left="751" w:top="233" w:right="75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40" w:type="dxa"/>
            <w:vAlign w:val="bottom"/>
            <w:gridSpan w:val="14"/>
            <w:vMerge w:val="restart"/>
          </w:tcPr>
          <w:p>
            <w:pPr>
              <w:jc w:val="center"/>
              <w:ind w:right="178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40" w:type="dxa"/>
            <w:vAlign w:val="bottom"/>
            <w:gridSpan w:val="14"/>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500" w:type="dxa"/>
            <w:vAlign w:val="bottom"/>
            <w:gridSpan w:val="2"/>
          </w:tcPr>
          <w:p>
            <w:pPr>
              <w:spacing w:after="0"/>
              <w:rPr>
                <w:sz w:val="18"/>
                <w:szCs w:val="18"/>
                <w:color w:val="auto"/>
              </w:rPr>
            </w:pPr>
          </w:p>
        </w:tc>
        <w:tc>
          <w:tcPr>
            <w:tcW w:w="15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720" w:type="dxa"/>
            <w:vAlign w:val="bottom"/>
            <w:gridSpan w:val="2"/>
          </w:tcPr>
          <w:p>
            <w:pPr>
              <w:spacing w:after="0"/>
              <w:rPr>
                <w:sz w:val="18"/>
                <w:szCs w:val="18"/>
                <w:color w:val="auto"/>
              </w:rPr>
            </w:pPr>
          </w:p>
        </w:tc>
        <w:tc>
          <w:tcPr>
            <w:tcW w:w="3140" w:type="dxa"/>
            <w:vAlign w:val="bottom"/>
            <w:tcBorders>
              <w:top w:val="single" w:sz="8" w:color="0000EE"/>
            </w:tcBorders>
            <w:gridSpan w:val="8"/>
          </w:tcPr>
          <w:p>
            <w:pPr>
              <w:spacing w:after="0"/>
              <w:rPr>
                <w:sz w:val="18"/>
                <w:szCs w:val="18"/>
                <w:color w:val="auto"/>
              </w:rPr>
            </w:pPr>
          </w:p>
        </w:tc>
        <w:tc>
          <w:tcPr>
            <w:tcW w:w="2240" w:type="dxa"/>
            <w:vAlign w:val="bottom"/>
            <w:gridSpan w:val="5"/>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6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Balance Sheets as of March 31, 2017 and December 31, 2016 (unaudited)</w:t>
              </w:r>
            </w:hyperlink>
          </w:p>
        </w:tc>
        <w:tc>
          <w:tcPr>
            <w:tcW w:w="1140" w:type="dxa"/>
            <w:vAlign w:val="bottom"/>
            <w:gridSpan w:val="3"/>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00" w:type="dxa"/>
            <w:vAlign w:val="bottom"/>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Statements of Operations and Comprehensive Loss for the three months ended March 31,</w:t>
              </w:r>
            </w:hyperlink>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0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2017 and 2016 (unaudited)</w:t>
              </w:r>
            </w:hyperlink>
          </w:p>
        </w:tc>
        <w:tc>
          <w:tcPr>
            <w:tcW w:w="2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00" w:type="dxa"/>
            <w:vAlign w:val="bottom"/>
            <w:gridSpan w:val="19"/>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Statements of Cash Flows for the three months ended March 31, 2017 and 2016</w:t>
              </w:r>
            </w:hyperlink>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3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72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Condensed Financial Statements (unaudited)</w:t>
              </w:r>
            </w:hyperlink>
          </w:p>
        </w:tc>
        <w:tc>
          <w:tcPr>
            <w:tcW w:w="3420" w:type="dxa"/>
            <w:vAlign w:val="bottom"/>
            <w:gridSpan w:val="9"/>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2.</w:t>
              </w:r>
            </w:hyperlink>
          </w:p>
        </w:tc>
        <w:tc>
          <w:tcPr>
            <w:tcW w:w="500" w:type="dxa"/>
            <w:vAlign w:val="bottom"/>
            <w:gridSpan w:val="2"/>
          </w:tcPr>
          <w:p>
            <w:pPr>
              <w:spacing w:after="0"/>
              <w:rPr>
                <w:sz w:val="18"/>
                <w:szCs w:val="18"/>
                <w:color w:val="auto"/>
              </w:rPr>
            </w:pPr>
          </w:p>
        </w:tc>
        <w:tc>
          <w:tcPr>
            <w:tcW w:w="7620" w:type="dxa"/>
            <w:vAlign w:val="bottom"/>
            <w:gridSpan w:val="2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3.</w:t>
              </w:r>
            </w:hyperlink>
          </w:p>
        </w:tc>
        <w:tc>
          <w:tcPr>
            <w:tcW w:w="500" w:type="dxa"/>
            <w:vAlign w:val="bottom"/>
            <w:gridSpan w:val="2"/>
          </w:tcPr>
          <w:p>
            <w:pPr>
              <w:spacing w:after="0"/>
              <w:rPr>
                <w:sz w:val="18"/>
                <w:szCs w:val="18"/>
                <w:color w:val="auto"/>
              </w:rPr>
            </w:pPr>
          </w:p>
        </w:tc>
        <w:tc>
          <w:tcPr>
            <w:tcW w:w="43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8"/>
                <w:szCs w:val="18"/>
                <w:color w:val="auto"/>
              </w:rPr>
            </w:pPr>
          </w:p>
        </w:tc>
        <w:tc>
          <w:tcPr>
            <w:tcW w:w="1160" w:type="dxa"/>
            <w:vAlign w:val="bottom"/>
            <w:gridSpan w:val="4"/>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102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7620" w:type="dxa"/>
            <w:vAlign w:val="bottom"/>
            <w:gridSpan w:val="2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39"/>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II—OTHER INFORMATION</w:t>
              </w:r>
            </w:hyperlink>
          </w:p>
        </w:tc>
        <w:tc>
          <w:tcPr>
            <w:tcW w:w="2380" w:type="dxa"/>
            <w:vAlign w:val="bottom"/>
            <w:gridSpan w:val="6"/>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1.</w:t>
              </w:r>
            </w:hyperlink>
          </w:p>
        </w:tc>
        <w:tc>
          <w:tcPr>
            <w:tcW w:w="500" w:type="dxa"/>
            <w:vAlign w:val="bottom"/>
            <w:gridSpan w:val="2"/>
          </w:tcPr>
          <w:p>
            <w:pPr>
              <w:spacing w:after="0"/>
              <w:rPr>
                <w:sz w:val="18"/>
                <w:szCs w:val="18"/>
                <w:color w:val="auto"/>
              </w:rPr>
            </w:pPr>
          </w:p>
        </w:tc>
        <w:tc>
          <w:tcPr>
            <w:tcW w:w="7620" w:type="dxa"/>
            <w:vAlign w:val="bottom"/>
            <w:gridSpan w:val="2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1A.</w:t>
              </w:r>
            </w:hyperlink>
          </w:p>
        </w:tc>
        <w:tc>
          <w:tcPr>
            <w:tcW w:w="7620" w:type="dxa"/>
            <w:vAlign w:val="bottom"/>
            <w:gridSpan w:val="2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2.</w:t>
              </w:r>
            </w:hyperlink>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Unregistered Sales of Equity Securities and Use of Proceeds</w:t>
              </w:r>
            </w:hyperlink>
          </w:p>
        </w:tc>
        <w:tc>
          <w:tcPr>
            <w:tcW w:w="3260" w:type="dxa"/>
            <w:vAlign w:val="bottom"/>
            <w:gridSpan w:val="8"/>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3.</w:t>
              </w:r>
            </w:hyperlink>
          </w:p>
        </w:tc>
        <w:tc>
          <w:tcPr>
            <w:tcW w:w="500" w:type="dxa"/>
            <w:vAlign w:val="bottom"/>
            <w:gridSpan w:val="2"/>
          </w:tcPr>
          <w:p>
            <w:pPr>
              <w:spacing w:after="0"/>
              <w:rPr>
                <w:sz w:val="18"/>
                <w:szCs w:val="18"/>
                <w:color w:val="auto"/>
              </w:rPr>
            </w:pPr>
          </w:p>
        </w:tc>
        <w:tc>
          <w:tcPr>
            <w:tcW w:w="23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Defaults Upon Senior Securities</w:t>
              </w:r>
            </w:hyperlink>
          </w:p>
        </w:tc>
        <w:tc>
          <w:tcPr>
            <w:tcW w:w="5280" w:type="dxa"/>
            <w:vAlign w:val="bottom"/>
            <w:gridSpan w:val="12"/>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4.</w:t>
              </w:r>
            </w:hyperlink>
          </w:p>
        </w:tc>
        <w:tc>
          <w:tcPr>
            <w:tcW w:w="500" w:type="dxa"/>
            <w:vAlign w:val="bottom"/>
            <w:gridSpan w:val="2"/>
          </w:tcPr>
          <w:p>
            <w:pPr>
              <w:spacing w:after="0"/>
              <w:rPr>
                <w:sz w:val="18"/>
                <w:szCs w:val="18"/>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Mine Safety Disclosures</w:t>
              </w:r>
            </w:hyperlink>
          </w:p>
        </w:tc>
        <w:tc>
          <w:tcPr>
            <w:tcW w:w="5840" w:type="dxa"/>
            <w:vAlign w:val="bottom"/>
            <w:gridSpan w:val="14"/>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5.</w:t>
              </w:r>
            </w:hyperlink>
          </w:p>
        </w:tc>
        <w:tc>
          <w:tcPr>
            <w:tcW w:w="500" w:type="dxa"/>
            <w:vAlign w:val="bottom"/>
            <w:gridSpan w:val="2"/>
          </w:tcPr>
          <w:p>
            <w:pPr>
              <w:spacing w:after="0"/>
              <w:rPr>
                <w:sz w:val="18"/>
                <w:szCs w:val="18"/>
                <w:color w:val="auto"/>
              </w:rPr>
            </w:pPr>
          </w:p>
        </w:tc>
        <w:tc>
          <w:tcPr>
            <w:tcW w:w="7620" w:type="dxa"/>
            <w:vAlign w:val="bottom"/>
            <w:gridSpan w:val="2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6.</w:t>
              </w:r>
            </w:hyperlink>
          </w:p>
        </w:tc>
        <w:tc>
          <w:tcPr>
            <w:tcW w:w="500" w:type="dxa"/>
            <w:vAlign w:val="bottom"/>
            <w:gridSpan w:val="2"/>
          </w:tcPr>
          <w:p>
            <w:pPr>
              <w:spacing w:after="0"/>
              <w:rPr>
                <w:sz w:val="18"/>
                <w:szCs w:val="18"/>
                <w:color w:val="auto"/>
              </w:rPr>
            </w:pPr>
          </w:p>
        </w:tc>
        <w:tc>
          <w:tcPr>
            <w:tcW w:w="1340" w:type="dxa"/>
            <w:vAlign w:val="bottom"/>
            <w:tcBorders>
              <w:top w:val="single" w:sz="8" w:color="0000EE"/>
            </w:tcBorders>
            <w:gridSpan w:val="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6280" w:type="dxa"/>
            <w:vAlign w:val="bottom"/>
            <w:gridSpan w:val="16"/>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7020" w:type="dxa"/>
            <w:vAlign w:val="bottom"/>
            <w:gridSpan w:val="1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SIGNATURES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10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320" w:type="dxa"/>
            <w:vAlign w:val="bottom"/>
            <w:gridSpan w:val="2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EXHIBIT INDEX</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In this Quarterly Report on Form 10-Q, “we,” “our,” “us,” “Everspin Technologies,”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2"/>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31"/>
              <w:spacing w:after="0" w:line="142" w:lineRule="exact"/>
              <w:rPr>
                <w:sz w:val="20"/>
                <w:szCs w:val="20"/>
                <w:color w:val="auto"/>
              </w:rPr>
            </w:pPr>
            <w:r>
              <w:rPr>
                <w:rFonts w:ascii="Arial" w:cs="Arial" w:eastAsia="Arial" w:hAnsi="Arial"/>
                <w:sz w:val="14"/>
                <w:szCs w:val="14"/>
                <w:b w:val="1"/>
                <w:bCs w:val="1"/>
                <w:color w:val="auto"/>
                <w:w w:val="88"/>
              </w:rPr>
              <w:t>(See Note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24,492</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Amounts due from related parties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34,335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37,519</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Amounts due to related parties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rPr>
              <w:t>Deferred income on shipments to distributors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Preferred stock, $0.0001 par value per share; 5,000,000 shares authorized as of</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31, 2017 and December 31, 2016; no shares issued and outstanding as of</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31, 2017 and December 31, 2016</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Pr>
          <w:p>
            <w:pPr>
              <w:ind w:left="100"/>
              <w:spacing w:after="0" w:line="201" w:lineRule="exact"/>
              <w:rPr>
                <w:sz w:val="20"/>
                <w:szCs w:val="20"/>
                <w:color w:val="auto"/>
              </w:rPr>
            </w:pPr>
            <w:r>
              <w:rPr>
                <w:rFonts w:ascii="Arial" w:cs="Arial" w:eastAsia="Arial" w:hAnsi="Arial"/>
                <w:sz w:val="18"/>
                <w:szCs w:val="18"/>
                <w:color w:val="auto"/>
                <w:w w:val="98"/>
              </w:rPr>
              <w:t>Common stock, $0.0001 par value per share; 100,000,000 shares authorized as of</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w w:val="92"/>
              </w:rPr>
              <w:t>March 31, 2017 and December 31, 2016; 12,500,178 and 12,498,128 shares issued and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rPr>
              <w:t>outstanding as of March 31, 2017 and December 31, 2016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(102,525)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37,519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41,472</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2420" w:right="1120"/>
        <w:spacing w:after="0" w:line="261" w:lineRule="auto"/>
        <w:rPr>
          <w:sz w:val="20"/>
          <w:szCs w:val="20"/>
          <w:color w:val="auto"/>
        </w:rPr>
      </w:pPr>
      <w:r>
        <w:rPr>
          <w:rFonts w:ascii="Arial" w:cs="Arial" w:eastAsia="Arial" w:hAnsi="Arial"/>
          <w:sz w:val="18"/>
          <w:szCs w:val="18"/>
          <w:b w:val="1"/>
          <w:bCs w:val="1"/>
          <w:color w:val="auto"/>
        </w:rPr>
        <w:t>EVERSPIN TECHNOLOGIES, INC. Condensed Statements of Operations and Comprehensive Loss (In thousands, except share and per share amounts) (Unaudited)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7"/>
              </w:rPr>
              <w:t>Product sales (including related party sales of $572 and $734 for the three</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months ended March 31, 2017 and 2016,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760" w:type="dxa"/>
            <w:vAlign w:val="bottom"/>
          </w:tcPr>
          <w:p>
            <w:pPr>
              <w:spacing w:after="0" w:line="201" w:lineRule="exact"/>
              <w:rPr>
                <w:sz w:val="20"/>
                <w:szCs w:val="20"/>
                <w:color w:val="auto"/>
              </w:rPr>
            </w:pPr>
            <w:r>
              <w:rPr>
                <w:rFonts w:ascii="Arial" w:cs="Arial" w:eastAsia="Arial" w:hAnsi="Arial"/>
                <w:sz w:val="18"/>
                <w:szCs w:val="18"/>
                <w:color w:val="auto"/>
                <w:w w:val="96"/>
              </w:rPr>
              <w:t>Licensing and royalty revenue (including related party revenue of $569 and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zero for the three months ended March 31, 2017 and 2016, respectively)</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7,679</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760" w:type="dxa"/>
            <w:vAlign w:val="bottom"/>
          </w:tcPr>
          <w:p>
            <w:pPr>
              <w:spacing w:after="0" w:line="176" w:lineRule="exact"/>
              <w:rPr>
                <w:sz w:val="20"/>
                <w:szCs w:val="20"/>
                <w:color w:val="auto"/>
              </w:rPr>
            </w:pPr>
            <w:r>
              <w:rPr>
                <w:rFonts w:ascii="Arial" w:cs="Arial" w:eastAsia="Arial" w:hAnsi="Arial"/>
                <w:sz w:val="18"/>
                <w:szCs w:val="18"/>
                <w:color w:val="auto"/>
                <w:w w:val="87"/>
              </w:rPr>
              <w:t>Weighted-average shares used to compute net loss per common share, basic and</w:t>
            </w: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12,299,981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w w:val="89"/>
              </w:rPr>
              <w:t>2,553,765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76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ind w:left="6940"/>
        <w:spacing w:after="0"/>
        <w:rPr>
          <w:sz w:val="20"/>
          <w:szCs w:val="20"/>
          <w:color w:val="auto"/>
        </w:rPr>
      </w:pPr>
      <w:r>
        <w:rPr>
          <w:rFonts w:ascii="Arial" w:cs="Arial" w:eastAsia="Arial" w:hAnsi="Arial"/>
          <w:sz w:val="14"/>
          <w:szCs w:val="14"/>
          <w:b w:val="1"/>
          <w:bCs w:val="1"/>
          <w:color w:val="auto"/>
        </w:rPr>
        <w:t>Three Months Ended</w:t>
      </w:r>
    </w:p>
    <w:p>
      <w:pPr>
        <w:ind w:left="72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r>
      <w:tr>
        <w:trPr>
          <w:trHeight w:val="196"/>
        </w:trPr>
        <w:tc>
          <w:tcPr>
            <w:tcW w:w="6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Net loss</w:t>
            </w:r>
          </w:p>
        </w:tc>
        <w:tc>
          <w:tcPr>
            <w:tcW w:w="58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(6,086)</w:t>
            </w:r>
          </w:p>
        </w:tc>
        <w:tc>
          <w:tcPr>
            <w:tcW w:w="260" w:type="dxa"/>
            <w:vAlign w:val="bottom"/>
          </w:tcPr>
          <w:p>
            <w:pPr>
              <w:spacing w:after="0"/>
              <w:rPr>
                <w:sz w:val="17"/>
                <w:szCs w:val="17"/>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(4,540)</w:t>
            </w:r>
          </w:p>
        </w:tc>
        <w:tc>
          <w:tcPr>
            <w:tcW w:w="280" w:type="dxa"/>
            <w:vAlign w:val="bottom"/>
          </w:tcPr>
          <w:p>
            <w:pPr>
              <w:spacing w:after="0"/>
              <w:rPr>
                <w:sz w:val="17"/>
                <w:szCs w:val="17"/>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06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196</w:t>
            </w:r>
          </w:p>
        </w:tc>
        <w:tc>
          <w:tcPr>
            <w:tcW w:w="280" w:type="dxa"/>
            <w:vAlign w:val="bottom"/>
          </w:tcPr>
          <w:p>
            <w:pPr>
              <w:spacing w:after="0"/>
              <w:rPr>
                <w:sz w:val="17"/>
                <w:szCs w:val="17"/>
                <w:color w:val="auto"/>
              </w:rPr>
            </w:pP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on disposal of property and equipment</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80" w:type="dxa"/>
            <w:vAlign w:val="bottom"/>
            <w:shd w:val="clear" w:color="auto" w:fill="CCEEFF"/>
          </w:tcPr>
          <w:p>
            <w:pPr>
              <w:spacing w:after="0"/>
              <w:rPr>
                <w:sz w:val="17"/>
                <w:szCs w:val="17"/>
                <w:color w:val="auto"/>
              </w:rPr>
            </w:pPr>
          </w:p>
        </w:tc>
      </w:tr>
      <w:tr>
        <w:trPr>
          <w:trHeight w:val="203"/>
        </w:trPr>
        <w:tc>
          <w:tcPr>
            <w:tcW w:w="606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111</w:t>
            </w:r>
          </w:p>
        </w:tc>
        <w:tc>
          <w:tcPr>
            <w:tcW w:w="280" w:type="dxa"/>
            <w:vAlign w:val="bottom"/>
          </w:tcPr>
          <w:p>
            <w:pPr>
              <w:spacing w:after="0"/>
              <w:rPr>
                <w:sz w:val="17"/>
                <w:szCs w:val="17"/>
                <w:color w:val="auto"/>
              </w:rPr>
            </w:pP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fair value of redeemable convertible preferred stock warrant liability</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80" w:type="dxa"/>
            <w:vAlign w:val="bottom"/>
            <w:shd w:val="clear" w:color="auto" w:fill="CCEEFF"/>
          </w:tcPr>
          <w:p>
            <w:pPr>
              <w:spacing w:after="0"/>
              <w:rPr>
                <w:sz w:val="17"/>
                <w:szCs w:val="17"/>
                <w:color w:val="auto"/>
              </w:rPr>
            </w:pPr>
          </w:p>
        </w:tc>
      </w:tr>
      <w:tr>
        <w:trPr>
          <w:trHeight w:val="203"/>
        </w:trPr>
        <w:tc>
          <w:tcPr>
            <w:tcW w:w="6060" w:type="dxa"/>
            <w:vAlign w:val="bottom"/>
          </w:tcPr>
          <w:p>
            <w:pPr>
              <w:ind w:left="120"/>
              <w:spacing w:after="0"/>
              <w:rPr>
                <w:sz w:val="20"/>
                <w:szCs w:val="20"/>
                <w:color w:val="auto"/>
              </w:rPr>
            </w:pPr>
            <w:r>
              <w:rPr>
                <w:rFonts w:ascii="Arial" w:cs="Arial" w:eastAsia="Arial" w:hAnsi="Arial"/>
                <w:sz w:val="16"/>
                <w:szCs w:val="16"/>
                <w:color w:val="auto"/>
              </w:rPr>
              <w:t>Change in fair value of derivative liability</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7"/>
                <w:szCs w:val="17"/>
                <w:color w:val="auto"/>
              </w:rPr>
            </w:pP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interest expense</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280" w:type="dxa"/>
            <w:vAlign w:val="bottom"/>
            <w:shd w:val="clear" w:color="auto" w:fill="CCEEFF"/>
          </w:tcPr>
          <w:p>
            <w:pPr>
              <w:spacing w:after="0"/>
              <w:rPr>
                <w:sz w:val="17"/>
                <w:szCs w:val="17"/>
                <w:color w:val="auto"/>
              </w:rPr>
            </w:pPr>
          </w:p>
        </w:tc>
      </w:tr>
      <w:tr>
        <w:trPr>
          <w:trHeight w:val="203"/>
        </w:trPr>
        <w:tc>
          <w:tcPr>
            <w:tcW w:w="6060" w:type="dxa"/>
            <w:vAlign w:val="bottom"/>
          </w:tcPr>
          <w:p>
            <w:pPr>
              <w:ind w:left="120"/>
              <w:spacing w:after="0"/>
              <w:rPr>
                <w:sz w:val="20"/>
                <w:szCs w:val="20"/>
                <w:color w:val="auto"/>
              </w:rPr>
            </w:pPr>
            <w:r>
              <w:rPr>
                <w:rFonts w:ascii="Arial" w:cs="Arial" w:eastAsia="Arial" w:hAnsi="Arial"/>
                <w:sz w:val="16"/>
                <w:szCs w:val="16"/>
                <w:color w:val="auto"/>
                <w:w w:val="98"/>
              </w:rPr>
              <w:t>Compensation expense related to vesting of common stock to GLOBALFOUNDRIES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520</w:t>
            </w:r>
          </w:p>
        </w:tc>
        <w:tc>
          <w:tcPr>
            <w:tcW w:w="280" w:type="dxa"/>
            <w:vAlign w:val="bottom"/>
          </w:tcPr>
          <w:p>
            <w:pPr>
              <w:spacing w:after="0"/>
              <w:rPr>
                <w:sz w:val="17"/>
                <w:szCs w:val="17"/>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060" w:type="dxa"/>
            <w:vAlign w:val="bottom"/>
          </w:tcPr>
          <w:p>
            <w:pPr>
              <w:ind w:left="12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392</w:t>
            </w:r>
          </w:p>
        </w:tc>
        <w:tc>
          <w:tcPr>
            <w:tcW w:w="280" w:type="dxa"/>
            <w:vAlign w:val="bottom"/>
          </w:tcPr>
          <w:p>
            <w:pPr>
              <w:spacing w:after="0"/>
              <w:rPr>
                <w:sz w:val="17"/>
                <w:szCs w:val="17"/>
                <w:color w:val="auto"/>
              </w:rPr>
            </w:pP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Amounts due from related parties</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280" w:type="dxa"/>
            <w:vAlign w:val="bottom"/>
            <w:shd w:val="clear" w:color="auto" w:fill="CCEEFF"/>
          </w:tcPr>
          <w:p>
            <w:pPr>
              <w:spacing w:after="0"/>
              <w:rPr>
                <w:sz w:val="17"/>
                <w:szCs w:val="17"/>
                <w:color w:val="auto"/>
              </w:rPr>
            </w:pPr>
          </w:p>
        </w:tc>
      </w:tr>
      <w:tr>
        <w:trPr>
          <w:trHeight w:val="203"/>
        </w:trPr>
        <w:tc>
          <w:tcPr>
            <w:tcW w:w="6060" w:type="dxa"/>
            <w:vAlign w:val="bottom"/>
          </w:tcPr>
          <w:p>
            <w:pPr>
              <w:ind w:left="120"/>
              <w:spacing w:after="0"/>
              <w:rPr>
                <w:sz w:val="20"/>
                <w:szCs w:val="20"/>
                <w:color w:val="auto"/>
              </w:rPr>
            </w:pPr>
            <w:r>
              <w:rPr>
                <w:rFonts w:ascii="Arial" w:cs="Arial" w:eastAsia="Arial" w:hAnsi="Arial"/>
                <w:sz w:val="16"/>
                <w:szCs w:val="16"/>
                <w:color w:val="auto"/>
              </w:rPr>
              <w:t>Inventory</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w:t>
            </w:r>
          </w:p>
        </w:tc>
        <w:tc>
          <w:tcPr>
            <w:tcW w:w="280" w:type="dxa"/>
            <w:vAlign w:val="bottom"/>
          </w:tcPr>
          <w:p>
            <w:pPr>
              <w:spacing w:after="0"/>
              <w:rPr>
                <w:sz w:val="17"/>
                <w:szCs w:val="17"/>
                <w:color w:val="auto"/>
              </w:rPr>
            </w:pP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280" w:type="dxa"/>
            <w:vAlign w:val="bottom"/>
            <w:shd w:val="clear" w:color="auto" w:fill="CCEEFF"/>
          </w:tcPr>
          <w:p>
            <w:pPr>
              <w:spacing w:after="0"/>
              <w:rPr>
                <w:sz w:val="17"/>
                <w:szCs w:val="17"/>
                <w:color w:val="auto"/>
              </w:rPr>
            </w:pPr>
          </w:p>
        </w:tc>
      </w:tr>
      <w:tr>
        <w:trPr>
          <w:trHeight w:val="203"/>
        </w:trPr>
        <w:tc>
          <w:tcPr>
            <w:tcW w:w="6060" w:type="dxa"/>
            <w:vAlign w:val="bottom"/>
          </w:tcPr>
          <w:p>
            <w:pPr>
              <w:ind w:left="12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7"/>
                <w:szCs w:val="17"/>
                <w:color w:val="auto"/>
              </w:rPr>
            </w:pP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280" w:type="dxa"/>
            <w:vAlign w:val="bottom"/>
            <w:shd w:val="clear" w:color="auto" w:fill="CCEEFF"/>
          </w:tcPr>
          <w:p>
            <w:pPr>
              <w:spacing w:after="0"/>
              <w:rPr>
                <w:sz w:val="17"/>
                <w:szCs w:val="17"/>
                <w:color w:val="auto"/>
              </w:rPr>
            </w:pPr>
          </w:p>
        </w:tc>
      </w:tr>
      <w:tr>
        <w:trPr>
          <w:trHeight w:val="203"/>
        </w:trPr>
        <w:tc>
          <w:tcPr>
            <w:tcW w:w="606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959</w:t>
            </w:r>
          </w:p>
        </w:tc>
        <w:tc>
          <w:tcPr>
            <w:tcW w:w="280" w:type="dxa"/>
            <w:vAlign w:val="bottom"/>
          </w:tcPr>
          <w:p>
            <w:pPr>
              <w:spacing w:after="0"/>
              <w:rPr>
                <w:sz w:val="17"/>
                <w:szCs w:val="17"/>
                <w:color w:val="auto"/>
              </w:rPr>
            </w:pP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Amounts due to related parties</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280" w:type="dxa"/>
            <w:vAlign w:val="bottom"/>
            <w:shd w:val="clear" w:color="auto" w:fill="CCEEFF"/>
          </w:tcPr>
          <w:p>
            <w:pPr>
              <w:spacing w:after="0"/>
              <w:rPr>
                <w:sz w:val="17"/>
                <w:szCs w:val="17"/>
                <w:color w:val="auto"/>
              </w:rPr>
            </w:pPr>
          </w:p>
        </w:tc>
      </w:tr>
      <w:tr>
        <w:trPr>
          <w:trHeight w:val="203"/>
        </w:trPr>
        <w:tc>
          <w:tcPr>
            <w:tcW w:w="6060" w:type="dxa"/>
            <w:vAlign w:val="bottom"/>
          </w:tcPr>
          <w:p>
            <w:pPr>
              <w:ind w:left="120"/>
              <w:spacing w:after="0"/>
              <w:rPr>
                <w:sz w:val="20"/>
                <w:szCs w:val="20"/>
                <w:color w:val="auto"/>
              </w:rPr>
            </w:pPr>
            <w:r>
              <w:rPr>
                <w:rFonts w:ascii="Arial" w:cs="Arial" w:eastAsia="Arial" w:hAnsi="Arial"/>
                <w:sz w:val="16"/>
                <w:szCs w:val="16"/>
                <w:color w:val="auto"/>
              </w:rPr>
              <w:t>Deferred income on shipments to distributors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(357)</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160</w:t>
            </w:r>
          </w:p>
        </w:tc>
        <w:tc>
          <w:tcPr>
            <w:tcW w:w="280" w:type="dxa"/>
            <w:vAlign w:val="bottom"/>
          </w:tcPr>
          <w:p>
            <w:pPr>
              <w:spacing w:after="0"/>
              <w:rPr>
                <w:sz w:val="17"/>
                <w:szCs w:val="17"/>
                <w:color w:val="auto"/>
              </w:rPr>
            </w:pP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revenue</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280" w:type="dxa"/>
            <w:vAlign w:val="bottom"/>
            <w:shd w:val="clear" w:color="auto" w:fill="CCEEFF"/>
          </w:tcPr>
          <w:p>
            <w:pPr>
              <w:spacing w:after="0"/>
              <w:rPr>
                <w:sz w:val="17"/>
                <w:szCs w:val="17"/>
                <w:color w:val="auto"/>
              </w:rPr>
            </w:pPr>
          </w:p>
        </w:tc>
      </w:tr>
      <w:tr>
        <w:trPr>
          <w:trHeight w:val="196"/>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(4,040)</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(2,640)</w:t>
            </w:r>
          </w:p>
        </w:tc>
        <w:tc>
          <w:tcPr>
            <w:tcW w:w="280" w:type="dxa"/>
            <w:vAlign w:val="bottom"/>
            <w:tcBorders>
              <w:bottom w:val="single" w:sz="8" w:color="CCEEFF"/>
            </w:tcBorders>
          </w:tcPr>
          <w:p>
            <w:pPr>
              <w:spacing w:after="0"/>
              <w:rPr>
                <w:sz w:val="17"/>
                <w:szCs w:val="17"/>
                <w:color w:val="auto"/>
              </w:rPr>
            </w:pPr>
          </w:p>
        </w:tc>
      </w:tr>
      <w:tr>
        <w:trPr>
          <w:trHeight w:val="196"/>
        </w:trPr>
        <w:tc>
          <w:tcPr>
            <w:tcW w:w="6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280" w:type="dxa"/>
            <w:vAlign w:val="bottom"/>
            <w:tcBorders>
              <w:bottom w:val="single" w:sz="8" w:color="CCEEFF"/>
            </w:tcBorders>
          </w:tcPr>
          <w:p>
            <w:pPr>
              <w:spacing w:after="0"/>
              <w:rPr>
                <w:sz w:val="17"/>
                <w:szCs w:val="17"/>
                <w:color w:val="auto"/>
              </w:rPr>
            </w:pPr>
          </w:p>
        </w:tc>
      </w:tr>
      <w:tr>
        <w:trPr>
          <w:trHeight w:val="196"/>
        </w:trPr>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80" w:type="dxa"/>
            <w:vAlign w:val="bottom"/>
            <w:shd w:val="clear" w:color="auto" w:fill="CCEEFF"/>
          </w:tcPr>
          <w:p>
            <w:pPr>
              <w:spacing w:after="0"/>
              <w:rPr>
                <w:sz w:val="17"/>
                <w:szCs w:val="17"/>
                <w:color w:val="auto"/>
              </w:rPr>
            </w:pPr>
          </w:p>
        </w:tc>
      </w:tr>
      <w:tr>
        <w:trPr>
          <w:trHeight w:val="190"/>
        </w:trPr>
        <w:tc>
          <w:tcPr>
            <w:tcW w:w="606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8"/>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Proceeds from convertible promissory notes-related party</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280" w:type="dxa"/>
            <w:vAlign w:val="bottom"/>
            <w:shd w:val="clear" w:color="auto" w:fill="CCEEFF"/>
          </w:tcPr>
          <w:p>
            <w:pPr>
              <w:spacing w:after="0"/>
              <w:rPr>
                <w:sz w:val="18"/>
                <w:szCs w:val="18"/>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Proceeds from debt</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1,500</w:t>
            </w:r>
          </w:p>
        </w:tc>
        <w:tc>
          <w:tcPr>
            <w:tcW w:w="280" w:type="dxa"/>
            <w:vAlign w:val="bottom"/>
          </w:tcPr>
          <w:p>
            <w:pPr>
              <w:spacing w:after="0"/>
              <w:rPr>
                <w:sz w:val="17"/>
                <w:szCs w:val="17"/>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Payments on debt</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Payments of debt issuance costs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7"/>
                <w:szCs w:val="17"/>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Payments on capital lease obligation</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80" w:type="dxa"/>
            <w:vAlign w:val="bottom"/>
            <w:shd w:val="clear" w:color="auto" w:fill="CCEEFF"/>
          </w:tcPr>
          <w:p>
            <w:pPr>
              <w:spacing w:after="0"/>
              <w:rPr>
                <w:sz w:val="17"/>
                <w:szCs w:val="17"/>
                <w:color w:val="auto"/>
              </w:rPr>
            </w:pPr>
          </w:p>
        </w:tc>
      </w:tr>
      <w:tr>
        <w:trPr>
          <w:trHeight w:val="203"/>
        </w:trPr>
        <w:tc>
          <w:tcPr>
            <w:tcW w:w="6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80" w:type="dxa"/>
            <w:vAlign w:val="bottom"/>
            <w:tcBorders>
              <w:bottom w:val="single" w:sz="8" w:color="CCEEFF"/>
            </w:tcBorders>
          </w:tcPr>
          <w:p>
            <w:pPr>
              <w:spacing w:after="0"/>
              <w:rPr>
                <w:sz w:val="17"/>
                <w:szCs w:val="17"/>
                <w:color w:val="auto"/>
              </w:rPr>
            </w:pPr>
          </w:p>
        </w:tc>
      </w:tr>
      <w:tr>
        <w:trPr>
          <w:trHeight w:val="196"/>
        </w:trPr>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cash (used in) provided by financing activities</w:t>
            </w:r>
          </w:p>
        </w:tc>
        <w:tc>
          <w:tcPr>
            <w:tcW w:w="3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6,439</w:t>
            </w:r>
          </w:p>
        </w:tc>
        <w:tc>
          <w:tcPr>
            <w:tcW w:w="280" w:type="dxa"/>
            <w:vAlign w:val="bottom"/>
            <w:shd w:val="clear" w:color="auto" w:fill="CCEEFF"/>
          </w:tcPr>
          <w:p>
            <w:pPr>
              <w:spacing w:after="0"/>
              <w:rPr>
                <w:sz w:val="17"/>
                <w:szCs w:val="17"/>
                <w:color w:val="auto"/>
              </w:rPr>
            </w:pPr>
          </w:p>
        </w:tc>
      </w:tr>
      <w:tr>
        <w:trPr>
          <w:trHeight w:val="196"/>
        </w:trPr>
        <w:tc>
          <w:tcPr>
            <w:tcW w:w="6060" w:type="dxa"/>
            <w:vAlign w:val="bottom"/>
          </w:tcPr>
          <w:p>
            <w:pPr>
              <w:spacing w:after="0"/>
              <w:rPr>
                <w:sz w:val="20"/>
                <w:szCs w:val="20"/>
                <w:color w:val="auto"/>
              </w:rPr>
            </w:pPr>
            <w:r>
              <w:rPr>
                <w:rFonts w:ascii="Arial" w:cs="Arial" w:eastAsia="Arial" w:hAnsi="Arial"/>
                <w:sz w:val="16"/>
                <w:szCs w:val="16"/>
                <w:color w:val="auto"/>
              </w:rPr>
              <w:t>Net (decrease) increase in cash and cash equivalents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(5,235)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3,732</w:t>
            </w:r>
          </w:p>
        </w:tc>
        <w:tc>
          <w:tcPr>
            <w:tcW w:w="280" w:type="dxa"/>
            <w:vAlign w:val="bottom"/>
          </w:tcPr>
          <w:p>
            <w:pPr>
              <w:spacing w:after="0"/>
              <w:rPr>
                <w:sz w:val="17"/>
                <w:szCs w:val="17"/>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3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29,727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2,307</w:t>
            </w:r>
          </w:p>
        </w:tc>
        <w:tc>
          <w:tcPr>
            <w:tcW w:w="280" w:type="dxa"/>
            <w:vAlign w:val="bottom"/>
            <w:shd w:val="clear" w:color="auto" w:fill="CCEEFF"/>
          </w:tcPr>
          <w:p>
            <w:pPr>
              <w:spacing w:after="0"/>
              <w:rPr>
                <w:sz w:val="17"/>
                <w:szCs w:val="17"/>
                <w:color w:val="auto"/>
              </w:rPr>
            </w:pPr>
          </w:p>
        </w:tc>
      </w:tr>
      <w:tr>
        <w:trPr>
          <w:trHeight w:val="203"/>
        </w:trPr>
        <w:tc>
          <w:tcPr>
            <w:tcW w:w="6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24,492</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6,039</w:t>
            </w:r>
          </w:p>
        </w:tc>
        <w:tc>
          <w:tcPr>
            <w:tcW w:w="280" w:type="dxa"/>
            <w:vAlign w:val="bottom"/>
            <w:tcBorders>
              <w:bottom w:val="single" w:sz="8" w:color="CCEEFF"/>
            </w:tcBorders>
          </w:tcPr>
          <w:p>
            <w:pPr>
              <w:spacing w:after="0"/>
              <w:rPr>
                <w:sz w:val="17"/>
                <w:szCs w:val="17"/>
                <w:color w:val="auto"/>
              </w:rPr>
            </w:pPr>
          </w:p>
        </w:tc>
      </w:tr>
      <w:tr>
        <w:trPr>
          <w:trHeight w:val="203"/>
        </w:trPr>
        <w:tc>
          <w:tcPr>
            <w:tcW w:w="6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Supplementary cash flow information:</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6"/>
                <w:szCs w:val="16"/>
                <w:color w:val="auto"/>
              </w:rPr>
              <w:t>Interest paid</w:t>
            </w:r>
          </w:p>
        </w:tc>
        <w:tc>
          <w:tcPr>
            <w:tcW w:w="58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171</w:t>
            </w:r>
          </w:p>
        </w:tc>
        <w:tc>
          <w:tcPr>
            <w:tcW w:w="260" w:type="dxa"/>
            <w:vAlign w:val="bottom"/>
          </w:tcPr>
          <w:p>
            <w:pPr>
              <w:spacing w:after="0"/>
              <w:rPr>
                <w:sz w:val="18"/>
                <w:szCs w:val="18"/>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w:t>
            </w:r>
          </w:p>
        </w:tc>
        <w:tc>
          <w:tcPr>
            <w:tcW w:w="280" w:type="dxa"/>
            <w:vAlign w:val="bottom"/>
          </w:tcPr>
          <w:p>
            <w:pPr>
              <w:spacing w:after="0"/>
              <w:rPr>
                <w:sz w:val="18"/>
                <w:szCs w:val="18"/>
                <w:color w:val="auto"/>
              </w:rPr>
            </w:pPr>
          </w:p>
        </w:tc>
      </w:tr>
      <w:tr>
        <w:trPr>
          <w:trHeight w:val="203"/>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6"/>
                <w:szCs w:val="16"/>
                <w:color w:val="auto"/>
              </w:rPr>
              <w:t>Purchase of property and equipment in accounts payable</w:t>
            </w:r>
          </w:p>
        </w:tc>
        <w:tc>
          <w:tcPr>
            <w:tcW w:w="340" w:type="dxa"/>
            <w:vAlign w:val="bottom"/>
          </w:tcPr>
          <w:p>
            <w:pPr>
              <w:spacing w:after="0"/>
              <w:rPr>
                <w:sz w:val="18"/>
                <w:szCs w:val="18"/>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w:t>
            </w:r>
          </w:p>
        </w:tc>
        <w:tc>
          <w:tcPr>
            <w:tcW w:w="26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Everspin Technologies, Inc. (the “Company”) was incorporated in Delaware on May 16, 2008. The Company’s MRAM solutions offer the persistence of non-volatile memory with the speed and endurance of random access memory (“RAM”) and enable the protection of mission critical data particularly in the event of power interruption or failure. The Company’s MRAM solutions allow its customers in the industrial, automotive and transportation, and enterprise storage markets to design high performance, power efficient and reliable systems without the need for bulky batteries or capacitors.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continue as a going concern</w:t>
      </w:r>
    </w:p>
    <w:p>
      <w:pPr>
        <w:spacing w:after="0" w:line="225" w:lineRule="exact"/>
        <w:rPr>
          <w:sz w:val="20"/>
          <w:szCs w:val="20"/>
          <w:color w:val="auto"/>
        </w:rPr>
      </w:pPr>
    </w:p>
    <w:p>
      <w:pPr>
        <w:ind w:firstLine="401"/>
        <w:spacing w:after="0" w:line="270" w:lineRule="auto"/>
        <w:rPr>
          <w:sz w:val="20"/>
          <w:szCs w:val="20"/>
          <w:color w:val="auto"/>
        </w:rPr>
      </w:pPr>
      <w:r>
        <w:rPr>
          <w:rFonts w:ascii="Arial" w:cs="Arial" w:eastAsia="Arial" w:hAnsi="Arial"/>
          <w:sz w:val="17"/>
          <w:szCs w:val="17"/>
          <w:color w:val="auto"/>
        </w:rPr>
        <w:t>The Company believes that its existing cash and cash equivalents as of March 31, 2017, together with the additional borrowings available under its credit facility, will be sufficient to meet its anticipated cash requirements through May 31, 2018. The Company’s ability to access the revolving loan under its credit facility depends upon levels of its accounts receivable and, therefore, the full amount may not be available at any specific time. The Company’s future capital requirements beyond May 2018 will depend on many factors, including its growth rate, the timing and extent of its spending to support research and development activities, the timing and cost of establishing additional sales and marketing capabilities, and the introduction of new products. The Company may be required to seek additional equity or debt financing, and such additional financing may not be available on acceptable terms or at all. If the Company is unable to raise additional capital or generate sufficient cash from operations to adequately fund its operations, it will need to curtail planned activities to reduce costs. Doing so will likely harm its ability to execute on its business plan.</w:t>
      </w:r>
    </w:p>
    <w:p>
      <w:pPr>
        <w:spacing w:after="0" w:line="178" w:lineRule="exact"/>
        <w:rPr>
          <w:sz w:val="20"/>
          <w:szCs w:val="20"/>
          <w:color w:val="auto"/>
        </w:rPr>
      </w:pPr>
    </w:p>
    <w:p>
      <w:pPr>
        <w:ind w:right="160" w:firstLine="401"/>
        <w:spacing w:after="0" w:line="297" w:lineRule="auto"/>
        <w:rPr>
          <w:sz w:val="20"/>
          <w:szCs w:val="20"/>
          <w:color w:val="auto"/>
        </w:rPr>
      </w:pPr>
      <w:r>
        <w:rPr>
          <w:rFonts w:ascii="Arial" w:cs="Arial" w:eastAsia="Arial" w:hAnsi="Arial"/>
          <w:sz w:val="16"/>
          <w:szCs w:val="16"/>
          <w:color w:val="auto"/>
        </w:rPr>
        <w:t>If the Company raises additional funds through issuances of equity, convertible debt securities or other securities convertible into equity, its existing stockholders could suffer significant dilution in their percentage ownership of the Company, and any new equity securities issued could have rights, preferences and privileges senior to those of holders of common stock. If the Company is unable to obtain adequate financing or financing on satisfactory terms, when required, its ability to continue to grow or support its business and to respond to business challenges could be significantly limited.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2016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months ended March 31, 2017 are not necessarily indicative of the results to be expected for the year ending December 31, 2017 or for any other interim period or for any other future year.</w:t>
      </w:r>
    </w:p>
    <w:p>
      <w:pPr>
        <w:spacing w:after="0" w:line="18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accompanying condensed financial statements and related financial information should be read in conjunction with the audited financial statements and the related notes thereto for the year ended December 31, 2016, included in the Company’s Annual Report on Form 10-K filed with the SEC.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inventory, income taxes, common stock, and stock-based compensation. Actual results could differ from those estimates and assumptions.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spacing w:after="0" w:line="154"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Significant customers are those which represent more than 10% of the Company’s total revenue or gross accounts receivable balance at each respective balance sheet date. For the purposes of this disclosure, the Company defines “customer” as the entity that is purchasing the products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ind w:left="900"/>
              <w:spacing w:after="0"/>
              <w:rPr>
                <w:sz w:val="20"/>
                <w:szCs w:val="20"/>
                <w:color w:val="auto"/>
              </w:rPr>
            </w:pPr>
            <w:r>
              <w:rPr>
                <w:rFonts w:ascii="Arial" w:cs="Arial" w:eastAsia="Arial" w:hAnsi="Arial"/>
                <w:sz w:val="14"/>
                <w:szCs w:val="14"/>
                <w:b w:val="1"/>
                <w:bCs w:val="1"/>
                <w:color w:val="auto"/>
                <w:w w:val="92"/>
              </w:rPr>
              <w:t>Revenue</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gridSpan w:val="4"/>
          </w:tcPr>
          <w:p>
            <w:pPr>
              <w:jc w:val="right"/>
              <w:ind w:right="750"/>
              <w:spacing w:after="0"/>
              <w:rPr>
                <w:sz w:val="20"/>
                <w:szCs w:val="20"/>
                <w:color w:val="auto"/>
              </w:rPr>
            </w:pPr>
            <w:r>
              <w:rPr>
                <w:rFonts w:ascii="Arial" w:cs="Arial" w:eastAsia="Arial" w:hAnsi="Arial"/>
                <w:sz w:val="14"/>
                <w:szCs w:val="14"/>
                <w:b w:val="1"/>
                <w:bCs w:val="1"/>
                <w:color w:val="auto"/>
              </w:rPr>
              <w:t>Accounts Receivable, net</w:t>
            </w:r>
          </w:p>
        </w:tc>
      </w:tr>
      <w:tr>
        <w:trPr>
          <w:trHeight w:val="142"/>
        </w:trPr>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tcBorders>
              <w:top w:val="single" w:sz="8" w:color="auto"/>
            </w:tcBorders>
            <w:gridSpan w:val="5"/>
          </w:tcPr>
          <w:p>
            <w:pPr>
              <w:jc w:val="right"/>
              <w:ind w:right="230"/>
              <w:spacing w:after="0" w:line="142" w:lineRule="exact"/>
              <w:rPr>
                <w:sz w:val="20"/>
                <w:szCs w:val="20"/>
                <w:color w:val="auto"/>
              </w:rPr>
            </w:pPr>
            <w:r>
              <w:rPr>
                <w:rFonts w:ascii="Arial" w:cs="Arial" w:eastAsia="Arial" w:hAnsi="Arial"/>
                <w:sz w:val="14"/>
                <w:szCs w:val="14"/>
                <w:b w:val="1"/>
                <w:bCs w:val="1"/>
                <w:color w:val="auto"/>
                <w:w w:val="95"/>
              </w:rPr>
              <w:t>Three Months Ended March 31,</w:t>
            </w:r>
          </w:p>
        </w:tc>
        <w:tc>
          <w:tcPr>
            <w:tcW w:w="130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w w:val="94"/>
              </w:rPr>
              <w:t>As of March 31,</w:t>
            </w:r>
          </w:p>
        </w:tc>
        <w:tc>
          <w:tcPr>
            <w:tcW w:w="1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As of December 31,</w:t>
            </w:r>
          </w:p>
        </w:tc>
        <w:tc>
          <w:tcPr>
            <w:tcW w:w="320" w:type="dxa"/>
            <w:vAlign w:val="bottom"/>
          </w:tcPr>
          <w:p>
            <w:pPr>
              <w:spacing w:after="0"/>
              <w:rPr>
                <w:sz w:val="12"/>
                <w:szCs w:val="12"/>
                <w:color w:val="auto"/>
              </w:rPr>
            </w:pPr>
          </w:p>
        </w:tc>
      </w:tr>
      <w:tr>
        <w:trPr>
          <w:trHeight w:val="142"/>
        </w:trPr>
        <w:tc>
          <w:tcPr>
            <w:tcW w:w="3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Customers</w:t>
            </w:r>
          </w:p>
        </w:tc>
        <w:tc>
          <w:tcPr>
            <w:tcW w:w="900" w:type="dxa"/>
            <w:vAlign w:val="bottom"/>
            <w:tcBorders>
              <w:top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Pr>
          <w:p>
            <w:pPr>
              <w:spacing w:after="0"/>
              <w:rPr>
                <w:sz w:val="12"/>
                <w:szCs w:val="12"/>
                <w:color w:val="auto"/>
              </w:rPr>
            </w:pPr>
          </w:p>
        </w:tc>
        <w:tc>
          <w:tcPr>
            <w:tcW w:w="1040" w:type="dxa"/>
            <w:vAlign w:val="bottom"/>
          </w:tcPr>
          <w:p>
            <w:pPr>
              <w:jc w:val="right"/>
              <w:ind w:right="298"/>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1260" w:type="dxa"/>
            <w:vAlign w:val="bottom"/>
          </w:tcPr>
          <w:p>
            <w:pPr>
              <w:jc w:val="right"/>
              <w:ind w:right="396"/>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r>
      <w:tr>
        <w:trPr>
          <w:trHeight w:val="210"/>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12 %</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16 %</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13 %</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13 %</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18 %</w:t>
            </w:r>
          </w:p>
        </w:tc>
        <w:tc>
          <w:tcPr>
            <w:tcW w:w="15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10 %</w:t>
            </w: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10 %</w:t>
            </w:r>
          </w:p>
        </w:tc>
        <w:tc>
          <w:tcPr>
            <w:tcW w:w="280" w:type="dxa"/>
            <w:vAlign w:val="bottom"/>
          </w:tcPr>
          <w:p>
            <w:pPr>
              <w:spacing w:after="0"/>
              <w:rPr>
                <w:sz w:val="20"/>
                <w:szCs w:val="20"/>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18 %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ind w:left="300" w:hanging="297"/>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—Inputs are unadjusted quoted prices in active markets for identical assets or liabilities at the measurement date.</w:t>
      </w:r>
    </w:p>
    <w:p>
      <w:pPr>
        <w:spacing w:after="0" w:line="248" w:lineRule="exact"/>
        <w:rPr>
          <w:sz w:val="20"/>
          <w:szCs w:val="20"/>
          <w:color w:val="auto"/>
        </w:rPr>
      </w:pPr>
    </w:p>
    <w:p>
      <w:pPr>
        <w:ind w:left="320" w:right="120"/>
        <w:spacing w:after="0" w:line="264" w:lineRule="auto"/>
        <w:rPr>
          <w:sz w:val="20"/>
          <w:szCs w:val="20"/>
          <w:color w:val="auto"/>
        </w:rPr>
      </w:pPr>
      <w:r>
        <w:rPr>
          <w:rFonts w:ascii="Arial" w:cs="Arial" w:eastAsia="Arial" w:hAnsi="Arial"/>
          <w:sz w:val="18"/>
          <w:szCs w:val="18"/>
          <w:color w:val="auto"/>
        </w:rPr>
        <w:t>Level 2—Inputs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181" w:lineRule="exact"/>
        <w:rPr>
          <w:sz w:val="20"/>
          <w:szCs w:val="20"/>
          <w:color w:val="auto"/>
        </w:rPr>
      </w:pPr>
    </w:p>
    <w:p>
      <w:pPr>
        <w:ind w:left="320" w:right="520"/>
        <w:spacing w:after="0" w:line="264" w:lineRule="auto"/>
        <w:rPr>
          <w:sz w:val="20"/>
          <w:szCs w:val="20"/>
          <w:color w:val="auto"/>
        </w:rPr>
      </w:pPr>
      <w:r>
        <w:rPr>
          <w:rFonts w:ascii="Arial" w:cs="Arial" w:eastAsia="Arial" w:hAnsi="Arial"/>
          <w:sz w:val="18"/>
          <w:szCs w:val="18"/>
          <w:color w:val="auto"/>
        </w:rPr>
        <w:t>Level 3—Inputs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81" w:lineRule="exact"/>
        <w:rPr>
          <w:sz w:val="20"/>
          <w:szCs w:val="20"/>
          <w:color w:val="auto"/>
        </w:rPr>
      </w:pPr>
    </w:p>
    <w:p>
      <w:pPr>
        <w:ind w:left="320" w:right="660"/>
        <w:spacing w:after="0" w:line="342" w:lineRule="auto"/>
        <w:rPr>
          <w:sz w:val="20"/>
          <w:szCs w:val="20"/>
          <w:color w:val="auto"/>
        </w:rPr>
      </w:pPr>
      <w:r>
        <w:rPr>
          <w:rFonts w:ascii="Arial" w:cs="Arial" w:eastAsia="Arial" w:hAnsi="Arial"/>
          <w:sz w:val="16"/>
          <w:szCs w:val="16"/>
          <w:color w:val="auto"/>
        </w:rPr>
        <w:t>The carrying value of accounts receivable, accounts payable, and other accruals readily convertible into cash approximate fair value because of the short-term nature of the instruments. The carrying value of the Company’s</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right="40"/>
        <w:spacing w:after="0" w:line="312" w:lineRule="auto"/>
        <w:rPr>
          <w:sz w:val="20"/>
          <w:szCs w:val="20"/>
          <w:color w:val="auto"/>
        </w:rPr>
      </w:pPr>
      <w:r>
        <w:rPr>
          <w:rFonts w:ascii="Arial" w:cs="Arial" w:eastAsia="Arial" w:hAnsi="Arial"/>
          <w:sz w:val="16"/>
          <w:szCs w:val="16"/>
          <w:color w:val="auto"/>
        </w:rPr>
        <w:t>variable interest rate debt, excluding unamortized debt issuance costs, approximates fair value. The Company’s financial instruments consist of Level 1 assets. Where quoted prices are available in an active market, securities are classified as Level 1. Level 1 assets consist primarily of highly liquid money market funds that are included in cash equivalents.</w:t>
      </w:r>
    </w:p>
    <w:p>
      <w:pPr>
        <w:spacing w:after="0" w:line="14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measured at fair value on a recurring basis based on the three-tier fair value hierarchy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March 31, 2017</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42"/>
        </w:trPr>
        <w:tc>
          <w:tcPr>
            <w:tcW w:w="33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Money market funds</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24,617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24,617</w:t>
            </w:r>
          </w:p>
        </w:tc>
      </w:tr>
      <w:tr>
        <w:trPr>
          <w:trHeight w:val="217"/>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24,617</w:t>
            </w:r>
          </w:p>
        </w:tc>
      </w:tr>
      <w:tr>
        <w:trPr>
          <w:trHeight w:val="378"/>
        </w:trPr>
        <w:tc>
          <w:tcPr>
            <w:tcW w:w="3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42"/>
        </w:trPr>
        <w:tc>
          <w:tcPr>
            <w:tcW w:w="33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Money market funds</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29,869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29,869</w:t>
            </w:r>
          </w:p>
        </w:tc>
      </w:tr>
      <w:tr>
        <w:trPr>
          <w:trHeight w:val="217"/>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29,869</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 recognizes revenue when the following criteria are met: persuasive evidence of an arrangement exists; the price is fixed or determinable; delivery has occurred and title passed; and collectability is reasonably assured. For sales to OEMs and contract manufacturers, this occurs generally upon shipment. Provisions for product returns and allowances are recorded in the same period as related revenues. The Company analyzes historical returns, current economic trends and changes in customer demand and acceptance of product when evaluating the adequacy of sales returns and other allowances, which are netted against accounts receivable, as these are processed as credits against future purchases or balances outstanding.</w:t>
      </w:r>
    </w:p>
    <w:p>
      <w:pPr>
        <w:spacing w:after="0" w:line="18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Company sells the majority of its products to its distributors at a uniform list price. However, distributors resell the Company’s products to end customers at a very broad range of individually negotiated price points. Distributors are provided with price concessions subsequent to delivery of product to them depending on their end customer and sales price. These concessions are based on a variety of factors, including customer, product, quantity, geography and competitive differentiation. Price protection rights grant distributors the right to a credit in the event of declines in the price of the Company’s products. Under these circumstances, the Company remits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Revenue on shipments to distributors is deferred as the price is not fixed or determinable until delivery has been made by the distributor to its customer and the final sales price has been established.</w:t>
      </w:r>
    </w:p>
    <w:p>
      <w:pPr>
        <w:spacing w:after="0" w:line="16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At the time of shipment to distributors, the Company records a trade receivable for the selling price as there is a legally enforceable obligation of the distributor to pay for the product delivered, inventory is reduced by the carrying value of goods shipped, and the net of these amounts, the gross profit, is recorded as deferred income on shipments to distributors on the balance sheet. The amount of gross profit that will be ultimately recognized in the statements of operations on such sales could be lower than the deferred income recorded on the balance sheets as a result of credits granted to distributors from the price protection rights. The Company is unable to estimate the credits to the distributors due to the wide variability of negotiated price concessions granted to them.</w:t>
      </w:r>
    </w:p>
    <w:p>
      <w:pPr>
        <w:spacing w:after="0" w:line="18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Thus, a portion of the “deferred income on shipments to distributors” balance represents the amount of distributors’ original purchase price that will be credited back to the distributor in the future. The wide range and variability of negotiated price concessions granted to distributors does not allow the Company to accurately estimate the portion of the balance in the deferred income on shipments to distributor accounts that will be credited back to the distributor. Therefore, the Company does not reduce deferred income on shipments to distributors or accounts receivable by anticipated future price concessions rather, price concessions are recorded against deferred income on shipments to distributors when incurred, which is generally at the time the distributor sells the product.</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At March 31, 2017, the Company had $2.4 million of deferred revenue and $0.9 million of deferred cost of sales, resulting in the recognition of $1.5 million of deferred income on shipments to distributors. At December 31, 2016, the Company had $2.9 million of deferred revenue and $1.1 million of deferred cost of sales, resulting in the recognition of $1.8 million of deferred income on shipments to distributors.</w:t>
      </w:r>
    </w:p>
    <w:p>
      <w:pPr>
        <w:spacing w:after="0" w:line="187"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Products returned by distributors and subsequently scrapped have historically been immaterial to the Company’s results of operations. The Company routinely evaluates the risk of impairment of the deferred cost of sales component of the deferred income on shipments to distributors account. Because of the historically immaterial amounts of inventory that have been scrapped, and historically rare instances where discounts given to a distributor result in a price less than our cost, the Company believes the deferred costs are recorded at their approximate carrying values.</w:t>
      </w:r>
    </w:p>
    <w:p>
      <w:pPr>
        <w:spacing w:after="0" w:line="173"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For licenses of technology, recognition of revenue is dependent upon whether the Company delivered rights to the technology, and whether there are future performance obligations. In some instances, the license agreements call for future milestones to be met for amounts to be due from the customer. In such scenarios, revenue is recognized using the milestone method, whereby revenue is recognized upon the completion of substantive milestones once the customers acknowledge the milestones have been met and the collection of the amounts are reasonably assured. Royalties received are recognized when reported to the Company, which generally coincides with the receipt of payment.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Basic net loss per common share is calculated by dividing the net loss by the weighted-average number of shares of common stock outstanding for the period, without consideration of potentially dilutive securities. Diluted net loss per common share is the same as basic net loss per common share since the effect of potentially dilutive securities is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May 2014, the Financial Accounting Standards Board (FASB) issued Accounting Standards Update (ASU)</w:t>
      </w:r>
    </w:p>
    <w:p>
      <w:pPr>
        <w:spacing w:after="0" w:line="23" w:lineRule="exact"/>
        <w:rPr>
          <w:sz w:val="20"/>
          <w:szCs w:val="20"/>
          <w:color w:val="auto"/>
        </w:rPr>
      </w:pPr>
    </w:p>
    <w:p>
      <w:pPr>
        <w:spacing w:after="0" w:line="216" w:lineRule="exact"/>
        <w:rPr>
          <w:sz w:val="20"/>
          <w:szCs w:val="20"/>
          <w:color w:val="auto"/>
        </w:rPr>
      </w:pPr>
      <w:r>
        <w:rPr>
          <w:rFonts w:ascii="Arial" w:cs="Arial" w:eastAsia="Arial" w:hAnsi="Arial"/>
          <w:sz w:val="17"/>
          <w:szCs w:val="17"/>
          <w:color w:val="auto"/>
        </w:rPr>
        <w:t>No. 2014</w:t>
      </w:r>
      <w:r>
        <w:rPr>
          <w:rFonts w:ascii="MS PGothic" w:cs="MS PGothic" w:eastAsia="MS PGothic" w:hAnsi="MS PGothic"/>
          <w:sz w:val="17"/>
          <w:szCs w:val="17"/>
          <w:color w:val="auto"/>
        </w:rPr>
        <w:t>‑</w:t>
      </w:r>
      <w:r>
        <w:rPr>
          <w:rFonts w:ascii="Arial" w:cs="Arial" w:eastAsia="Arial" w:hAnsi="Arial"/>
          <w:sz w:val="17"/>
          <w:szCs w:val="17"/>
          <w:color w:val="auto"/>
        </w:rPr>
        <w:t>09, Revenue from Contracts with Customers. Areas of revenue recognition that will be affected include, but are not limited to, transfer of control, variable consideration, allocation of transfer pricing, licenses, time value of money, contract costs and disclosures. The new standard permits adoption either by using (i) a full retrospective approach for all periods presented in the period of adoption or (ii) a modified retrospective approach with the cumulative effect of initially applying the new standard recognized at the date of initial application and providing certain additional disclosures. The new standard is effective for annual reporting periods beginning after December 15, 2017, with early adoption permitted for annual reporting periods beginning after December 15, 2016. As described in the Company's significant accounting policies, the Company currently defers the revenue and cost of sales on shipments to distributors until the distributor sells the product to their end customer. Upon adoption of ASU 2014-09, and subsequent improvements including ASU 2015-14, Deferral of Effective Date, ASU 2016-08, Principal versus Agent Considerations, ASU 2016-10, Identifying Performance Obligations and Licensing, and ASU 2016-12, Narrow Scope Improvements and Practical Expedients, the Company will no longer defer revenue until sale by the distributor to the end customer, but rather, will be required to estimate the effects of returns and allowances provided to distributors and record revenue at the time of sale to the distributor. The Company plans on adopting this standard on January 1, 2018 and is currently evaluating the impact that the adoption of the standard will have on its financial statements. The Company has not yet elected a transition method.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225" w:lineRule="exact"/>
        <w:rPr>
          <w:sz w:val="20"/>
          <w:szCs w:val="20"/>
          <w:color w:val="auto"/>
        </w:rPr>
      </w:pPr>
    </w:p>
    <w:p>
      <w:pPr>
        <w:ind w:firstLine="324"/>
        <w:spacing w:after="0" w:line="219" w:lineRule="exact"/>
        <w:rPr>
          <w:sz w:val="20"/>
          <w:szCs w:val="20"/>
          <w:color w:val="auto"/>
        </w:rPr>
      </w:pPr>
      <w:r>
        <w:rPr>
          <w:rFonts w:ascii="Arial" w:cs="Arial" w:eastAsia="Arial" w:hAnsi="Arial"/>
          <w:sz w:val="16"/>
          <w:szCs w:val="16"/>
          <w:color w:val="auto"/>
        </w:rPr>
        <w:t>In July 2015, the FASB issued ASU No. 2015</w:t>
      </w:r>
      <w:r>
        <w:rPr>
          <w:rFonts w:ascii="MS PGothic" w:cs="MS PGothic" w:eastAsia="MS PGothic" w:hAnsi="MS PGothic"/>
          <w:sz w:val="16"/>
          <w:szCs w:val="16"/>
          <w:color w:val="auto"/>
        </w:rPr>
        <w:t>‑</w:t>
      </w:r>
      <w:r>
        <w:rPr>
          <w:rFonts w:ascii="Arial" w:cs="Arial" w:eastAsia="Arial" w:hAnsi="Arial"/>
          <w:sz w:val="16"/>
          <w:szCs w:val="16"/>
          <w:color w:val="auto"/>
        </w:rPr>
        <w:t>11, Simplifying the Measurement of Inventory, which requires an entity to measure in scope inventory at the lower of cost and net realizable value. Net realizable value is the estimated selling price in the ordinary course of business, less reasonably predictable costs of completion, disposal and transportation. This ASU is effective for fiscal years and interim periods within those years beginning after December 15, 2016. The Company adopted this standard as of January 1, 2017 and the impact of its adoption on the Company’s financial statements was not material.</w:t>
      </w:r>
    </w:p>
    <w:p>
      <w:pPr>
        <w:spacing w:after="0" w:line="204" w:lineRule="exact"/>
        <w:rPr>
          <w:sz w:val="20"/>
          <w:szCs w:val="20"/>
          <w:color w:val="auto"/>
        </w:rPr>
      </w:pPr>
    </w:p>
    <w:p>
      <w:pPr>
        <w:ind w:right="120" w:firstLine="324"/>
        <w:spacing w:after="0" w:line="224" w:lineRule="exact"/>
        <w:rPr>
          <w:sz w:val="20"/>
          <w:szCs w:val="20"/>
          <w:color w:val="auto"/>
        </w:rPr>
      </w:pPr>
      <w:r>
        <w:rPr>
          <w:rFonts w:ascii="Arial" w:cs="Arial" w:eastAsia="Arial" w:hAnsi="Arial"/>
          <w:sz w:val="17"/>
          <w:szCs w:val="17"/>
          <w:color w:val="auto"/>
        </w:rPr>
        <w:t>In November 2015, FASB issued ASU No. 2015</w:t>
      </w:r>
      <w:r>
        <w:rPr>
          <w:rFonts w:ascii="MS PGothic" w:cs="MS PGothic" w:eastAsia="MS PGothic" w:hAnsi="MS PGothic"/>
          <w:sz w:val="17"/>
          <w:szCs w:val="17"/>
          <w:color w:val="auto"/>
        </w:rPr>
        <w:t>‑</w:t>
      </w:r>
      <w:r>
        <w:rPr>
          <w:rFonts w:ascii="Arial" w:cs="Arial" w:eastAsia="Arial" w:hAnsi="Arial"/>
          <w:sz w:val="17"/>
          <w:szCs w:val="17"/>
          <w:color w:val="auto"/>
        </w:rPr>
        <w:t>17, Balance Sheet Classification of Deferred Taxes, which is intended to simplify and improve how deferred taxes are classified on the balance sheet. The guidance in this ASU</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9"/>
        <w:spacing w:after="0" w:line="257" w:lineRule="auto"/>
        <w:rPr>
          <w:sz w:val="20"/>
          <w:szCs w:val="20"/>
          <w:color w:val="auto"/>
        </w:rPr>
      </w:pPr>
      <w:r>
        <w:rPr>
          <w:rFonts w:ascii="Arial" w:cs="Arial" w:eastAsia="Arial" w:hAnsi="Arial"/>
          <w:sz w:val="18"/>
          <w:szCs w:val="18"/>
          <w:color w:val="auto"/>
        </w:rPr>
        <w:t>eliminates the current requirement to present deferred tax assets and liabilities as current and noncurrent in a classified balance sheet and now requires entities to classify all deferred tax assets and liabilities as noncurrent. The guidance is effective for annual periods beginning after December 15, 2016, and for interim periods within those annual periods. Early adoption is permitted. The Company adopted this standard as of January 1, 2017 and the impact of its adoption on the Company’s financial statements was not material.</w:t>
      </w:r>
    </w:p>
    <w:p>
      <w:pPr>
        <w:spacing w:after="0" w:line="188" w:lineRule="exact"/>
        <w:rPr>
          <w:sz w:val="20"/>
          <w:szCs w:val="20"/>
          <w:color w:val="auto"/>
        </w:rPr>
      </w:pPr>
    </w:p>
    <w:p>
      <w:pPr>
        <w:ind w:right="19" w:firstLine="324"/>
        <w:spacing w:after="0" w:line="220" w:lineRule="exact"/>
        <w:rPr>
          <w:sz w:val="20"/>
          <w:szCs w:val="20"/>
          <w:color w:val="auto"/>
        </w:rPr>
      </w:pPr>
      <w:r>
        <w:rPr>
          <w:rFonts w:ascii="Arial" w:cs="Arial" w:eastAsia="Arial" w:hAnsi="Arial"/>
          <w:sz w:val="16"/>
          <w:szCs w:val="16"/>
          <w:color w:val="auto"/>
        </w:rPr>
        <w:t>In March 2016, the FASB issued ASU No. 2016</w:t>
      </w:r>
      <w:r>
        <w:rPr>
          <w:rFonts w:ascii="MS PGothic" w:cs="MS PGothic" w:eastAsia="MS PGothic" w:hAnsi="MS PGothic"/>
          <w:sz w:val="16"/>
          <w:szCs w:val="16"/>
          <w:color w:val="auto"/>
        </w:rPr>
        <w:t>‑</w:t>
      </w:r>
      <w:r>
        <w:rPr>
          <w:rFonts w:ascii="Arial" w:cs="Arial" w:eastAsia="Arial" w:hAnsi="Arial"/>
          <w:sz w:val="16"/>
          <w:szCs w:val="16"/>
          <w:color w:val="auto"/>
        </w:rPr>
        <w:t>09, Compensation-Stock Compensation (Topic 718) Improvements to Employee Share-Based Payment Accounting, which is intended to simplify several aspects of the accounting for employee share-based payment transactions, including the income tax consequences, the determination of forfeiture rates, classification of awards as either equity or liabilities, and classification on the statement of cash flows. This ASU is effective for</w:t>
      </w:r>
    </w:p>
    <w:p>
      <w:pPr>
        <w:spacing w:after="0" w:line="2" w:lineRule="exact"/>
        <w:rPr>
          <w:sz w:val="20"/>
          <w:szCs w:val="20"/>
          <w:color w:val="auto"/>
        </w:rPr>
      </w:pPr>
    </w:p>
    <w:p>
      <w:pPr>
        <w:jc w:val="both"/>
        <w:ind w:right="119"/>
        <w:spacing w:after="0" w:line="255" w:lineRule="auto"/>
        <w:rPr>
          <w:sz w:val="20"/>
          <w:szCs w:val="20"/>
          <w:color w:val="auto"/>
        </w:rPr>
      </w:pPr>
      <w:r>
        <w:rPr>
          <w:rFonts w:ascii="Arial" w:cs="Arial" w:eastAsia="Arial" w:hAnsi="Arial"/>
          <w:sz w:val="18"/>
          <w:szCs w:val="18"/>
          <w:color w:val="auto"/>
        </w:rPr>
        <w:t>fiscal years and interim periods within those years beginning after December 15, 2016, and early adoption is permitted. The Company adopted this standard as of January 1, 2017 and the impact of its adoption on the Company’s financial statements was not material.</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Inventory consisted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4"/>
                <w:szCs w:val="14"/>
                <w:color w:val="auto"/>
              </w:rPr>
            </w:pPr>
          </w:p>
        </w:tc>
      </w:tr>
      <w:tr>
        <w:trPr>
          <w:trHeight w:val="171"/>
        </w:trPr>
        <w:tc>
          <w:tcPr>
            <w:tcW w:w="49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0" w:type="dxa"/>
            <w:vAlign w:val="bottom"/>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3,739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3,152</w:t>
            </w:r>
          </w:p>
        </w:tc>
        <w:tc>
          <w:tcPr>
            <w:tcW w:w="2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20" w:type="dxa"/>
            <w:vAlign w:val="bottom"/>
          </w:tcPr>
          <w:p>
            <w:pPr>
              <w:spacing w:after="0"/>
              <w:rPr>
                <w:sz w:val="18"/>
                <w:szCs w:val="18"/>
                <w:color w:val="auto"/>
              </w:rPr>
            </w:pPr>
          </w:p>
        </w:tc>
      </w:tr>
      <w:tr>
        <w:trPr>
          <w:trHeight w:val="217"/>
        </w:trPr>
        <w:tc>
          <w:tcPr>
            <w:tcW w:w="4900" w:type="dxa"/>
            <w:vAlign w:val="bottom"/>
          </w:tcPr>
          <w:p>
            <w:pPr>
              <w:ind w:left="220"/>
              <w:spacing w:after="0"/>
              <w:rPr>
                <w:sz w:val="20"/>
                <w:szCs w:val="20"/>
                <w:color w:val="auto"/>
              </w:rPr>
            </w:pPr>
            <w:r>
              <w:rPr>
                <w:rFonts w:ascii="Arial" w:cs="Arial" w:eastAsia="Arial" w:hAnsi="Arial"/>
                <w:sz w:val="18"/>
                <w:szCs w:val="18"/>
                <w:color w:val="auto"/>
              </w:rPr>
              <w:t>Total inventory</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w:t>
            </w:r>
          </w:p>
        </w:tc>
        <w:tc>
          <w:tcPr>
            <w:tcW w:w="20" w:type="dxa"/>
            <w:vAlign w:val="bottom"/>
          </w:tcPr>
          <w:p>
            <w:pPr>
              <w:spacing w:after="0"/>
              <w:rPr>
                <w:sz w:val="18"/>
                <w:szCs w:val="18"/>
                <w:color w:val="auto"/>
              </w:rPr>
            </w:pPr>
          </w:p>
        </w:tc>
      </w:tr>
      <w:tr>
        <w:trPr>
          <w:trHeight w:val="432"/>
        </w:trPr>
        <w:tc>
          <w:tcPr>
            <w:tcW w:w="4900" w:type="dxa"/>
            <w:vAlign w:val="bottom"/>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900" w:type="dxa"/>
            <w:vAlign w:val="bottom"/>
          </w:tcPr>
          <w:p>
            <w:pPr>
              <w:ind w:left="320"/>
              <w:spacing w:after="0"/>
              <w:rPr>
                <w:sz w:val="20"/>
                <w:szCs w:val="20"/>
                <w:color w:val="auto"/>
              </w:rPr>
            </w:pPr>
            <w:r>
              <w:rPr>
                <w:rFonts w:ascii="Arial" w:cs="Arial" w:eastAsia="Arial" w:hAnsi="Arial"/>
                <w:sz w:val="18"/>
                <w:szCs w:val="18"/>
                <w:color w:val="auto"/>
                <w:w w:val="97"/>
              </w:rPr>
              <w:t>Accrued liabilities consisted of the following (in thousands):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5"/>
        </w:trPr>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3"/>
          </w:tcPr>
          <w:p>
            <w:pPr>
              <w:jc w:val="right"/>
              <w:ind w:right="94"/>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24"/>
                <w:szCs w:val="24"/>
                <w:color w:val="auto"/>
              </w:rPr>
            </w:pPr>
          </w:p>
        </w:tc>
      </w:tr>
      <w:tr>
        <w:trPr>
          <w:trHeight w:val="171"/>
        </w:trPr>
        <w:tc>
          <w:tcPr>
            <w:tcW w:w="49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4"/>
                <w:szCs w:val="14"/>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payroll-related expenses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2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Accrued manufacturing-related costs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Deferred licensing revenue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Accrued sales commissions payable to sales representatives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CEEFF"/>
          </w:tcPr>
          <w:p>
            <w:pPr>
              <w:spacing w:after="0"/>
              <w:rPr>
                <w:sz w:val="18"/>
                <w:szCs w:val="18"/>
                <w:color w:val="auto"/>
              </w:rPr>
            </w:pPr>
          </w:p>
        </w:tc>
      </w:tr>
      <w:tr>
        <w:trPr>
          <w:trHeight w:val="216"/>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0" w:type="dxa"/>
            <w:vAlign w:val="bottom"/>
            <w:tcBorders>
              <w:bottom w:val="single" w:sz="8" w:color="auto"/>
            </w:tcBorders>
          </w:tcPr>
          <w:p>
            <w:pPr>
              <w:spacing w:after="0"/>
              <w:rPr>
                <w:sz w:val="18"/>
                <w:szCs w:val="18"/>
                <w:color w:val="auto"/>
              </w:rPr>
            </w:pPr>
          </w:p>
        </w:tc>
      </w:tr>
      <w:tr>
        <w:trPr>
          <w:trHeight w:val="217"/>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20" w:type="dxa"/>
            <w:vAlign w:val="bottom"/>
            <w:tcBorders>
              <w:bottom w:val="single" w:sz="8" w:color="auto"/>
            </w:tcBorders>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79" w:firstLine="324"/>
        <w:spacing w:after="0" w:line="259" w:lineRule="auto"/>
        <w:rPr>
          <w:sz w:val="20"/>
          <w:szCs w:val="20"/>
          <w:color w:val="auto"/>
        </w:rPr>
      </w:pPr>
      <w:r>
        <w:rPr>
          <w:rFonts w:ascii="Arial" w:cs="Arial" w:eastAsia="Arial" w:hAnsi="Arial"/>
          <w:sz w:val="18"/>
          <w:szCs w:val="18"/>
          <w:color w:val="auto"/>
        </w:rPr>
        <w:t>The Company leases office space for its corporate headquarters located in Chandler, Arizona and for its design facility located in Austin, Texas. The leases expire in October 2018 and January 2022, respectively. Rent expense is recognized on a straight-line basis over the term of the leases and accordingly, the Company records the difference between cash rent payments and the recognition of rent expense as a deferred rent liability.</w:t>
      </w:r>
    </w:p>
    <w:p>
      <w:pPr>
        <w:spacing w:after="0" w:line="187" w:lineRule="exact"/>
        <w:rPr>
          <w:sz w:val="20"/>
          <w:szCs w:val="20"/>
          <w:color w:val="auto"/>
        </w:rPr>
      </w:pPr>
    </w:p>
    <w:p>
      <w:pPr>
        <w:jc w:val="both"/>
        <w:ind w:right="119" w:firstLine="324"/>
        <w:spacing w:after="0" w:line="264" w:lineRule="auto"/>
        <w:rPr>
          <w:sz w:val="20"/>
          <w:szCs w:val="20"/>
          <w:color w:val="auto"/>
        </w:rPr>
      </w:pPr>
      <w:r>
        <w:rPr>
          <w:rFonts w:ascii="Arial" w:cs="Arial" w:eastAsia="Arial" w:hAnsi="Arial"/>
          <w:sz w:val="18"/>
          <w:szCs w:val="18"/>
          <w:color w:val="auto"/>
        </w:rPr>
        <w:t>In January 2017, the Company entered into a five-year sublease agreement with Freescale, a related party, to rent 6,560 square feet of office and laboratory space in Chandler, Arizona, and in March 2017, the Company amended the sublease to increase the space to 10,023 square feet.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80" w:firstLine="324"/>
        <w:spacing w:after="0" w:line="312" w:lineRule="auto"/>
        <w:rPr>
          <w:sz w:val="20"/>
          <w:szCs w:val="20"/>
          <w:color w:val="auto"/>
        </w:rPr>
      </w:pPr>
      <w:r>
        <w:rPr>
          <w:rFonts w:ascii="Arial" w:cs="Arial" w:eastAsia="Arial" w:hAnsi="Arial"/>
          <w:sz w:val="16"/>
          <w:szCs w:val="16"/>
          <w:color w:val="auto"/>
        </w:rPr>
        <w:t>The Company has an operating lease for its Arizona manufacturing facility, as amended, for certain of the fabrication, laboratory and office premises of Freescale. In March 2017, the Company extended the lease through January 28, 2019 and amended the premises covered to remove laboratory space, decrease fabrication space and expand office space.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 and Related Warrants</w:t>
      </w:r>
    </w:p>
    <w:p>
      <w:pPr>
        <w:spacing w:after="0" w:line="200" w:lineRule="exact"/>
        <w:rPr>
          <w:sz w:val="20"/>
          <w:szCs w:val="20"/>
          <w:color w:val="auto"/>
        </w:rPr>
      </w:pP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 of the Company’s 2015 Credit Facility at March 31, 2017 was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Long-Term</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4"/>
                <w:szCs w:val="14"/>
                <w:b w:val="1"/>
                <w:bCs w:val="1"/>
                <w:color w:val="auto"/>
              </w:rPr>
              <w:t>Portion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debt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including end of term fee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7,628</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Discount attributable to warrants, end of term fee and</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issuance costs</w:t>
            </w: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7"/>
        </w:trPr>
        <w:tc>
          <w:tcPr>
            <w:tcW w:w="4400" w:type="dxa"/>
            <w:vAlign w:val="bottom"/>
          </w:tcPr>
          <w:p>
            <w:pPr>
              <w:ind w:left="120"/>
              <w:spacing w:after="0"/>
              <w:rPr>
                <w:sz w:val="20"/>
                <w:szCs w:val="20"/>
                <w:color w:val="auto"/>
              </w:rPr>
            </w:pPr>
            <w:r>
              <w:rPr>
                <w:rFonts w:ascii="Arial" w:cs="Arial" w:eastAsia="Arial" w:hAnsi="Arial"/>
                <w:sz w:val="18"/>
                <w:szCs w:val="18"/>
                <w:color w:val="auto"/>
              </w:rPr>
              <w:t>Net carrying value of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3,910</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carrying value of the Company’s 2015 Credit Facility at December 31, 2016 was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Long-Term</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4"/>
                <w:szCs w:val="14"/>
                <w:b w:val="1"/>
                <w:bCs w:val="1"/>
                <w:color w:val="auto"/>
              </w:rPr>
              <w:t>Portion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debt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including end of term fee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Discount attributable to warrants, end of term fee and</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issuance costs</w:t>
            </w: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7"/>
        </w:trPr>
        <w:tc>
          <w:tcPr>
            <w:tcW w:w="4380" w:type="dxa"/>
            <w:vAlign w:val="bottom"/>
          </w:tcPr>
          <w:p>
            <w:pPr>
              <w:ind w:left="120"/>
              <w:spacing w:after="0"/>
              <w:rPr>
                <w:sz w:val="20"/>
                <w:szCs w:val="20"/>
                <w:color w:val="auto"/>
              </w:rPr>
            </w:pPr>
            <w:r>
              <w:rPr>
                <w:rFonts w:ascii="Arial" w:cs="Arial" w:eastAsia="Arial" w:hAnsi="Arial"/>
                <w:sz w:val="18"/>
                <w:szCs w:val="18"/>
                <w:color w:val="auto"/>
              </w:rPr>
              <w:t>Net carrying value of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stock option activity for the three months ended March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4"/>
                <w:szCs w:val="14"/>
                <w:b w:val="1"/>
                <w:bCs w:val="1"/>
                <w:color w:val="auto"/>
                <w:w w:val="93"/>
              </w:rPr>
              <w:t>Options Outstanding</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Weighted-</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Options</w:t>
            </w: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8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Exercise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1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Price Per</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Grant</w:t>
            </w:r>
          </w:p>
        </w:tc>
        <w:tc>
          <w:tcPr>
            <w:tcW w:w="1020" w:type="dxa"/>
            <w:vAlign w:val="bottom"/>
          </w:tcPr>
          <w:p>
            <w:pPr>
              <w:jc w:val="right"/>
              <w:ind w:right="174"/>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Share</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Life (years)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342,500</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1,414,730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8"/>
                <w:szCs w:val="18"/>
                <w:color w:val="auto"/>
              </w:rPr>
              <w:t>Options 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(74,000)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7.88</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Options cancelled/forfeited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w:t>
            </w: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4.97</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Balance—March 31, 2017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273,548</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1,481,632</w:t>
            </w:r>
          </w:p>
        </w:tc>
        <w:tc>
          <w:tcPr>
            <w:tcW w:w="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Options exercisable—March 31, 2017</w:t>
            </w:r>
          </w:p>
        </w:tc>
        <w:tc>
          <w:tcPr>
            <w:tcW w:w="9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773,583</w:t>
            </w:r>
          </w:p>
        </w:tc>
        <w:tc>
          <w:tcPr>
            <w:tcW w:w="280" w:type="dxa"/>
            <w:vAlign w:val="bottom"/>
            <w:tcBorders>
              <w:bottom w:val="single" w:sz="8" w:color="CCEEFF"/>
            </w:tcBorders>
            <w:gridSpan w:val="2"/>
          </w:tcPr>
          <w:p>
            <w:pPr>
              <w:ind w:left="180"/>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4.55</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6.0</w:t>
            </w:r>
          </w:p>
        </w:tc>
        <w:tc>
          <w:tcPr>
            <w:tcW w:w="260" w:type="dxa"/>
            <w:vAlign w:val="bottom"/>
            <w:tcBorders>
              <w:bottom w:val="single" w:sz="8" w:color="CCEEFF"/>
            </w:tcBorders>
            <w:gridSpan w:val="2"/>
          </w:tcPr>
          <w:p>
            <w:pPr>
              <w:ind w:left="140"/>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188"/>
        </w:trPr>
        <w:tc>
          <w:tcPr>
            <w:tcW w:w="40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Options vested and expected to vest—</w:t>
            </w: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1,481,634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31, 2017</w:t>
            </w:r>
          </w:p>
        </w:tc>
        <w:tc>
          <w:tcPr>
            <w:tcW w:w="9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total grant date fair value of options vested was $107,000 and $103,000 during the three months ended March 31, 2017 and 2016, respectively.</w:t>
      </w:r>
    </w:p>
    <w:p>
      <w:pPr>
        <w:spacing w:after="0" w:line="170"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The weighted-average grant date fair value of employee options granted during the three months ended March 31, 2017 was $3.69 per share. The Company did not grant any options in the three months ended March 31, 2016.</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Employee Incentive Plan</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Company’s board of directors adopted the 2016 Equity Incentive Plan (the “2016 Plan”) on April 25, 2016, which was subsequently approved on September 20, 2016 by the Company’s stockholders. The 2016 Plan became effective on October 7, 2016, the date the Company’s registration statement was declared effective by the SEC. No further grants will be made under the Company’s 2008 Equity Incentive Plan (the “2008 Plan”). However, any outstanding stock awards granted under the 2008 Plan will remain outstanding, subject to the terms of the Company’s 2008 Plan and the applicable stock award agreements, until such outstanding stock awards that are stock options are exercised or until they terminate or expire by their terms, or until such stock awards are fully settled, terminated or forfeited.</w:t>
      </w:r>
    </w:p>
    <w:p>
      <w:pPr>
        <w:spacing w:after="0" w:line="167" w:lineRule="exact"/>
        <w:rPr>
          <w:sz w:val="20"/>
          <w:szCs w:val="20"/>
          <w:color w:val="auto"/>
        </w:rPr>
      </w:pPr>
    </w:p>
    <w:p>
      <w:pPr>
        <w:jc w:val="both"/>
        <w:ind w:right="40" w:firstLine="324"/>
        <w:spacing w:after="0" w:line="279" w:lineRule="auto"/>
        <w:rPr>
          <w:sz w:val="20"/>
          <w:szCs w:val="20"/>
          <w:color w:val="auto"/>
        </w:rPr>
      </w:pPr>
      <w:r>
        <w:rPr>
          <w:rFonts w:ascii="Arial" w:cs="Arial" w:eastAsia="Arial" w:hAnsi="Arial"/>
          <w:sz w:val="17"/>
          <w:szCs w:val="17"/>
          <w:color w:val="auto"/>
        </w:rPr>
        <w:t>The Company’s 2016 Plan provides for the grant of incentive stock options (“ISOs”), non-statutory stock options, stock appreciation rights, restricted stock awards, restricted stock unit awards, performance-based stock awards, and other forms of equity compensation to employees, directors and consultants. In addition, the Company’s 2016 Plan provides for the grant of performance cash awards to employees, directors and consultants.</w:t>
      </w:r>
    </w:p>
    <w:p>
      <w:pPr>
        <w:spacing w:after="0" w:line="171"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maximum number of shares of common stock that may be issued under the Company’s 2016 Plan is 500,000. The number of shares of common stock reserved for issuance under the Company’s 2016 Plan will automatically increase on January 1 of each year, beginning on January 1, 2017, and continuing through and including January 1, 2024, by 3% of the total number of shares of capital stock outstanding on December 31 of the preceding calendar year, or a lesser number of shares determined by the Company’s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225"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The Company’s board of directors adopted the 2016 Employee Stock Purchase Plan (the “ESPP”) on April 25, 2016, which was subsequently approved on September 20, 2016 by the Company’s stockholders. The purpose of the ESPP is to secure the services of new employees, to retain the services of existing employees and to provide incentives for such individuals to exert maximum efforts toward the Company’s success and that of the Company’s affiliates. The ESPP is intended to qualify as an “employee stock purchase plan” within the meaning of Section 423 of the Internal Revenue Code. The board of directors, or a duly authorized committee thereof, will administer the Company’s ESPP.</w:t>
      </w:r>
    </w:p>
    <w:p>
      <w:pPr>
        <w:spacing w:after="0" w:line="165"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maximum aggregate number of shares of common stock that may be issued pursuant to the exercise of purchase rights under the Company’s ESPP that are granted to employees or to employees of any of the Company’s designated affiliates is 96,153 shares. Additionally, the number of shares of common stock reserved for issuance under the Company’s ESPP will increase automatically each year, beginning on January 1, 2017, and continuing through and including January 1, 2026, by 1% of the total number of shares of common stock outstanding on December 31 of the preceding calendar year, or a lesser number as determined by the board of directors. Shares subject to purchase rights granted under the Company’s ESPP that terminate without having been exercised in full will not reduce the number of shares available for issuance under the Company’s ESPP. The first purchase period under the 2016 ESPP commenced on October 12, 2016 and ended on April 12,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Company recognized stock-based compensation expense from options granted to employees and non-employees and from its ESPP as follows, exluding amounts related to GLOBALFOUNDRIES, Inc. (“GF”) (in thousands):</w:t>
      </w:r>
    </w:p>
    <w:p>
      <w:pPr>
        <w:spacing w:after="0" w:line="152"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Three Months Ended</w:t>
      </w:r>
    </w:p>
    <w:p>
      <w:pPr>
        <w:ind w:left="57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9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r>
      <w:tr>
        <w:trPr>
          <w:trHeight w:val="217"/>
        </w:trPr>
        <w:tc>
          <w:tcPr>
            <w:tcW w:w="4980" w:type="dxa"/>
            <w:vAlign w:val="bottom"/>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r>
    </w:tbl>
    <w:p>
      <w:pPr>
        <w:spacing w:after="0" w:line="20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As of March 31, 2017, there was $3.2 million of total unrecognized compensation expense related to unvested options which is expected to be recognized over a weighted-average period of 2.8 years.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Stock-based Compensation</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Stock-based compensation expense for employees was $384,000 and $105,000 for the three months ended March 31, 2017 and 2016, respectively.</w:t>
      </w:r>
    </w:p>
    <w:p>
      <w:pPr>
        <w:spacing w:after="0" w:line="170"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Company estimated the fair value of each option using the Black-Scholes option-pricing model. The fair value of employee stock options is being amortized on a straight-line basis over the requisite service period of the awards. The fair value of employee stock options was estimated using the assumptions below. Each of these inputs is subjective and its determination generally requires significant judgment.</w:t>
      </w:r>
    </w:p>
    <w:p>
      <w:pPr>
        <w:spacing w:after="0" w:line="233" w:lineRule="exact"/>
        <w:rPr>
          <w:sz w:val="20"/>
          <w:szCs w:val="20"/>
          <w:color w:val="auto"/>
        </w:rPr>
      </w:pPr>
    </w:p>
    <w:p>
      <w:pPr>
        <w:ind w:left="5320"/>
        <w:spacing w:after="0"/>
        <w:rPr>
          <w:sz w:val="20"/>
          <w:szCs w:val="20"/>
          <w:color w:val="auto"/>
        </w:rPr>
      </w:pPr>
      <w:r>
        <w:rPr>
          <w:rFonts w:ascii="Arial" w:cs="Arial" w:eastAsia="Arial" w:hAnsi="Arial"/>
          <w:sz w:val="14"/>
          <w:szCs w:val="14"/>
          <w:b w:val="1"/>
          <w:bCs w:val="1"/>
          <w:color w:val="auto"/>
        </w:rPr>
        <w:t>Three Months Ended</w:t>
      </w:r>
    </w:p>
    <w:p>
      <w:pPr>
        <w:ind w:left="56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9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47.2 - 47.3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tcPr>
          <w:p>
            <w:pPr>
              <w:jc w:val="right"/>
              <w:spacing w:after="0"/>
              <w:rPr>
                <w:sz w:val="20"/>
                <w:szCs w:val="20"/>
                <w:color w:val="auto"/>
              </w:rPr>
            </w:pPr>
            <w:r>
              <w:rPr>
                <w:rFonts w:ascii="Arial" w:cs="Arial" w:eastAsia="Arial" w:hAnsi="Arial"/>
                <w:sz w:val="18"/>
                <w:szCs w:val="18"/>
                <w:color w:val="auto"/>
              </w:rPr>
              <w:t>2.0 - 2.1</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5.8 - 6.0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Dividend yield</w:t>
            </w:r>
          </w:p>
        </w:tc>
        <w:tc>
          <w:tcPr>
            <w:tcW w:w="1160" w:type="dxa"/>
            <w:vAlign w:val="bottom"/>
            <w:gridSpan w:val="3"/>
          </w:tcPr>
          <w:p>
            <w:pPr>
              <w:jc w:val="right"/>
              <w:ind w:right="1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Stock-based Compensation</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Stock-based compensation expense related to stock options granted to non-employees is recognized as the stock options vest. No stock options were granted to non-employees during the three months ended March 31, 2017 and 2016. As of March 31, 2017, options to purchase 31,990 shares of common stock were outstanding with a weighted-average exercise price of $5.26 per share. Stock-based compensation expense for non-employees was $11,000 and $6,000 for the three months ended March 31, 2017 and 2016, respectively.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Development Agreement—GLOBALFOUNDRIES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October 17, 2014, the Company entered into a Joint Development Agreement (“JDA”) with GF, a related party due to its equity ownership in the Company, for the joint development of the Company’s Spin Torque MRAM (“ST-MRAM”) technology. The term of the agreement is the later of four years from the effective date or until the completion, termination or expiration of the last statement of work entered into pursuant to the JDA. The JDA also states that the specific terms and conditions for the production and supply of the developed ST-MRAM technology would be pursuant to a separate manufacturing agreement entered into between the parties.</w:t>
      </w:r>
    </w:p>
    <w:p>
      <w:pPr>
        <w:spacing w:after="0" w:line="19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Under the JDA,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8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Generally, unless otherwise specified in the agreement or a statement of work, the Company and GF share project costs, which do not include personnel or production qualification costs, equally under the JDA. If GF manufactures, sells or transfers to customers wafers containing production quantified ST-MRAM devices that utilize certain design information, GF will be required to pay the Company a royalty. The term of the agreement is four years and is extended until the completion of any development work, if later.</w:t>
      </w:r>
    </w:p>
    <w:p>
      <w:pPr>
        <w:spacing w:after="0" w:line="188" w:lineRule="exact"/>
        <w:rPr>
          <w:sz w:val="20"/>
          <w:szCs w:val="20"/>
          <w:color w:val="auto"/>
        </w:rPr>
      </w:pPr>
    </w:p>
    <w:p>
      <w:pPr>
        <w:ind w:right="520" w:firstLine="324"/>
        <w:spacing w:after="0" w:line="259" w:lineRule="auto"/>
        <w:rPr>
          <w:sz w:val="20"/>
          <w:szCs w:val="20"/>
          <w:color w:val="auto"/>
        </w:rPr>
      </w:pPr>
      <w:r>
        <w:rPr>
          <w:rFonts w:ascii="Arial" w:cs="Arial" w:eastAsia="Arial" w:hAnsi="Arial"/>
          <w:sz w:val="18"/>
          <w:szCs w:val="18"/>
          <w:color w:val="auto"/>
        </w:rPr>
        <w:t>In May 2016, the Company entered into an amendment to the JDA to modify the payment schedule and clarify its payment obligations for certain past project costs. Under the amendment, GF has the right to terminate the JDA if the Company does not pay the project costs, with interest, by December 15, 2016. Such project costs were paid in December 2016.</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As of March 31, 2017, $24,000 was receivable from GF. There were no amounts receivable from GF as of December 31, 2016. As of March 31, 2017 and December 31, 2016, $1.3 million and $979,000, respectively, were payable to GF for the Company’s share of the project costs under the JDA. The Company incurred project costs, recognized as research and development expense, of $1.9 million and $880,000 for the three months ended March 31, 2017 and 2016 respectively. The Company recognized revenue of $569,000 from GF for the three months ended March 31, 2017, for a milestone that was earned in the first quarter of 2017. There was no revenue from GF for the three months ended March 31, 2016.</w:t>
      </w:r>
    </w:p>
    <w:p>
      <w:pPr>
        <w:spacing w:after="0" w:line="16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On October 21, 2014, GF participated, along with other investors, in the Company’s Series B redeemable convertible preferred stock financing and purchased 192,307 shares at $26.00 per share. Contemporaneously, the Company sold 461,538 shares of its common stock to GF at a discounted price of $0.00026 per share. The common shares vest upon the achievement of a goal as set forth in the Statement of Work #1 (the “SOW”) under the JDA. The unvested common shares are subject to repurchase by the Company, if the JDA is terminated for any reason, for a one-year period after such termination, at a price that is the lower of the original price paid by GF or the fair value of the Company’s common stock as of the date of repurchase. The Company has determined that the issuance of these shares of common stock to GF represents compensation for services to be provided under the JDA. Accordingly, the shares are accounted for similar to a stock award granted to a non-employee of the Company and are remeasured to their fair value as they vest. Although the shares issued do not commence vesting until the achievement of the product qualification (the “Initial Measurement Date”), the Company has deemed it probable that the qualification requirement will be met and compensation expense related to the shares issued is being recognized prior to the Initial Measurement Date. Due to the vesting conditions, there will be multiple measurement dates, occurring on the Initial Measurement Date and at the end of each month thereafter. The fair value of vesting shares is effectively fixed at each measurement date while the fair value of the remaining unvested shares will be remeasured each subsequent measurement date until the shares are fully vested. During the year ended December 31, 2016, GF achieved the product qualification as set forth under the SOW. As such, a total of 211,538 shares of common stock became vested on August 21, 2016, the designated Initial Measurement Date. Subsequent to the Initial Measurement Date through March 31, 2017, an additional 28,846 shares of common stock became vested. As of March 31, 2017, there were 182,692 shares unvested that were subject to repurchase.</w:t>
      </w:r>
    </w:p>
    <w:p>
      <w:pPr>
        <w:spacing w:after="0" w:line="389"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The Company recognized non-cash compensation expense of $255,000 and $520,000 during the three months ended March 31, 2017 and 2016, respectively, in research and development expense related to the vesting of the shares of common stock. The Company recognizes compensation expense based on the estimated fair value of the common stock at each reporting period, which was $8.38 and $8.29 per share as of March 31, 2017 and December 31, 2016,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Freescale</w:t>
      </w:r>
    </w:p>
    <w:p>
      <w:pPr>
        <w:spacing w:after="0" w:line="225"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The Company has entered into various transactions with Freescale (a wholly-owned subsidiary of NXP), a related party due to its equity ownership in the Company. The Company leases its manufacturing facility in Chandler, Arizona, from Freescale and total rent payments made were $289,000 and $257,000 during the three months ended March 31, 2017 and 2016, respectively. Freescale also performs processing of the Company’s products in its facility which are capitalized as part of the cost of inventory. The total processing costs incurred by the Company were $427,000 and $709,000 for the three months ended March 31, 2017 and 2016. In addition, Freescale is one of the Company’s largest customers for the sale of embedded wafers, and total revenue from Freescale was $572,000 and $734,000 during the three months ended March 31, 2017 and 2016, respectively. In the three months ended March 31, 2017, the Company purchased wafers for its Condor product from Freescale for $168,000 which are included in inventory as of March 31, 2017. Amounts due from Freescale were $499,000 and $486,000 at March 31, 2017 and December 31, 2016, respectively. Amounts due to Freescale were $759,000 and $380,000 at March 31, 2017, and December 31, 2016, respectively.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Loss Per Common Share</w:t>
      </w:r>
    </w:p>
    <w:p>
      <w:pPr>
        <w:spacing w:after="0" w:line="229" w:lineRule="exact"/>
        <w:rPr>
          <w:sz w:val="20"/>
          <w:szCs w:val="20"/>
          <w:color w:val="auto"/>
        </w:rPr>
      </w:pPr>
    </w:p>
    <w:p>
      <w:pPr>
        <w:ind w:right="59"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amounts):</w:t>
      </w:r>
    </w:p>
    <w:p>
      <w:pPr>
        <w:sectPr>
          <w:pgSz w:w="11900" w:h="16838" w:orient="portrait"/>
          <w:cols w:equalWidth="0" w:num="1">
            <w:col w:w="9039"/>
          </w:cols>
          <w:pgMar w:left="142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484505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45050" cy="14605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484505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45050" cy="1543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Denominator: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Weighted-average common shares outstanding</w:t>
      </w:r>
    </w:p>
    <w:p>
      <w:pPr>
        <w:spacing w:after="0" w:line="9" w:lineRule="exact"/>
        <w:rPr>
          <w:sz w:val="20"/>
          <w:szCs w:val="20"/>
          <w:color w:val="auto"/>
        </w:rPr>
      </w:pPr>
    </w:p>
    <w:p>
      <w:pPr>
        <w:ind w:left="120" w:right="400"/>
        <w:spacing w:after="0" w:line="250" w:lineRule="auto"/>
        <w:rPr>
          <w:sz w:val="20"/>
          <w:szCs w:val="20"/>
          <w:color w:val="auto"/>
        </w:rPr>
      </w:pPr>
      <w:r>
        <w:rPr>
          <w:rFonts w:ascii="Arial" w:cs="Arial" w:eastAsia="Arial" w:hAnsi="Arial"/>
          <w:sz w:val="18"/>
          <w:szCs w:val="18"/>
          <w:color w:val="auto"/>
        </w:rPr>
        <w:t>Less: weighted-average unvested common shares subjected to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-273050</wp:posOffset>
            </wp:positionV>
            <wp:extent cx="4845050"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45050" cy="274320"/>
                    </a:xfrm>
                    <a:prstGeom prst="rect">
                      <a:avLst/>
                    </a:prstGeom>
                    <a:noFill/>
                  </pic:spPr>
                </pic:pic>
              </a:graphicData>
            </a:graphic>
          </wp:anchor>
        </w:drawing>
      </w:r>
    </w:p>
    <w:p>
      <w:pPr>
        <w:ind w:left="120"/>
        <w:spacing w:after="0" w:line="255" w:lineRule="auto"/>
        <w:rPr>
          <w:sz w:val="20"/>
          <w:szCs w:val="20"/>
          <w:color w:val="auto"/>
        </w:rPr>
      </w:pPr>
      <w:r>
        <w:rPr>
          <w:rFonts w:ascii="Arial" w:cs="Arial" w:eastAsia="Arial" w:hAnsi="Arial"/>
          <w:sz w:val="18"/>
          <w:szCs w:val="18"/>
          <w:color w:val="auto"/>
        </w:rPr>
        <w:t>Weighted-average common shares outstanding used to calculate net loss per common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484505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4505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Net loss per common share, basic and diluted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409"/>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729"/>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13550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ind w:left="369"/>
        <w:spacing w:after="0"/>
        <w:tabs>
          <w:tab w:leader="none" w:pos="1489"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10" w:lineRule="exact"/>
        <w:rPr>
          <w:sz w:val="20"/>
          <w:szCs w:val="20"/>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(6,086)  $</w:t>
      </w:r>
      <w:r>
        <w:rPr>
          <w:rFonts w:ascii="Arial" w:cs="Arial" w:eastAsia="Arial" w:hAnsi="Arial"/>
          <w:sz w:val="16"/>
          <w:szCs w:val="16"/>
          <w:color w:val="auto"/>
        </w:rPr>
        <w:t>(4,540)</w:t>
      </w:r>
    </w:p>
    <w:p>
      <w:pPr>
        <w:spacing w:after="0" w:line="252" w:lineRule="exact"/>
        <w:rPr>
          <w:rFonts w:ascii="Arial" w:cs="Arial" w:eastAsia="Arial" w:hAnsi="Arial"/>
          <w:sz w:val="18"/>
          <w:szCs w:val="18"/>
          <w:color w:val="auto"/>
        </w:rPr>
      </w:pPr>
    </w:p>
    <w:p>
      <w:pPr>
        <w:ind w:left="169"/>
        <w:spacing w:after="0"/>
        <w:rPr>
          <w:rFonts w:ascii="Arial" w:cs="Arial" w:eastAsia="Arial" w:hAnsi="Arial"/>
          <w:sz w:val="18"/>
          <w:szCs w:val="18"/>
          <w:color w:val="auto"/>
        </w:rPr>
      </w:pPr>
      <w:r>
        <w:rPr>
          <w:rFonts w:ascii="Arial" w:cs="Arial" w:eastAsia="Arial" w:hAnsi="Arial"/>
          <w:sz w:val="18"/>
          <w:szCs w:val="18"/>
          <w:color w:val="auto"/>
        </w:rPr>
        <w:t>12,498,698</w:t>
      </w:r>
      <w:r>
        <w:rPr>
          <w:rFonts w:ascii="Arial" w:cs="Arial" w:eastAsia="Arial" w:hAnsi="Arial"/>
          <w:sz w:val="16"/>
          <w:szCs w:val="16"/>
          <w:color w:val="auto"/>
        </w:rPr>
        <w:t>3,015,303</w:t>
      </w:r>
    </w:p>
    <w:p>
      <w:pPr>
        <w:spacing w:after="0" w:line="225" w:lineRule="exact"/>
        <w:rPr>
          <w:sz w:val="20"/>
          <w:szCs w:val="20"/>
          <w:color w:val="auto"/>
        </w:rPr>
      </w:pPr>
    </w:p>
    <w:tbl>
      <w:tblPr>
        <w:tblLayout w:type="fixed"/>
        <w:tblInd w:w="9"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(198,717)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(461,538)</w:t>
            </w:r>
          </w:p>
        </w:tc>
      </w:tr>
      <w:tr>
        <w:trPr>
          <w:trHeight w:val="406"/>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12,299,981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2,553,765</w:t>
            </w:r>
          </w:p>
        </w:tc>
      </w:tr>
      <w:tr>
        <w:trPr>
          <w:trHeight w:val="223"/>
        </w:trPr>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bl>
    <w:p>
      <w:pPr>
        <w:spacing w:after="0" w:line="200" w:lineRule="exact"/>
        <w:rPr>
          <w:sz w:val="20"/>
          <w:szCs w:val="20"/>
          <w:color w:val="auto"/>
        </w:rPr>
      </w:pPr>
    </w:p>
    <w:p>
      <w:pPr>
        <w:sectPr>
          <w:pgSz w:w="11900" w:h="16838" w:orient="portrait"/>
          <w:cols w:equalWidth="0" w:num="2">
            <w:col w:w="4980" w:space="371"/>
            <w:col w:w="3688"/>
          </w:cols>
          <w:pgMar w:left="1420" w:top="125" w:right="1440" w:bottom="1440" w:gutter="0" w:footer="0" w:header="0"/>
          <w:type w:val="continuous"/>
        </w:sectPr>
      </w:pPr>
    </w:p>
    <w:p>
      <w:pPr>
        <w:spacing w:after="0" w:line="2" w:lineRule="exact"/>
        <w:rPr>
          <w:sz w:val="20"/>
          <w:szCs w:val="20"/>
          <w:color w:val="auto"/>
        </w:rPr>
      </w:pPr>
    </w:p>
    <w:p>
      <w:pPr>
        <w:ind w:right="39" w:firstLine="324"/>
        <w:spacing w:after="0" w:line="277" w:lineRule="auto"/>
        <w:rPr>
          <w:sz w:val="20"/>
          <w:szCs w:val="20"/>
          <w:color w:val="auto"/>
        </w:rPr>
      </w:pPr>
      <w:r>
        <w:rPr>
          <w:rFonts w:ascii="Arial" w:cs="Arial" w:eastAsia="Arial" w:hAnsi="Arial"/>
          <w:sz w:val="18"/>
          <w:szCs w:val="18"/>
          <w:color w:val="auto"/>
        </w:rPr>
        <w:t>The following outstanding shares of potentially dilutive securities have been excluded from diluted net loss per common share for the periods presented, because their inclusion would be anti-dilutive:</w:t>
      </w:r>
    </w:p>
    <w:p>
      <w:pPr>
        <w:spacing w:after="0" w:line="176"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60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3312160</wp:posOffset>
            </wp:positionH>
            <wp:positionV relativeFrom="paragraph">
              <wp:posOffset>-3175</wp:posOffset>
            </wp:positionV>
            <wp:extent cx="14579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4"/>
                <w:szCs w:val="14"/>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8"/>
              </w:rPr>
              <w:t>Redeemable convertible preferred stock on an as-converted basis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2,486,199</w:t>
            </w:r>
          </w:p>
        </w:tc>
        <w:tc>
          <w:tcPr>
            <w:tcW w:w="4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1,481,632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878,948</w:t>
            </w:r>
          </w:p>
        </w:tc>
        <w:tc>
          <w:tcPr>
            <w:tcW w:w="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repurchase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182,692</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461,538</w:t>
            </w:r>
          </w:p>
        </w:tc>
        <w:tc>
          <w:tcPr>
            <w:tcW w:w="40" w:type="dxa"/>
            <w:vAlign w:val="bottom"/>
            <w:shd w:val="clear" w:color="auto" w:fill="CCEEFF"/>
          </w:tcPr>
          <w:p>
            <w:pPr>
              <w:spacing w:after="0"/>
              <w:rPr>
                <w:sz w:val="18"/>
                <w:szCs w:val="18"/>
                <w:color w:val="auto"/>
              </w:rPr>
            </w:pPr>
          </w:p>
        </w:tc>
      </w:tr>
      <w:tr>
        <w:trPr>
          <w:trHeight w:val="202"/>
        </w:trPr>
        <w:tc>
          <w:tcPr>
            <w:tcW w:w="5220" w:type="dxa"/>
            <w:vAlign w:val="bottom"/>
          </w:tcPr>
          <w:p>
            <w:pPr>
              <w:spacing w:after="0" w:line="201" w:lineRule="exact"/>
              <w:rPr>
                <w:sz w:val="20"/>
                <w:szCs w:val="20"/>
                <w:color w:val="auto"/>
              </w:rPr>
            </w:pPr>
            <w:r>
              <w:rPr>
                <w:rFonts w:ascii="Arial" w:cs="Arial" w:eastAsia="Arial" w:hAnsi="Arial"/>
                <w:sz w:val="18"/>
                <w:szCs w:val="18"/>
                <w:color w:val="auto"/>
                <w:w w:val="94"/>
              </w:rPr>
              <w:t>Redeemable convertible preferred stock warrants on an as-converted</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basis</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27,690</w:t>
            </w:r>
          </w:p>
        </w:tc>
        <w:tc>
          <w:tcPr>
            <w:tcW w:w="40" w:type="dxa"/>
            <w:vAlign w:val="bottom"/>
          </w:tcPr>
          <w:p>
            <w:pPr>
              <w:spacing w:after="0"/>
              <w:rPr>
                <w:sz w:val="20"/>
                <w:szCs w:val="20"/>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7"/>
        </w:trPr>
        <w:tc>
          <w:tcPr>
            <w:tcW w:w="5220" w:type="dxa"/>
            <w:vAlign w:val="bottom"/>
          </w:tcPr>
          <w:p>
            <w:pPr>
              <w:ind w:left="12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1,692,014</w:t>
            </w:r>
          </w:p>
        </w:tc>
        <w:tc>
          <w:tcPr>
            <w:tcW w:w="1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3,854,375</w:t>
            </w:r>
          </w:p>
        </w:tc>
        <w:tc>
          <w:tcPr>
            <w:tcW w:w="40" w:type="dxa"/>
            <w:vAlign w:val="bottom"/>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229" w:lineRule="exact"/>
        <w:rPr>
          <w:sz w:val="20"/>
          <w:szCs w:val="20"/>
          <w:color w:val="auto"/>
        </w:rPr>
      </w:pPr>
    </w:p>
    <w:p>
      <w:pPr>
        <w:ind w:right="219" w:firstLine="324"/>
        <w:spacing w:after="0" w:line="277" w:lineRule="auto"/>
        <w:rPr>
          <w:sz w:val="20"/>
          <w:szCs w:val="20"/>
          <w:color w:val="auto"/>
        </w:rPr>
      </w:pPr>
      <w:r>
        <w:rPr>
          <w:rFonts w:ascii="Arial" w:cs="Arial" w:eastAsia="Arial" w:hAnsi="Arial"/>
          <w:sz w:val="18"/>
          <w:szCs w:val="18"/>
          <w:color w:val="auto"/>
        </w:rPr>
        <w:t>In April 2017, the Company repaid the outstanding balance of $1.5 million on the revolving loan included in the 2015 Credit Facility.</w:t>
      </w:r>
    </w:p>
    <w:p>
      <w:pPr>
        <w:spacing w:after="0" w:line="170" w:lineRule="exact"/>
        <w:rPr>
          <w:sz w:val="20"/>
          <w:szCs w:val="20"/>
          <w:color w:val="auto"/>
        </w:rPr>
      </w:pPr>
    </w:p>
    <w:p>
      <w:pPr>
        <w:ind w:right="99" w:firstLine="324"/>
        <w:spacing w:after="0" w:line="255" w:lineRule="auto"/>
        <w:rPr>
          <w:sz w:val="20"/>
          <w:szCs w:val="20"/>
          <w:color w:val="auto"/>
        </w:rPr>
      </w:pPr>
      <w:r>
        <w:rPr>
          <w:rFonts w:ascii="Arial" w:cs="Arial" w:eastAsia="Arial" w:hAnsi="Arial"/>
          <w:sz w:val="18"/>
          <w:szCs w:val="18"/>
          <w:color w:val="auto"/>
        </w:rPr>
        <w:t>In May 2017, the Company executed a Loan and Security Agreement with Silicon Valley Bank for a $12.0 million term loan. The term of the loan is three years, and will be extended by one year if the Company achieves a revenue target of $4.0 million for its Spin-Torque product. The loan bears interest at a floating rate equal to the prime rate minus 0.75% and is payable monthly. The outstanding balance of the loan is to be repaid monthly beginning on May 1, 2018 over the remaining term of the loan. The loan is secured by a first priority perfected security interest in the Company’s assets excluding any intellectual property. A portion of the proceeds was used to pay off the outstanding balance on the Amended 2015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type w:val="continuous"/>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i w:val="1"/>
          <w:iCs w:val="1"/>
          <w:color w:val="auto"/>
        </w:rPr>
        <w:t>This discussion contains certain forward-looking statements within the meaning of Section 27A of the Securities Act of 1933, as amended, and Section 21E of the Securities Exchange Act of 1934, as amended.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strategies,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are the leading provider of MRAM solutions. Our MRAM solutions offer the persistence of non-volatile memory, a type of memory that retains information even in the absence of power, with the speed and endurance of random access memory (RAM), and enable the protection of mission critical data particularly in the event of power interruption or failure. Our MRAM solutions allow our customers in the industrial, automotive and transportation, and enterprise storage markets to design high performance, power efficient and reliable systems without the need for bulky batteries or capacitors. We are the only provider of commercially available MRAM solutions, and over the past eight years we have shipped over 60 million MRAM units.</w:t>
      </w:r>
    </w:p>
    <w:p>
      <w:pPr>
        <w:spacing w:after="0" w:line="18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revenue is derived from the sale of our MRAM-based products in discrete unit form, as embedded technology, and through licensing and royalties of our MRAM technology.</w:t>
      </w:r>
    </w:p>
    <w:p>
      <w:pPr>
        <w:spacing w:after="0" w:line="17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work directly with our customers to have our MRAM devices designed into and qualified for their products. Although we maintain direct sales, support, and development relationships with our customers, once our products are designed into a customer’s product, we sell a majority of our products to those customers through distributors. We generated 78% and 22% of our revenue from products sold through distributors for the three months ended March 31, 2017 and 2016, respectively.</w:t>
      </w:r>
    </w:p>
    <w:p>
      <w:pPr>
        <w:spacing w:after="0" w:line="18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maintain a direct selling relationship, for strategic purposes, with several key customer accounts. Our direct sales personnel and representatives are organized into three primary regions: North America; Europe, Middle East and Africa (EMEA); and Asia-Pacific (APAC). In North America, our revenue was $1.2 million and $1.4 million for the three months ended March 31, 2017 and 2016, respectively. In EMEA, our revenue was $1.4 million and $1.0 million for the three months ended March 31, 2017 and 2016, respectively. In APAC, our revenue was $5.3 million and $3.8 million for the three months ended March 31, 2017 and 2016, respectively. We recognize revenue by geography based on the region in which our products are sold, and not to where the end products are shipped.</w:t>
      </w:r>
    </w:p>
    <w:p>
      <w:pPr>
        <w:spacing w:after="0" w:line="17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leverage both internal and outsourced capabilities to manufacture our MRAM products. We purchase industry-standard complementary metal-oxide semiconductor (CMOS) wafers from semiconductor foundries and complete the fabrication by inserting our magnetic-bit technology at our 200mm fabrication facility in Chandler, Arizona. We believe this allows us to streamline research and development, rapidly prototype new products, and bring new products to market quickly and cost effectively. This strategy significantly reduces the capital investment that would otherwise be required to operate manufacturing facilities of our own. We intend to utilize leading semiconductor foundries, including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GLOBALFOUNDRIES, to support high-volume production of our high density MRAM products on 300mm wafers at advanced process nodes.</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During the three months ended March 31, 2017, we continued to invest in research and development to support the development and production of our second generation of MRAM technology. We believe our continued investment will allow us to continue to develop and deploy products based on our Spin-Torque MRAM (ST-MRAM) technology. Our research and development expenses were $6.4 million and $5.1 million for the three months ended March 31, 2017 and 2016, respectively. We expect that our research and development expenses will increase in the future as we continue to develop our MRAM technology internally and through our joint development agreement with GLOBALFOUNDRIES.</w:t>
      </w:r>
    </w:p>
    <w:p>
      <w:pPr>
        <w:spacing w:after="0" w:line="17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principal executive offices are located in Chandler, Arizona. The facility accommodates our principal sales, marketing and research and development. Also in Chandler, we lease office space, clean room space, and laboratory space for our 200mm production and research and development functions. Our primary product design personnel are located in our office in Austin, Texas.</w:t>
      </w:r>
    </w:p>
    <w:p>
      <w:pPr>
        <w:spacing w:after="0" w:line="187"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We recorded revenue of $7.9 million and $6.2 million for the three months ended March 31, 2017 and 2016, respectively; gross margin of 53.5% and 59.0% for the three months ended March 31, 2017 and 2016; and a net loss of $6.1 million and $4.5 million for the three months ended March 31, 2017 and 2016, respectively. As of March 31, 2017, we had 90 employees, approximately half of whom are engaged in research and development.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monitor a variety of key financial metrics to help us evaluate growth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EBITDA, a non-GAAP financial measure. We define Adjusted EBITDA as net income or loss adjusted for interest expense, tax, depreciation and amortization, stock-based compensation expense, compensation expense related to the vesting of common stock held by GLOBALFOUNDRIES resulting from our joint development agreement and interest expense.</w:t>
      </w:r>
    </w:p>
    <w:p>
      <w:pPr>
        <w:spacing w:after="0" w:line="16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management and board of directors use Adjusted EBITDA to understand and evaluate our 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w:t>
      </w:r>
    </w:p>
    <w:p>
      <w:pPr>
        <w:spacing w:after="0" w:line="17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 presents a reconciliation of net loss, the most directly comparable GAAP measure, to Adjusted EBITDA for each of the periods indicated:</w:t>
      </w:r>
    </w:p>
    <w:p>
      <w:pPr>
        <w:spacing w:after="0" w:line="176"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Three Months Ended</w:t>
      </w:r>
    </w:p>
    <w:p>
      <w:pPr>
        <w:ind w:left="55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reconciliation:</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(6,086)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(4,540)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expense related to vesting of</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GLOBALFOUNDRIES common stock</w:t>
            </w: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w:t>
            </w:r>
          </w:p>
        </w:tc>
        <w:tc>
          <w:tcPr>
            <w:tcW w:w="9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Adjusted EBITDA</w:t>
            </w:r>
          </w:p>
        </w:tc>
        <w:tc>
          <w:tcPr>
            <w:tcW w:w="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(4,938)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(3,247)</w:t>
            </w:r>
          </w:p>
        </w:tc>
        <w:tc>
          <w:tcPr>
            <w:tcW w:w="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Net loss was $6.1 million and $4.5 million, and Adjusted EBITDA was $(4.9) million and $(3.2) million for the three months ended March 31, 2017 and 2016, respectively. In the three months ended March 31, 2017, expenses from our joint development agreement increased to $1.9 million from $880,000 in the same period in 2016 and payroll and contracted labor increased $0.5 million from $3.9 million in the three months ended March 31, 2016 to $4.4 million in the same period in 2017. The increase in payroll and contract labor is consistent with our strategy to expand our operations and develop our MRAM technologies and products to support future growth.</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right="219" w:firstLine="324"/>
        <w:spacing w:after="0" w:line="297" w:lineRule="auto"/>
        <w:rPr>
          <w:sz w:val="20"/>
          <w:szCs w:val="20"/>
          <w:color w:val="auto"/>
        </w:rPr>
      </w:pPr>
      <w:r>
        <w:rPr>
          <w:rFonts w:ascii="Arial" w:cs="Arial" w:eastAsia="Arial" w:hAnsi="Arial"/>
          <w:sz w:val="16"/>
          <w:szCs w:val="16"/>
          <w:i w:val="1"/>
          <w:iCs w:val="1"/>
          <w:color w:val="auto"/>
        </w:rPr>
        <w:t xml:space="preserve">Design wins. </w:t>
      </w:r>
      <w:r>
        <w:rPr>
          <w:rFonts w:ascii="Arial" w:cs="Arial" w:eastAsia="Arial" w:hAnsi="Arial"/>
          <w:sz w:val="16"/>
          <w:szCs w:val="16"/>
          <w:color w:val="auto"/>
        </w:rPr>
        <w:t>In order to continue to grow our revenue, we must continue to achieve design wins for our MRAM</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We consider a design win to occur when an original equipment manufacturer (OEM) or contract manufacturer notifies us that it has selected one of our products to be incorporated into a product or system under development. Because the life cycles for our customers’ products can last for several years, if these products have successful commercial introductions, we expect to continue to generate revenues over an extended period of time for each successful design win.</w:t>
      </w:r>
    </w:p>
    <w:p>
      <w:pPr>
        <w:spacing w:after="0" w:line="158" w:lineRule="exact"/>
        <w:rPr>
          <w:sz w:val="20"/>
          <w:szCs w:val="20"/>
          <w:color w:val="auto"/>
        </w:rPr>
      </w:pPr>
    </w:p>
    <w:p>
      <w:pPr>
        <w:ind w:right="159" w:firstLine="324"/>
        <w:spacing w:after="0" w:line="255" w:lineRule="auto"/>
        <w:rPr>
          <w:sz w:val="20"/>
          <w:szCs w:val="20"/>
          <w:color w:val="auto"/>
        </w:rPr>
      </w:pPr>
      <w:r>
        <w:rPr>
          <w:rFonts w:ascii="Arial" w:cs="Arial" w:eastAsia="Arial" w:hAnsi="Arial"/>
          <w:sz w:val="18"/>
          <w:szCs w:val="18"/>
          <w:i w:val="1"/>
          <w:iCs w:val="1"/>
          <w:color w:val="auto"/>
        </w:rPr>
        <w:t>Customer acceptance of our technology and customer product success</w:t>
      </w:r>
      <w:r>
        <w:rPr>
          <w:rFonts w:ascii="Arial" w:cs="Arial" w:eastAsia="Arial" w:hAnsi="Arial"/>
          <w:sz w:val="18"/>
          <w:szCs w:val="18"/>
          <w:color w:val="auto"/>
        </w:rPr>
        <w:t>. In order for our customers to use our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they may have to redesign certain components of their existing designs. We have established relationships with several controller companies, including Broadcom (formerly LSI and Avago) and Microsemi (formerly PMC-Sierra), and IP core companies, including Cadence, Northwest Logic and Altera (now part of Intel), to accelerate the implementation of our MRAM solutions into our customers end products. Delays in our customers’ design cycles may have adverse effects on the demand, and therefore sales, of our products.</w:t>
      </w:r>
    </w:p>
    <w:p>
      <w:pPr>
        <w:spacing w:after="0" w:line="193" w:lineRule="exact"/>
        <w:rPr>
          <w:sz w:val="20"/>
          <w:szCs w:val="20"/>
          <w:color w:val="auto"/>
        </w:rPr>
      </w:pPr>
    </w:p>
    <w:p>
      <w:pPr>
        <w:ind w:right="39" w:firstLine="324"/>
        <w:spacing w:after="0" w:line="269" w:lineRule="auto"/>
        <w:rPr>
          <w:sz w:val="20"/>
          <w:szCs w:val="20"/>
          <w:color w:val="auto"/>
        </w:rPr>
      </w:pPr>
      <w:r>
        <w:rPr>
          <w:rFonts w:ascii="Arial" w:cs="Arial" w:eastAsia="Arial" w:hAnsi="Arial"/>
          <w:sz w:val="17"/>
          <w:szCs w:val="17"/>
          <w:i w:val="1"/>
          <w:iCs w:val="1"/>
          <w:color w:val="auto"/>
        </w:rPr>
        <w:t>Customer concentration</w:t>
      </w:r>
      <w:r>
        <w:rPr>
          <w:rFonts w:ascii="Arial" w:cs="Arial" w:eastAsia="Arial" w:hAnsi="Arial"/>
          <w:sz w:val="17"/>
          <w:szCs w:val="17"/>
          <w:color w:val="auto"/>
        </w:rPr>
        <w:t>. A relatively small number of end customers have historically accounted for a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percentage of our revenue. Revenue, including through distributors, from NXP, STMicroelectronics, Broadcom, Novomatic Gaming Industires, and Dell, collectively, accounted for approximately 35.9% of our total revenue in the three months ended March 31, 2017. One of these customers accounted for in excess of 10% of our total revenue in the three months ended March 31, 2017. Revenue, including through distributors, from Dell, Broadcom, Hyundai Motors, ifm and Nikkiso, collectively, accounted for 40.3% of our total revenue in the three months ended March 31, 2016. Two of these customers accounted for in excess of 10% of our total revenue in the three months ended March 31, 2016. It would be difficult to replace lost revenue resulting from the loss, reduction, cancellation or delay in purchase orders by any one of these customers. Consolidation among our customers may further concentrate our customer base and expose us to increased risks relating to increased customer concentration. In addition, any significant pricing pressure exerted by a significant customer could adversely affect our operating results.</w:t>
      </w:r>
    </w:p>
    <w:p>
      <w:pPr>
        <w:spacing w:after="0" w:line="183" w:lineRule="exact"/>
        <w:rPr>
          <w:sz w:val="20"/>
          <w:szCs w:val="20"/>
          <w:color w:val="auto"/>
        </w:rPr>
      </w:pPr>
    </w:p>
    <w:p>
      <w:pPr>
        <w:ind w:right="19" w:firstLine="324"/>
        <w:spacing w:after="0" w:line="270" w:lineRule="auto"/>
        <w:rPr>
          <w:sz w:val="20"/>
          <w:szCs w:val="20"/>
          <w:color w:val="auto"/>
        </w:rPr>
      </w:pPr>
      <w:r>
        <w:rPr>
          <w:rFonts w:ascii="Arial" w:cs="Arial" w:eastAsia="Arial" w:hAnsi="Arial"/>
          <w:sz w:val="17"/>
          <w:szCs w:val="17"/>
          <w:i w:val="1"/>
          <w:iCs w:val="1"/>
          <w:color w:val="auto"/>
        </w:rPr>
        <w:t xml:space="preserve">Pricing, product cost and gross margins of our products. </w:t>
      </w:r>
      <w:r>
        <w:rPr>
          <w:rFonts w:ascii="Arial" w:cs="Arial" w:eastAsia="Arial" w:hAnsi="Arial"/>
          <w:sz w:val="17"/>
          <w:szCs w:val="17"/>
          <w:color w:val="auto"/>
        </w:rPr>
        <w:t>Our gross margin has been, and will continue to be, affected by</w:t>
      </w:r>
      <w:r>
        <w:rPr>
          <w:rFonts w:ascii="Arial" w:cs="Arial" w:eastAsia="Arial" w:hAnsi="Arial"/>
          <w:sz w:val="17"/>
          <w:szCs w:val="17"/>
          <w:i w:val="1"/>
          <w:iCs w:val="1"/>
          <w:color w:val="auto"/>
        </w:rPr>
        <w:t xml:space="preserve"> </w:t>
      </w:r>
      <w:r>
        <w:rPr>
          <w:rFonts w:ascii="Arial" w:cs="Arial" w:eastAsia="Arial" w:hAnsi="Arial"/>
          <w:sz w:val="17"/>
          <w:szCs w:val="17"/>
          <w:color w:val="auto"/>
        </w:rPr>
        <w:t>a variety of factors, including the timing of changes in pricing, shipment volumes, new product introductions, changes in product mix, changes in our purchase price of fabricated wafers, assembly and test service expenses, manufacturing yields and inventory write downs, if any. In general, newly introduced products, and products with higher densities and performance, tend to be priced higher than older, more mature products. Average selling prices in the semiconductor industry typically decline as products mature. Consistent with this historical trend, we expect that the average selling prices of our products will decline as they mature. In the normal course of business, we seek to offset the effect of declining average selling prices on existing products by reducing manufacturing expenses and introducing newer, higher value-added products. If we are unable to maintain overall average selling prices or to offset any declines in average selling prices with savings on product costs, our gross margin will decline.</w:t>
      </w:r>
    </w:p>
    <w:p>
      <w:pPr>
        <w:spacing w:after="0" w:line="178" w:lineRule="exact"/>
        <w:rPr>
          <w:sz w:val="20"/>
          <w:szCs w:val="20"/>
          <w:color w:val="auto"/>
        </w:rPr>
      </w:pPr>
    </w:p>
    <w:p>
      <w:pPr>
        <w:ind w:right="59" w:firstLine="324"/>
        <w:spacing w:after="0" w:line="302" w:lineRule="auto"/>
        <w:rPr>
          <w:sz w:val="20"/>
          <w:szCs w:val="20"/>
          <w:color w:val="auto"/>
        </w:rPr>
      </w:pPr>
      <w:r>
        <w:rPr>
          <w:rFonts w:ascii="Arial" w:cs="Arial" w:eastAsia="Arial" w:hAnsi="Arial"/>
          <w:sz w:val="16"/>
          <w:szCs w:val="16"/>
          <w:i w:val="1"/>
          <w:iCs w:val="1"/>
          <w:color w:val="auto"/>
        </w:rPr>
        <w:t xml:space="preserve">Gross margin impact of licensing revenue. </w:t>
      </w:r>
      <w:r>
        <w:rPr>
          <w:rFonts w:ascii="Arial" w:cs="Arial" w:eastAsia="Arial" w:hAnsi="Arial"/>
          <w:sz w:val="16"/>
          <w:szCs w:val="16"/>
          <w:color w:val="auto"/>
        </w:rPr>
        <w:t>Our licensing revenue, which we collect as licensing fees and royalty</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generates significantly higher gross margin than product revenue. Due to the high gross margin profile of this revenue stream, fluctuations in licensing revenue may have a greater impact on gross margin than a corresponding change in the demand for our products. Therefore, as licensing revenue fluctuates, we may see significant variations in gross margin.</w:t>
      </w:r>
    </w:p>
    <w:p>
      <w:pPr>
        <w:spacing w:after="0" w:line="154" w:lineRule="exact"/>
        <w:rPr>
          <w:sz w:val="20"/>
          <w:szCs w:val="20"/>
          <w:color w:val="auto"/>
        </w:rPr>
      </w:pPr>
    </w:p>
    <w:p>
      <w:pPr>
        <w:ind w:right="19" w:firstLine="324"/>
        <w:spacing w:after="0" w:line="272" w:lineRule="auto"/>
        <w:rPr>
          <w:sz w:val="20"/>
          <w:szCs w:val="20"/>
          <w:color w:val="auto"/>
        </w:rPr>
      </w:pPr>
      <w:r>
        <w:rPr>
          <w:rFonts w:ascii="Arial" w:cs="Arial" w:eastAsia="Arial" w:hAnsi="Arial"/>
          <w:sz w:val="17"/>
          <w:szCs w:val="17"/>
          <w:i w:val="1"/>
          <w:iCs w:val="1"/>
          <w:color w:val="auto"/>
        </w:rPr>
        <w:t xml:space="preserve">Technology, process, and product development investment. </w:t>
      </w:r>
      <w:r>
        <w:rPr>
          <w:rFonts w:ascii="Arial" w:cs="Arial" w:eastAsia="Arial" w:hAnsi="Arial"/>
          <w:sz w:val="17"/>
          <w:szCs w:val="17"/>
          <w:color w:val="auto"/>
        </w:rPr>
        <w:t>We invest heavily to develop our MRAM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core MRAM technology, the joint development agreement with GLOBALFOUNDRIES, and the design of new and innovative products based on MRAM, to provide solutions to our current and future customers. We anticipate that we will continue to investment in our research and development to achieve our technology and product roadmaps. Our product development is targeted to specific segments of the market where we believe the densities and performance of our products can provide the most benefit. We believe our close coordination with our customers regarding their future product requirements enhances the efficiency of our research and development expenditures.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derive our revenue from the sale of our MRAM-based products in discrete unit form, as embedded technology, and through licensing of and royalties on our MRAM technology. For sales through distributors, we defer recognition of revenue and the related expenses of our discrete MRAM products until the distributor has sold the products to its end customer. We recognize license fees when the applicable development milestones have been met in accordance with the terms of the licensing agreement. Our licensing revenue is largely dependent on a small number of transactions during a given year. We recognize revenue for royalties resulting from our licensing agreements in accordance with the terms of the licensing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225" w:lineRule="exact"/>
        <w:rPr>
          <w:sz w:val="20"/>
          <w:szCs w:val="20"/>
          <w:color w:val="auto"/>
        </w:rPr>
      </w:pPr>
    </w:p>
    <w:p>
      <w:pPr>
        <w:ind w:right="300" w:firstLine="324"/>
        <w:spacing w:after="0" w:line="312" w:lineRule="auto"/>
        <w:rPr>
          <w:sz w:val="20"/>
          <w:szCs w:val="20"/>
          <w:color w:val="auto"/>
        </w:rPr>
      </w:pPr>
      <w:r>
        <w:rPr>
          <w:rFonts w:ascii="Arial" w:cs="Arial" w:eastAsia="Arial" w:hAnsi="Arial"/>
          <w:sz w:val="16"/>
          <w:szCs w:val="16"/>
          <w:color w:val="auto"/>
        </w:rPr>
        <w:t>Cost of sales primarily includes the cost of our products including costs to purchase wafers, costs paid for wafer fabrication, costs associated with the assembly and testing of our products, shipping costs and costs of our manufacturing personnel. Cost of sales also includes indirect costs, such as warranty, inventory valuation reserves and overhead costs.</w:t>
      </w:r>
    </w:p>
    <w:p>
      <w:pPr>
        <w:spacing w:after="0" w:line="14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Gross profit is revenue less cost of sales. Gross margin is gross profit expressed as a percentage of total revenue. We expect that our gross margin may fluctuate from period to period, primarily as a result of changes in average selling price, revenue mix among our products, product yields and manufacturing costs. In addition, we may reserve against the value at which we carry our inventory based upon the product’s life cycle and conditions in the markets in which we sell. Declines in average selling prices may be paired with improvements in our cost of sales, which may offset some of the gross margin reduction that could result from lower selling prices.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440" w:firstLine="324"/>
        <w:spacing w:after="0" w:line="257"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the most significant component of each of our operating expense categories. In addition, we expect to increase research and development expenditures, hire additional personnel necessary to support our growth, and incur additional expenses associated with being a public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research and development expenses consist primarily of personnel-related expenses for the design and development of our products and technologies, test wafers required to characterize our technology, and expenses associated with our joint development agreement with GLOBALFOUNDRIES. Research and development expenses also include consulting services, circuit design costs, materials and laboratory supplies, fabrication and new packaging technology, and an allocation of related facilities and equipment costs. We expect our research and development expenses to increase as we hire additional personnel to develop new products and product enhancements. We recognize research and development expenses as they are incurred.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Our general and administrative expenses consist primarily of personnel expenses, allocated facilities costs, expenses for outside professional services, and expenses for personnel and consultants engaged in executive, finance, legal, information technology and administrative activities. We expect to incur additional general and administrative expenses as a result of operating as a public company, including expenses related to compliance with the rules and regulations of the Securities and Exchange Commission, or SEC, and those of any national securities exchange on which our securities are traded, additional insurance expenses, investor relations activities and other administrative and professional services.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Our sales and marketing expenses consist primarily of compensation for our sales, marketing, and business development personnel, including bonuses and commissions for our sales representatives. We expect our sales and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marketing expenses to increase as we hire additional sales personnel and representatives and increase our marketing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Interest expense consists of cash and non-cash components. The non-cash component consists of interest expense recognized from the amortization of debt discounts derived from the issuance of warrants and debt issuance costs capitalized on our balance sheets as a reduction of the debt balance. The non-cash component also includes interest expense on our convertible promissory notes as well as the amortization of debt discounts from the bifurcation of an embedded derivative related to the notes. These notes were converted into shares of our common stock upon the completion of our initial public offering, (“IPO”) in October 2016. The cash component of interest expense is attributable to our borrowings under our loan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Other income (expense), net consists primarily of the change in fair value of our convertible preferred stock warrant liability. Prior to the completion of our IPO, our convertible preferred stock warrants were exercisable into shares that were contingently redeemable. As such, these warrants were classified as a liability on our balance sheets at their estimated fair value and were marked to market at each reporting period. We continued to record adjustments to the estimated fair values of the convertible preferred stock warrants until they converted into common stock warrants upon the closing of the IPO.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30" w:lineRule="exact"/>
        <w:rPr>
          <w:sz w:val="20"/>
          <w:szCs w:val="20"/>
          <w:color w:val="auto"/>
        </w:rPr>
      </w:pPr>
    </w:p>
    <w:p>
      <w:pPr>
        <w:ind w:left="5580"/>
        <w:spacing w:after="0"/>
        <w:rPr>
          <w:sz w:val="20"/>
          <w:szCs w:val="20"/>
          <w:color w:val="auto"/>
        </w:rPr>
      </w:pPr>
      <w:r>
        <w:rPr>
          <w:rFonts w:ascii="Arial" w:cs="Arial" w:eastAsia="Arial" w:hAnsi="Arial"/>
          <w:sz w:val="14"/>
          <w:szCs w:val="14"/>
          <w:b w:val="1"/>
          <w:bCs w:val="1"/>
          <w:color w:val="auto"/>
        </w:rPr>
        <w:t>Three Months Ended</w:t>
      </w:r>
    </w:p>
    <w:p>
      <w:pPr>
        <w:ind w:left="59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3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142"/>
        </w:trPr>
        <w:tc>
          <w:tcPr>
            <w:tcW w:w="33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5"/>
          </w:tcPr>
          <w:p>
            <w:pPr>
              <w:jc w:val="right"/>
              <w:ind w:right="311"/>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16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Licensing and royalty revenue</w:t>
            </w:r>
          </w:p>
        </w:tc>
        <w:tc>
          <w:tcPr>
            <w:tcW w:w="2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60" w:type="dxa"/>
            <w:vAlign w:val="bottom"/>
            <w:tcBorders>
              <w:bottom w:val="single" w:sz="8" w:color="CCEEFF"/>
            </w:tcBorders>
          </w:tcPr>
          <w:p>
            <w:pPr>
              <w:spacing w:after="0"/>
              <w:rPr>
                <w:sz w:val="18"/>
                <w:szCs w:val="18"/>
                <w:color w:val="auto"/>
              </w:rPr>
            </w:pPr>
          </w:p>
        </w:tc>
        <w:tc>
          <w:tcPr>
            <w:tcW w:w="1820" w:type="dxa"/>
            <w:vAlign w:val="bottom"/>
          </w:tcPr>
          <w:p>
            <w:pPr>
              <w:spacing w:after="0"/>
              <w:rPr>
                <w:sz w:val="18"/>
                <w:szCs w:val="18"/>
                <w:color w:val="auto"/>
              </w:rPr>
            </w:pPr>
          </w:p>
        </w:tc>
      </w:tr>
      <w:tr>
        <w:trPr>
          <w:trHeight w:val="210"/>
        </w:trPr>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w:t>
            </w:r>
          </w:p>
        </w:tc>
        <w:tc>
          <w:tcPr>
            <w:tcW w:w="16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160" w:type="dxa"/>
            <w:vAlign w:val="bottom"/>
            <w:tcBorders>
              <w:bottom w:val="single" w:sz="8" w:color="CCEEFF"/>
            </w:tcBorders>
          </w:tcPr>
          <w:p>
            <w:pPr>
              <w:spacing w:after="0"/>
              <w:rPr>
                <w:sz w:val="18"/>
                <w:szCs w:val="18"/>
                <w:color w:val="auto"/>
              </w:rPr>
            </w:pPr>
          </w:p>
        </w:tc>
        <w:tc>
          <w:tcPr>
            <w:tcW w:w="1820" w:type="dxa"/>
            <w:vAlign w:val="bottom"/>
          </w:tcPr>
          <w:p>
            <w:pPr>
              <w:spacing w:after="0"/>
              <w:rPr>
                <w:sz w:val="18"/>
                <w:szCs w:val="18"/>
                <w:color w:val="auto"/>
              </w:rPr>
            </w:pPr>
          </w:p>
        </w:tc>
      </w:tr>
      <w:tr>
        <w:trPr>
          <w:trHeight w:val="210"/>
        </w:trPr>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16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Operating expenses: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16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32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1,715</w:t>
            </w: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2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6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10"/>
        </w:trPr>
        <w:tc>
          <w:tcPr>
            <w:tcW w:w="3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2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10,092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7,679</w:t>
            </w:r>
          </w:p>
        </w:tc>
        <w:tc>
          <w:tcPr>
            <w:tcW w:w="160" w:type="dxa"/>
            <w:vAlign w:val="bottom"/>
            <w:tcBorders>
              <w:bottom w:val="single" w:sz="8" w:color="CCEEFF"/>
            </w:tcBorders>
          </w:tcPr>
          <w:p>
            <w:pPr>
              <w:spacing w:after="0"/>
              <w:rPr>
                <w:sz w:val="18"/>
                <w:szCs w:val="18"/>
                <w:color w:val="auto"/>
              </w:rPr>
            </w:pPr>
          </w:p>
        </w:tc>
        <w:tc>
          <w:tcPr>
            <w:tcW w:w="1820" w:type="dxa"/>
            <w:vAlign w:val="bottom"/>
          </w:tcPr>
          <w:p>
            <w:pPr>
              <w:spacing w:after="0"/>
              <w:rPr>
                <w:sz w:val="18"/>
                <w:szCs w:val="18"/>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16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Interest expense</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(466)</w:t>
            </w: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17"/>
        </w:trPr>
        <w:tc>
          <w:tcPr>
            <w:tcW w:w="3320" w:type="dxa"/>
            <w:vAlign w:val="bottom"/>
          </w:tcPr>
          <w:p>
            <w:pPr>
              <w:spacing w:after="0"/>
              <w:rPr>
                <w:sz w:val="20"/>
                <w:szCs w:val="20"/>
                <w:color w:val="auto"/>
              </w:rPr>
            </w:pPr>
            <w:r>
              <w:rPr>
                <w:rFonts w:ascii="Arial" w:cs="Arial" w:eastAsia="Arial" w:hAnsi="Arial"/>
                <w:sz w:val="18"/>
                <w:szCs w:val="18"/>
                <w:color w:val="auto"/>
              </w:rPr>
              <w:t>Net loss</w:t>
            </w:r>
          </w:p>
        </w:tc>
        <w:tc>
          <w:tcPr>
            <w:tcW w:w="20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w:t>
            </w: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864"/>
        </w:trPr>
        <w:tc>
          <w:tcPr>
            <w:tcW w:w="3320" w:type="dxa"/>
            <w:vAlign w:val="bottom"/>
          </w:tcPr>
          <w:p>
            <w:pPr>
              <w:spacing w:after="0"/>
              <w:rPr>
                <w:sz w:val="24"/>
                <w:szCs w:val="24"/>
                <w:color w:val="auto"/>
              </w:rPr>
            </w:pPr>
          </w:p>
        </w:tc>
        <w:tc>
          <w:tcPr>
            <w:tcW w:w="2080" w:type="dxa"/>
            <w:vAlign w:val="bottom"/>
          </w:tcPr>
          <w:p>
            <w:pPr>
              <w:jc w:val="right"/>
              <w:ind w:right="69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29"/>
        </w:trPr>
        <w:tc>
          <w:tcPr>
            <w:tcW w:w="332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following table sets forth the statements of operations data for each of the periods presented as a percentage of revenue:</w:t>
      </w:r>
    </w:p>
    <w:p>
      <w:pPr>
        <w:spacing w:after="0" w:line="176"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Three Months Ended</w:t>
      </w:r>
    </w:p>
    <w:p>
      <w:pPr>
        <w:ind w:left="57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28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CCEEFF"/>
            </w:tcBorders>
          </w:tcPr>
          <w:p>
            <w:pPr>
              <w:spacing w:after="0"/>
              <w:rPr>
                <w:sz w:val="12"/>
                <w:szCs w:val="12"/>
                <w:color w:val="auto"/>
              </w:rPr>
            </w:pPr>
          </w:p>
        </w:tc>
      </w:tr>
      <w:tr>
        <w:trPr>
          <w:trHeight w:val="210"/>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r>
      <w:tr>
        <w:trPr>
          <w:trHeight w:val="216"/>
        </w:trPr>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sales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380" w:type="dxa"/>
            <w:vAlign w:val="bottom"/>
            <w:tcBorders>
              <w:bottom w:val="single" w:sz="8" w:color="CCEEFF"/>
            </w:tcBorders>
          </w:tcPr>
          <w:p>
            <w:pPr>
              <w:spacing w:after="0"/>
              <w:rPr>
                <w:sz w:val="18"/>
                <w:szCs w:val="18"/>
                <w:color w:val="auto"/>
              </w:rPr>
            </w:pPr>
          </w:p>
        </w:tc>
      </w:tr>
      <w:tr>
        <w:trPr>
          <w:trHeight w:val="210"/>
        </w:trPr>
        <w:tc>
          <w:tcPr>
            <w:tcW w:w="5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8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8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120"/>
              <w:spacing w:after="0"/>
              <w:rPr>
                <w:sz w:val="20"/>
                <w:szCs w:val="20"/>
                <w:color w:val="auto"/>
              </w:rPr>
            </w:pPr>
            <w:r>
              <w:rPr>
                <w:rFonts w:ascii="Arial" w:cs="Arial" w:eastAsia="Arial" w:hAnsi="Arial"/>
                <w:sz w:val="18"/>
                <w:szCs w:val="18"/>
                <w:color w:val="auto"/>
              </w:rPr>
              <w:t>General and administrative</w:t>
            </w: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r>
      <w:tr>
        <w:trPr>
          <w:trHeight w:val="210"/>
        </w:trPr>
        <w:tc>
          <w:tcPr>
            <w:tcW w:w="5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380" w:type="dxa"/>
            <w:vAlign w:val="bottom"/>
            <w:tcBorders>
              <w:bottom w:val="single" w:sz="8" w:color="CCEEFF"/>
            </w:tcBorders>
          </w:tcPr>
          <w:p>
            <w:pPr>
              <w:spacing w:after="0"/>
              <w:rPr>
                <w:sz w:val="18"/>
                <w:szCs w:val="18"/>
                <w:color w:val="auto"/>
              </w:rPr>
            </w:pPr>
          </w:p>
        </w:tc>
      </w:tr>
      <w:tr>
        <w:trPr>
          <w:trHeight w:val="210"/>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8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r>
      <w:tr>
        <w:trPr>
          <w:trHeight w:val="217"/>
        </w:trPr>
        <w:tc>
          <w:tcPr>
            <w:tcW w:w="5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w w:val="74"/>
              </w:rPr>
              <w:t>%</w:t>
            </w:r>
          </w:p>
        </w:tc>
      </w:tr>
      <w:tr>
        <w:trPr>
          <w:trHeight w:val="108"/>
        </w:trPr>
        <w:tc>
          <w:tcPr>
            <w:tcW w:w="228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r>
    </w:tbl>
    <w:p>
      <w:pPr>
        <w:spacing w:after="0" w:line="94" w:lineRule="exact"/>
        <w:rPr>
          <w:sz w:val="20"/>
          <w:szCs w:val="20"/>
          <w:color w:val="auto"/>
        </w:rPr>
      </w:pPr>
    </w:p>
    <w:p>
      <w:pPr>
        <w:ind w:left="300" w:hanging="297"/>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rFonts w:ascii="Arial" w:cs="Arial" w:eastAsia="Arial" w:hAnsi="Arial"/>
          <w:sz w:val="18"/>
          <w:szCs w:val="18"/>
          <w:color w:val="auto"/>
        </w:rPr>
      </w:pPr>
    </w:p>
    <w:p>
      <w:pPr>
        <w:ind w:left="320" w:right="3780"/>
        <w:spacing w:after="0" w:line="504"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Comparison of the Three Months Ended March 31, 2017 and 2016 </w:t>
      </w:r>
      <w:r>
        <w:rPr>
          <w:rFonts w:ascii="Arial" w:cs="Arial" w:eastAsia="Arial" w:hAnsi="Arial"/>
          <w:sz w:val="18"/>
          <w:szCs w:val="18"/>
          <w:i w:val="1"/>
          <w:iCs w:val="1"/>
          <w:color w:val="auto"/>
        </w:rPr>
        <w:t>Revenue</w:t>
      </w:r>
    </w:p>
    <w:tbl>
      <w:tblPr>
        <w:tblLayout w:type="fixed"/>
        <w:tblInd w:w="0" w:type="dxa"/>
        <w:tblCellMar>
          <w:top w:w="0" w:type="dxa"/>
          <w:left w:w="0" w:type="dxa"/>
          <w:bottom w:w="0" w:type="dxa"/>
          <w:right w:w="0" w:type="dxa"/>
        </w:tblCellMar>
      </w:tblPr>
      <w:tr>
        <w:trPr>
          <w:trHeight w:val="149"/>
        </w:trPr>
        <w:tc>
          <w:tcPr>
            <w:tcW w:w="2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4"/>
          </w:tcPr>
          <w:p>
            <w:pPr>
              <w:jc w:val="right"/>
              <w:ind w:right="157"/>
              <w:spacing w:after="0" w:line="149" w:lineRule="exact"/>
              <w:rPr>
                <w:sz w:val="20"/>
                <w:szCs w:val="20"/>
                <w:color w:val="auto"/>
              </w:rPr>
            </w:pPr>
            <w:r>
              <w:rPr>
                <w:rFonts w:ascii="Arial" w:cs="Arial" w:eastAsia="Arial" w:hAnsi="Arial"/>
                <w:sz w:val="14"/>
                <w:szCs w:val="14"/>
                <w:b w:val="1"/>
                <w:bCs w:val="1"/>
                <w:color w:val="auto"/>
                <w:w w:val="98"/>
              </w:rPr>
              <w:t>Three Months Ended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Licensing and royalty revenue</w:t>
            </w:r>
          </w:p>
        </w:tc>
        <w:tc>
          <w:tcPr>
            <w:tcW w:w="8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3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715</w:t>
            </w:r>
          </w:p>
        </w:tc>
        <w:tc>
          <w:tcPr>
            <w:tcW w:w="20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8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6,207</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243"/>
        <w:spacing w:after="0" w:line="257" w:lineRule="auto"/>
        <w:rPr>
          <w:sz w:val="20"/>
          <w:szCs w:val="20"/>
          <w:color w:val="auto"/>
        </w:rPr>
      </w:pPr>
      <w:r>
        <w:rPr>
          <w:rFonts w:ascii="Arial" w:cs="Arial" w:eastAsia="Arial" w:hAnsi="Arial"/>
          <w:sz w:val="18"/>
          <w:szCs w:val="18"/>
          <w:color w:val="auto"/>
        </w:rPr>
        <w:t>Total revenue increased by $1.7 million or 27%, from $6.2 million during the three months ended March 31, 2016, to $7.9 million during the three months ended March 31, 2017. Product sales increased by $1.1 million or 18%, from $6.1 million during the three months ended March 31, 2016, to $7.2 million during the three months ended March 31, 2017. The increase was primarily due to $0.5 million increased sales volume and mix in our first generation MRAM products and $0.6 million increase in sales of our Legacy products.</w:t>
      </w:r>
    </w:p>
    <w:p>
      <w:pPr>
        <w:spacing w:after="0" w:line="188" w:lineRule="exact"/>
        <w:rPr>
          <w:sz w:val="20"/>
          <w:szCs w:val="20"/>
          <w:color w:val="auto"/>
        </w:rPr>
      </w:pPr>
    </w:p>
    <w:p>
      <w:pPr>
        <w:ind w:right="80" w:firstLine="243"/>
        <w:spacing w:after="0" w:line="257" w:lineRule="auto"/>
        <w:rPr>
          <w:sz w:val="20"/>
          <w:szCs w:val="20"/>
          <w:color w:val="auto"/>
        </w:rPr>
      </w:pPr>
      <w:r>
        <w:rPr>
          <w:rFonts w:ascii="Arial" w:cs="Arial" w:eastAsia="Arial" w:hAnsi="Arial"/>
          <w:sz w:val="18"/>
          <w:szCs w:val="18"/>
          <w:color w:val="auto"/>
        </w:rPr>
        <w:t>Licensing and royalty revenue is a highly variable revenue item characterized by a small number of transactions annually with revenues based on size and terms of each transaction. Licensing and royalty revenue increased by $0.6 million, from $0.1 million during the three months ended March 31, 2016, to $0.7 million during the three months ended March 31, 2017. The increase was primarily due to a milestone earned during the three months ended March 31, 2017 from GLOBALFOUNDRIES for $0.6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 and Gross Margin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8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80" w:type="dxa"/>
            <w:vAlign w:val="bottom"/>
            <w:gridSpan w:val="5"/>
          </w:tcPr>
          <w:p>
            <w:pPr>
              <w:jc w:val="right"/>
              <w:ind w:right="548"/>
              <w:spacing w:after="0" w:line="142" w:lineRule="exact"/>
              <w:rPr>
                <w:sz w:val="20"/>
                <w:szCs w:val="20"/>
                <w:color w:val="auto"/>
              </w:rPr>
            </w:pPr>
            <w:r>
              <w:rPr>
                <w:rFonts w:ascii="Arial" w:cs="Arial" w:eastAsia="Arial" w:hAnsi="Arial"/>
                <w:sz w:val="14"/>
                <w:szCs w:val="14"/>
                <w:b w:val="1"/>
                <w:bCs w:val="1"/>
                <w:color w:val="auto"/>
                <w:w w:val="97"/>
              </w:rPr>
              <w:t>(Dollars in thousands)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4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   3,663</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w w:val="98"/>
              </w:rPr>
              <w:t>$  1,118</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Gross margin</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53.5 %</w:t>
            </w:r>
          </w:p>
        </w:tc>
        <w:tc>
          <w:tcPr>
            <w:tcW w:w="2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59.0 %</w:t>
            </w: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Cost of sales increased by $1.1 million or 44%, from $2.5 million during the three months ended March 31, 2016, to $3.7 million during the three months ended March 31, 2017. The increase was primarily due to increased sales volume and low yields on our Gen 1 MRAM products.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19" w:firstLine="324"/>
        <w:spacing w:after="0" w:line="342" w:lineRule="auto"/>
        <w:rPr>
          <w:sz w:val="20"/>
          <w:szCs w:val="20"/>
          <w:color w:val="auto"/>
        </w:rPr>
      </w:pPr>
      <w:r>
        <w:rPr>
          <w:rFonts w:ascii="Arial" w:cs="Arial" w:eastAsia="Arial" w:hAnsi="Arial"/>
          <w:sz w:val="16"/>
          <w:szCs w:val="16"/>
          <w:color w:val="auto"/>
        </w:rPr>
        <w:t>Gross margin decreased from 59% during the three months ended March 31, 2016, to 54% during the three months ended March 31, 2017. The decrease was primarily due product mix and low yields on our Gen 1 MRAM products.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Operating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w w:val="97"/>
              </w:rPr>
              <w:t>Change</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80" w:type="dxa"/>
            <w:vAlign w:val="bottom"/>
            <w:gridSpan w:val="8"/>
          </w:tcPr>
          <w:p>
            <w:pPr>
              <w:ind w:left="1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w:t>
            </w: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1,252</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1,130</w:t>
            </w: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9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28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9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10,092</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2,413</w:t>
            </w: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9" w:firstLine="324"/>
        <w:spacing w:after="0" w:line="276"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increased by $1.3 million or 24%, from $5.1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during the three months ended March 31, 2016, to $6.4 million during the three months ended March 31, 2017. The increase was primarily due to $1.0 million in higher expenses incurred in our joint development agreement with GLOBALFOUNDRIES and a $0.5 million increase in supplies, offset in part by a decrease of $0.3 million in the amount attributable to the vesting of shares of common stock issued to GLOBALFOUNDRIES.</w:t>
      </w:r>
    </w:p>
    <w:p>
      <w:pPr>
        <w:spacing w:after="0" w:line="173" w:lineRule="exact"/>
        <w:rPr>
          <w:sz w:val="20"/>
          <w:szCs w:val="20"/>
          <w:color w:val="auto"/>
        </w:rPr>
      </w:pPr>
    </w:p>
    <w:p>
      <w:pPr>
        <w:ind w:right="99"/>
        <w:spacing w:after="0" w:line="302"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spending increased by $1.1 million or 66%, from $1.7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during the three months ended March 31, 2016, to $2.8 million during the three months ended March 31, 2017. The increase was primarily due to $0.9 million in professional services incurred due to becoming a publically traded company, such as accounting services, insurance, legal and investor relations, and $0.2 million in personnel-related and contract labor.</w:t>
      </w:r>
    </w:p>
    <w:p>
      <w:pPr>
        <w:spacing w:after="0" w:line="154" w:lineRule="exact"/>
        <w:rPr>
          <w:sz w:val="20"/>
          <w:szCs w:val="20"/>
          <w:color w:val="auto"/>
        </w:rPr>
      </w:pPr>
    </w:p>
    <w:p>
      <w:pPr>
        <w:ind w:right="99"/>
        <w:spacing w:after="0" w:line="286"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increased by $31,000 or 4%, from $0.8 million during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March 31, 2016, to $0.9 million during the three months ended March 31, 2017. The increase was primarily attributable to an increase in personnel-related expenses as a result of increased headcount.</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82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89"/>
              </w:rPr>
              <w:t>Change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2017</w:t>
            </w:r>
          </w:p>
        </w:tc>
        <w:tc>
          <w:tcPr>
            <w:tcW w:w="84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230</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   466</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(236)</w:t>
            </w: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(51)%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59" w:firstLine="324"/>
        <w:spacing w:after="0" w:line="264" w:lineRule="auto"/>
        <w:rPr>
          <w:sz w:val="20"/>
          <w:szCs w:val="20"/>
          <w:color w:val="auto"/>
        </w:rPr>
      </w:pPr>
      <w:r>
        <w:rPr>
          <w:rFonts w:ascii="Arial" w:cs="Arial" w:eastAsia="Arial" w:hAnsi="Arial"/>
          <w:sz w:val="18"/>
          <w:szCs w:val="18"/>
          <w:color w:val="auto"/>
        </w:rPr>
        <w:t>Interest expense decreased by $0.2 million or 51%, from $0.5 million during the three months ended March 31, 2016, to $0.2 million during the three months ended March 31, 2017. The decrease was primarily related to the extinguishment of the derivative liability of $0.2 million in the fourth quarter of 2016.</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Income (Expense), Net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13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ind w:left="3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76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379" w:firstLine="324"/>
        <w:spacing w:after="0" w:line="312" w:lineRule="auto"/>
        <w:rPr>
          <w:sz w:val="20"/>
          <w:szCs w:val="20"/>
          <w:color w:val="auto"/>
        </w:rPr>
      </w:pPr>
      <w:r>
        <w:rPr>
          <w:rFonts w:ascii="Arial" w:cs="Arial" w:eastAsia="Arial" w:hAnsi="Arial"/>
          <w:sz w:val="16"/>
          <w:szCs w:val="16"/>
          <w:color w:val="auto"/>
        </w:rPr>
        <w:t>Other income (expense), net was income of $19,000 during the three months ended March 31, 2017 compared to an expense of $57,000 during the three months ended March 31, 2016. The change was primarily related to the fair value remeasurement of our warrant liabilities which were reclassified to equity upon the IPO in October 2016.</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We have generated significant losses since our inception and had an accumulated deficit of $102.5 million as of March 31, 2017. As of March 31, 2017, we had $24.5 million of cash and cash equivalents, compared to $29.7 million as of December 31, 2016.</w:t>
      </w:r>
    </w:p>
    <w:p>
      <w:pPr>
        <w:spacing w:after="0" w:line="18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October 2016, we completed our IPO in which we sold 5,000,000 shares at a price of $8.00 per share for net proceeds of $33.9 million, net of underwriting discounts and commissions, and offering costs. Concurrent with the IPO, we issued 625,000 shares of our common stock in a private placement for net proceeds of $4.7 million, after deducting the placement agent fee.</w:t>
      </w:r>
    </w:p>
    <w:p>
      <w:pPr>
        <w:spacing w:after="0" w:line="187"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In May 2017, we executed a Loan and Security Agreement with Silicon Valley Bank for a $12.0 million term loan. The term of the loan is three years, and will be extended by one year if we achieve a revenue target of $4.0 million for our Spin-Torque product. The loan bears interest at a floating rate equal to the prime rate minus 0.75% and is payable monthly. The outstanding balance of the loan is to be repaid monthly beginning on May 1, 2018 over the remaining term of the loan. The loan is secured by a first priority perfected security interest in our assets excluding any intellectual property.</w:t>
      </w:r>
    </w:p>
    <w:p>
      <w:pPr>
        <w:spacing w:after="0" w:line="15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believe that our existing cash and cash equivalents as of March 31, 2017, together with the additional borrowings available under our credit facilities, will be sufficient to meet our anticipated cash requirements through May 31, 2018. Our ability to access our revolving loan under our credit facility depends upon levels of its accounts receivable and, therefore, the full amount may not be available at any specific time. Our future capital requirements will depend on many factors, including our growth rate, the timing and extent of our spending to support research and development activities, the timing and cost of establishing additional sales and marketing capabilities, and the introduction of new products. If we need to raise additional capital to fund our operations, we may be required to seek additional equity or debt financing, and such additional financing may not be available to us on acceptable terms or at all. If we are unable to raise additional capital or generate sufficient cash from operations to adequately fund our operations, we will need to curtail planned activities to reduce costs and extend the time period over which our current resources will be able to fund operations. Doing so will likely harm our ability to execute on our business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30"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Three Months Ended</w:t>
      </w:r>
    </w:p>
    <w:p>
      <w:pPr>
        <w:ind w:left="60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2017</w:t>
            </w:r>
          </w:p>
        </w:tc>
        <w:tc>
          <w:tcPr>
            <w:tcW w:w="8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r>
      <w:tr>
        <w:trPr>
          <w:trHeight w:val="142"/>
        </w:trPr>
        <w:tc>
          <w:tcPr>
            <w:tcW w:w="4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700" w:type="dxa"/>
            <w:vAlign w:val="bottom"/>
            <w:gridSpan w:val="2"/>
          </w:tcPr>
          <w:p>
            <w:pPr>
              <w:jc w:val="right"/>
              <w:ind w:right="314"/>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9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(4,040)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(2,640)</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960" w:type="dxa"/>
            <w:vAlign w:val="bottom"/>
            <w:gridSpan w:val="2"/>
          </w:tcPr>
          <w:p>
            <w:pPr>
              <w:jc w:val="right"/>
              <w:ind w:right="8"/>
              <w:spacing w:after="0"/>
              <w:rPr>
                <w:sz w:val="20"/>
                <w:szCs w:val="20"/>
                <w:color w:val="auto"/>
              </w:rPr>
            </w:pPr>
            <w:r>
              <w:rPr>
                <w:rFonts w:ascii="Arial" w:cs="Arial" w:eastAsia="Arial" w:hAnsi="Arial"/>
                <w:sz w:val="18"/>
                <w:szCs w:val="18"/>
                <w:color w:val="auto"/>
              </w:rPr>
              <w:t>(470)</w:t>
            </w: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financing activities</w:t>
            </w:r>
          </w:p>
        </w:tc>
        <w:tc>
          <w:tcPr>
            <w:tcW w:w="19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During the three months ended March 31, 2017, cash used in operating activities was $4.0 million, which consisted of a net loss of $6.1 million, adjusted by non-cash charges of $1.0 million and a change of $1.1 million in our net operating assets and liabilities. The non-cash charges primarily consisted of depreciation and amortization of $0.2 million, stock-based compensation of $0.4 million, and compensation expense related to vesting of common stock issued to GLOBALFOUNDRIES under our joint development agreement of $0.3 million. The change in our net operating assets and liabilities was primarily due to a decrease of $0.5 million in accounts receivable due to timing of cash receipts for outstanding balances, a decrease in prepaid and other current assets of $0.2 million, an increase in accounts payable and accrued liabilities of $0.8 million due to the timing of payments and costs related to the move to our new office and laboratory space in Chandler, Arizona, an increase of $0.3 million in the related party amount due to GLOBALFOUNDRIES in connection with the joint development agreement, and an increase of $0.4 million in the related party amount due to NXP. These changes were partially offset by an increase of $0.8 million in inventory to meet demands of future sales and growing backlog and a decrease of $0.4 million in deferred income on shipments to distributors.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During the three months ended March 31, 2016, cash used in operating activities was $2.6 million, which consisted of a net loss of $4.5 million, adjusted by non-cash charges of $1.2 million and an increase of $0.7 million in our net operating assets and liabilities. The non-cash charges primarily consisted of compensation expense related to vesting of common stock issued to GLOBALFOUNDRIES under our joint development agreement of $0.5 million, non-cash interest expense of $0.3 million, depreciation and amortization of $0.2 million, and stock-based compensation of $0.1 million. The increase in our net operating assets and liabilities was primarily due to a net increase of $0.7 million in the related party amount due to GLOBALFOUNDRIES in connection with the joint development agreement and an decrease in accounts receivable of $0.4 million due to timing of cash receipts for outstanding balances, partially offset by an increase of $0.5 million in prepaid expenses and other assets for advances made for the purchase of wafers.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Cash used in investing activities during the three months ended March 31, 2017, was $0.5 million, primarily for the purchase of manufacturing equipment and capitalized costs related to the move to our new office and laboratory space in Chandler, Arizona.</w:t>
      </w:r>
    </w:p>
    <w:p>
      <w:pPr>
        <w:spacing w:after="0" w:line="181"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Cash used in investing activities during the three months ended March 31, 2016, was $67,000, which consisted of capital expenditures primarily for the purchase of manufacturing equipment, and purchased software.</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During the three months ended March 31, 2017, cash used in financing activities was $0.7 million primarily consisting of payments on long-term debt.</w:t>
      </w:r>
    </w:p>
    <w:p>
      <w:pPr>
        <w:spacing w:after="0" w:line="170"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During the three months ended March 31, 2016, cash provided by financing activities was $6.4 million consisting of proceeds from $6.5 million in borrowings partially offset by $0.1 million in payments on a capital lease obligation.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Our contractual obligations as of March 31, 2017, were $12.2 million, compared to $14.5 million as of December 31, 2016. The reduction was due to payments on our long-term debt and a reduction in our operating lease commitments due to the amendment of our lease with Freescale in March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Credit Facility</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June 2015, we entered into a loan and security agreement with Ares Venture Finance for a term loan of $8.0 million and a $4.0 million revolving loan for working capital purposes and to repay our existing debt to another lender. The term loan bears interest at a floating rate equal to the greater of (i) 8.75% or (ii) LIBOR plus 7.75%, and matures in June 2019. The revolving loan bears interest at a floating rate equal to the prime rate plus 3.75% and matures on June 5, 2017. The outstanding balance on our revolving loan is limited to the lesser of $4.0 million or 85% of the outstanding balance of our receivables. Our obligations under the 2015 Credit Facility are secured by substantially all of our assets. The 2015 Credit Facility contains customary covenants restricting our activities, including limitations on our ability to sell assets, engage in mergers and acquisitions, enter into transactions involving related parties, incur indebtedness or grant liens or negative pledges on our assets, make loans or make other investments. Under these covenants, we are prohibited from paying dividends with respect to our capital stock. We were in compliance with all covenants at March 31, 2017. In April 2017, we repaid the outstanding balance of our revolving loan of $1.5 million. In May 2017, we used a portion of the proceeds of the term loan executed with Silicon Valley Bank to pay off the outstanding balance on the 2015 Credit Facility.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have not entered into any off-balance sheet arrangements and do not have any holdings in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79" w:firstLine="324"/>
        <w:spacing w:after="0" w:line="271" w:lineRule="auto"/>
        <w:rPr>
          <w:sz w:val="20"/>
          <w:szCs w:val="20"/>
          <w:color w:val="auto"/>
        </w:rPr>
      </w:pPr>
      <w:r>
        <w:rPr>
          <w:rFonts w:ascii="Arial" w:cs="Arial" w:eastAsia="Arial" w:hAnsi="Arial"/>
          <w:sz w:val="17"/>
          <w:szCs w:val="17"/>
          <w:color w:val="auto"/>
        </w:rPr>
        <w:t>Our condensed financial statements have been prepared in accordance with generally accepted accounting principles in the United States, or U.S.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ind w:right="219" w:firstLine="324"/>
        <w:spacing w:after="0" w:line="264" w:lineRule="auto"/>
        <w:rPr>
          <w:sz w:val="20"/>
          <w:szCs w:val="20"/>
          <w:color w:val="auto"/>
        </w:rPr>
      </w:pPr>
      <w:r>
        <w:rPr>
          <w:rFonts w:ascii="Arial" w:cs="Arial" w:eastAsia="Arial" w:hAnsi="Arial"/>
          <w:sz w:val="18"/>
          <w:szCs w:val="18"/>
          <w:color w:val="auto"/>
        </w:rPr>
        <w:t>There have been no material changes to our critical accounting policies and significant judgments and estimates as compared to the critical accounting policies and significant judgments and estimates disclosed in the Form 10-K filed with the SEC for the year ended December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19" w:firstLine="243"/>
        <w:spacing w:after="0" w:line="264" w:lineRule="auto"/>
        <w:rPr>
          <w:sz w:val="20"/>
          <w:szCs w:val="20"/>
          <w:color w:val="auto"/>
        </w:rPr>
      </w:pPr>
      <w:r>
        <w:rPr>
          <w:rFonts w:ascii="Arial" w:cs="Arial" w:eastAsia="Arial" w:hAnsi="Arial"/>
          <w:sz w:val="18"/>
          <w:szCs w:val="18"/>
          <w:color w:val="auto"/>
        </w:rPr>
        <w:t>We are exposed to market risks in the ordinary course of our business, including the effects of interest rate changes and foreign currency fluctuations. Information relating to quantitative and qualitative disclosures about these markets risks is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19" w:firstLine="324"/>
        <w:spacing w:after="0" w:line="255" w:lineRule="auto"/>
        <w:rPr>
          <w:sz w:val="20"/>
          <w:szCs w:val="20"/>
          <w:color w:val="auto"/>
        </w:rPr>
      </w:pPr>
      <w:r>
        <w:rPr>
          <w:rFonts w:ascii="Arial" w:cs="Arial" w:eastAsia="Arial" w:hAnsi="Arial"/>
          <w:sz w:val="18"/>
          <w:szCs w:val="18"/>
          <w:color w:val="auto"/>
        </w:rPr>
        <w:t>We are primarily exposed to interest rate risk from variable rate borrowings under our 2015 Credit Facility, and to a lesser extent, from our cash position. We do not enter into investments for trading or speculative purposes and have not used any derivative financial instruments to manage our interest rate risk exposure. We have not been exposed to, nor do we anticipate being exposed to, material risks due to changes in interest rates. A hypothetical 10% increase in our borrowing rates would not have a material impact on interest expense on our principal balances as of March 31, 2017 and December 31,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results of operations and cash flows are subject to fluctuations due to changes in foreign currency exchange rates.</w:t>
      </w:r>
    </w:p>
    <w:p>
      <w:pPr>
        <w:spacing w:after="0" w:line="248" w:lineRule="exact"/>
        <w:rPr>
          <w:sz w:val="20"/>
          <w:szCs w:val="20"/>
          <w:color w:val="auto"/>
        </w:rPr>
      </w:pPr>
    </w:p>
    <w:p>
      <w:pPr>
        <w:ind w:right="19" w:firstLine="324"/>
        <w:spacing w:after="0" w:line="273" w:lineRule="auto"/>
        <w:rPr>
          <w:sz w:val="20"/>
          <w:szCs w:val="20"/>
          <w:color w:val="auto"/>
        </w:rPr>
      </w:pPr>
      <w:r>
        <w:rPr>
          <w:rFonts w:ascii="Arial" w:cs="Arial" w:eastAsia="Arial" w:hAnsi="Arial"/>
          <w:sz w:val="17"/>
          <w:szCs w:val="17"/>
          <w:color w:val="auto"/>
        </w:rPr>
        <w:t>Substantially all of our revenue is denominated in United States dollars. Our expenses are generally denominated in United States dollars; however, we do incur expenses in the currencies of our subcontracted manufacturing suppliers, which are located in Europe and in Asia.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financial statements.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have not hedged exposures denominated in foreign currencies or used any other derivative financial instruments.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Although we transact the substantial majority of our business in U.S. dollars, future fluctuations in the value of the U.S.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dollar may affect the competitiveness of our products and thus may impact our results of operations and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119" w:firstLine="324"/>
        <w:spacing w:after="0" w:line="276"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have evaluated our disclosure controls and procedures (as defined in Rules 13a-15(e) and 15d-15(e) under the Securities Exchange Act of 1934, as amended) prior to the filing of this quarterly report. Based on that evaluation, our Chief Executive Officer and our Chief Financial Officer have concluded that, as of the end of the period covered by this quarterly report, our disclosure controls and procedures were effective at the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weakness in internal control over financial reporting.</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 connection with the audit of our financial statements for the years ended December 31, 2016, 2015 and 2014, we identified material weaknesses in our internal control over financial reporting, as defined in the standards established by the Public Company Accounting Oversight Board of the United States. Our management has determined that we had a material weakness in our internal control over financial reporting as of December 31, 2014 and 2015, relating to the design and operation of our financial reporting processes. We have concluded that this material weakness was due to the fact that we did not yet have the appropriate resources with the appropriate level of experience and technical expertise to oversee our closing and financial reporting processes. Our management also determined that we had an additional material weakness in our internal control over financial reporting as of December 31, 2016, relating to information technology general and application controls. We have concluded that this material weakness is due to the current configuration of our ERP system, which is scheduled for additional integration in 2017.</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management implemented a plan that contains the following elements to remediate the identified weakness:</w:t>
      </w:r>
    </w:p>
    <w:p>
      <w:pPr>
        <w:spacing w:after="0" w:line="237" w:lineRule="exact"/>
        <w:rPr>
          <w:sz w:val="20"/>
          <w:szCs w:val="20"/>
          <w:color w:val="auto"/>
        </w:rPr>
      </w:pPr>
    </w:p>
    <w:p>
      <w:pPr>
        <w:ind w:left="580" w:right="420" w:firstLine="26"/>
        <w:spacing w:after="0" w:line="277" w:lineRule="auto"/>
        <w:rPr>
          <w:sz w:val="20"/>
          <w:szCs w:val="20"/>
          <w:color w:val="auto"/>
        </w:rPr>
      </w:pPr>
      <w:r>
        <w:rPr>
          <w:rFonts w:ascii="Arial" w:cs="Arial" w:eastAsia="Arial" w:hAnsi="Arial"/>
          <w:sz w:val="18"/>
          <w:szCs w:val="18"/>
          <w:color w:val="auto"/>
        </w:rPr>
        <w:t>We have hired additional accounting and finance staff members to augment our current staff and to improve the effectiveness of our closing and financial reporting processes;</w:t>
      </w:r>
    </w:p>
    <w:p>
      <w:pPr>
        <w:spacing w:after="0" w:line="170" w:lineRule="exact"/>
        <w:rPr>
          <w:sz w:val="20"/>
          <w:szCs w:val="20"/>
          <w:color w:val="auto"/>
        </w:rPr>
      </w:pPr>
    </w:p>
    <w:p>
      <w:pPr>
        <w:ind w:left="580" w:right="180" w:firstLine="26"/>
        <w:spacing w:after="0" w:line="277" w:lineRule="auto"/>
        <w:rPr>
          <w:sz w:val="20"/>
          <w:szCs w:val="20"/>
          <w:color w:val="auto"/>
        </w:rPr>
      </w:pPr>
      <w:r>
        <w:rPr>
          <w:rFonts w:ascii="Arial" w:cs="Arial" w:eastAsia="Arial" w:hAnsi="Arial"/>
          <w:sz w:val="18"/>
          <w:szCs w:val="18"/>
          <w:color w:val="auto"/>
        </w:rPr>
        <w:t>We have completed the transition of our financials to SAP to facilitate the integration with other company data and systems;</w:t>
      </w:r>
    </w:p>
    <w:p>
      <w:pPr>
        <w:spacing w:after="0" w:line="170" w:lineRule="exact"/>
        <w:rPr>
          <w:sz w:val="20"/>
          <w:szCs w:val="20"/>
          <w:color w:val="auto"/>
        </w:rPr>
      </w:pPr>
    </w:p>
    <w:p>
      <w:pPr>
        <w:ind w:left="580" w:right="240" w:firstLine="29"/>
        <w:spacing w:after="0" w:line="277" w:lineRule="auto"/>
        <w:rPr>
          <w:sz w:val="20"/>
          <w:szCs w:val="20"/>
          <w:color w:val="auto"/>
        </w:rPr>
      </w:pPr>
      <w:r>
        <w:rPr>
          <w:rFonts w:ascii="Arial" w:cs="Arial" w:eastAsia="Arial" w:hAnsi="Arial"/>
          <w:sz w:val="18"/>
          <w:szCs w:val="18"/>
          <w:color w:val="auto"/>
        </w:rPr>
        <w:t>In May of 2016, we added an independent board member with significant semiconductor CFO experience to chair our audit committee;</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have engaged external consultants to assist us with preparation of the financial statements; and</w:t>
      </w:r>
    </w:p>
    <w:p>
      <w:pPr>
        <w:spacing w:after="0" w:line="225" w:lineRule="exact"/>
        <w:rPr>
          <w:sz w:val="20"/>
          <w:szCs w:val="20"/>
          <w:color w:val="auto"/>
        </w:rPr>
      </w:pPr>
    </w:p>
    <w:p>
      <w:pPr>
        <w:ind w:left="580" w:right="460" w:firstLine="26"/>
        <w:spacing w:after="0" w:line="277" w:lineRule="auto"/>
        <w:rPr>
          <w:sz w:val="20"/>
          <w:szCs w:val="20"/>
          <w:color w:val="auto"/>
        </w:rPr>
      </w:pPr>
      <w:r>
        <w:rPr>
          <w:rFonts w:ascii="Arial" w:cs="Arial" w:eastAsia="Arial" w:hAnsi="Arial"/>
          <w:sz w:val="18"/>
          <w:szCs w:val="18"/>
          <w:color w:val="auto"/>
        </w:rPr>
        <w:t>We are formalizing our accounting policies and internal controls, including the information technology general controls, and strengthening supervisory reviews by our management;</w:t>
      </w:r>
    </w:p>
    <w:p>
      <w:pPr>
        <w:spacing w:after="0" w:line="170"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We expect to complete the last noted measure above as soon as practicable and will continue to implement measures to remedy our internal control deficiencies in order to meet the deadline imposed by Section 404 of the Sarbanes-Oxley Act of 2002. Our independent registered public accounting firm has not assessed the effectiveness of our internal control over financial reporting and, under the JOBS Act, will not be required to provide an attestation report on the effectiveness of our internal control over financial reporting so long as we qualify as an “emerging growth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Other than the changes intended to remediate the material weakness noted above, there were no changes in our internal control over financial reporting during the quarter ended March 31, 2017,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are not party to any material legal proceedings at this time. From time to time, we may become involved in various legal proceedings that arise in the ordinary course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could be harmed.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Business and Our Industry</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0"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have incurred net losses since our inception. We incurred net losses of $16.7 million and $6.1 million for the year ended December 31, 2016 and the three months ended March 31, 2017, respectively. As of March 31, 2017, we had an accumulated deficit of $102.5 million. We expect to incur significant expenses related to the continued development and expansion of our business, including in connection with our efforts to develop and improve upon our products and technology, maintain and enhance our research and development and sales and marketing activities and hire additional personnel. Our ability to generate sufficient revenue and to transition to profitability and generate consistent positive cash flows is uncertain. In addition, as a public company, we will incur significant additional legal, accounting and other expenses that we did not incur as a private company. We do not know whether our revenue will grow rapidly enough to absorb these costs, and our limited operating history makes it difficult to assess the extent of these expenses, or their impact on our results of operations.</w:t>
      </w:r>
    </w:p>
    <w:p>
      <w:pPr>
        <w:spacing w:after="0" w:line="195" w:lineRule="exact"/>
        <w:rPr>
          <w:sz w:val="20"/>
          <w:szCs w:val="20"/>
          <w:color w:val="auto"/>
        </w:rPr>
      </w:pPr>
    </w:p>
    <w:p>
      <w:pPr>
        <w:jc w:val="both"/>
        <w:ind w:right="140" w:firstLine="324"/>
        <w:spacing w:after="0" w:line="257" w:lineRule="auto"/>
        <w:rPr>
          <w:sz w:val="20"/>
          <w:szCs w:val="20"/>
          <w:color w:val="auto"/>
        </w:rPr>
      </w:pPr>
      <w:r>
        <w:rPr>
          <w:rFonts w:ascii="Arial" w:cs="Arial" w:eastAsia="Arial" w:hAnsi="Arial"/>
          <w:sz w:val="18"/>
          <w:szCs w:val="18"/>
          <w:color w:val="auto"/>
        </w:rPr>
        <w:t>Further, our revenue may not increase or may decline for a number of possible reasons, many of which are outside our control, including a decline in demand for our products, increased competition, business conditions that adversely affect the semiconductor memory industry, including reduced demand for products in the end markets that we serve, or our failure to capitalize on growth opportunities. If we fail to generate sufficient revenue to support our operations, we may not be able to achieve or sustain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w:t>
      </w:r>
    </w:p>
    <w:p>
      <w:pPr>
        <w:spacing w:after="0" w:line="22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have been in existence as a stand-alone company since 2008, when Freescale Semiconductor, Inc. spun-out its MRAM business as Everspin. We have been shipping magnetoresistive random access memory (MRAM) products since our incorporation in 2008, and we have experienced a high rate of growth for our products. However, we may not be able to sustain the growth rate for sales of these products and our revenue could decline. We have also been developing our next-generation of Spin-Torque MRAM (ST-MRAM) products. Adoption of these products is important to the future growth of our business, but revenue associated with these products has not been material to date.</w:t>
      </w:r>
    </w:p>
    <w:p>
      <w:pPr>
        <w:spacing w:after="0" w:line="17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limited operating history and limited experience selling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and transportation, and enterprise storage industries and changes in macroeconomic conditions. If we do not manage these risks and overcome these difficulties successfully, our business will suffer.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b w:val="1"/>
          <w:bCs w:val="1"/>
          <w:i w:val="1"/>
          <w:iCs w:val="1"/>
          <w:color w:val="auto"/>
        </w:rPr>
        <w:t>We may be unable to match production with customer demand for a variety of reasons including our inability to accurately forecast customer demand or the capacity constraints of our suppliers, which could adversely affect our operating results.</w:t>
      </w:r>
    </w:p>
    <w:p>
      <w:pPr>
        <w:spacing w:after="0" w:line="181"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if we underestimate customer demand or if sufficient manufacturing capacity is unavailable, we could lose sales opportunities and could lose market share or damage our customer relationships. We manufacture MRAM products at our 200mm facility we lease in Chandler, Arizona and use a single foundry, GLOBALFOUNDRIES Singapore Pte. Ltd., for production of higher density products on advanced technology nodes, which may not have sufficient capacity to meet customer demand.The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fund our business, which may not be available to us on favorable terms or at all.</w:t>
      </w:r>
    </w:p>
    <w:p>
      <w:pPr>
        <w:spacing w:after="0" w:line="248" w:lineRule="exact"/>
        <w:rPr>
          <w:sz w:val="20"/>
          <w:szCs w:val="20"/>
          <w:color w:val="auto"/>
        </w:rPr>
      </w:pPr>
    </w:p>
    <w:p>
      <w:pPr>
        <w:ind w:firstLine="401"/>
        <w:spacing w:after="0" w:line="270" w:lineRule="auto"/>
        <w:rPr>
          <w:sz w:val="20"/>
          <w:szCs w:val="20"/>
          <w:color w:val="auto"/>
        </w:rPr>
      </w:pPr>
      <w:r>
        <w:rPr>
          <w:rFonts w:ascii="Arial" w:cs="Arial" w:eastAsia="Arial" w:hAnsi="Arial"/>
          <w:sz w:val="17"/>
          <w:szCs w:val="17"/>
          <w:color w:val="auto"/>
        </w:rPr>
        <w:t>We believe that our existing cash and cash equivalents as of March 31, 2017, together with the additional borrowings available under our credit facility, will be sufficient to meet our anticipated cash requirements through May 31, 2018. Our ability to access the revolving loan under our credit facility depends upon levels of our accounts receivable and, therefore, the full amount may not be available to us at any specific time. Our future capital requirements will depend on many factors, including our growth rate, the timing and extent of our spending to support research and development activities, the timing and cost of establishing additional sales and marketing capabilities, and the introduction of new products. We may be required to seek additional equity or debt financing, and we cannot assure you that any such additional financing will be available to us on acceptable terms or at all. If we are unable to raise additional capital or generate sufficient cash from operations to adequately fund our operations, we will need to curtail planned activities to reduce costs. Doing so will likely harm our ability to execute on our business plan.</w:t>
      </w:r>
    </w:p>
    <w:p>
      <w:pPr>
        <w:spacing w:after="0" w:line="178" w:lineRule="exact"/>
        <w:rPr>
          <w:sz w:val="20"/>
          <w:szCs w:val="20"/>
          <w:color w:val="auto"/>
        </w:rPr>
      </w:pPr>
    </w:p>
    <w:p>
      <w:pPr>
        <w:ind w:right="40" w:firstLine="401"/>
        <w:spacing w:after="0" w:line="297" w:lineRule="auto"/>
        <w:rPr>
          <w:sz w:val="20"/>
          <w:szCs w:val="20"/>
          <w:color w:val="auto"/>
        </w:rPr>
      </w:pPr>
      <w:r>
        <w:rPr>
          <w:rFonts w:ascii="Arial" w:cs="Arial" w:eastAsia="Arial" w:hAnsi="Arial"/>
          <w:sz w:val="16"/>
          <w:szCs w:val="16"/>
          <w:color w:val="auto"/>
        </w:rPr>
        <w:t>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spacing w:after="0" w:line="158"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24" w:lineRule="exact"/>
        <w:rPr>
          <w:sz w:val="20"/>
          <w:szCs w:val="20"/>
          <w:color w:val="auto"/>
        </w:rPr>
      </w:pPr>
    </w:p>
    <w:p>
      <w:pPr>
        <w:ind w:right="100" w:firstLine="401"/>
        <w:spacing w:after="0" w:line="287" w:lineRule="auto"/>
        <w:rPr>
          <w:sz w:val="20"/>
          <w:szCs w:val="20"/>
          <w:color w:val="auto"/>
        </w:rPr>
      </w:pPr>
      <w:r>
        <w:rPr>
          <w:rFonts w:ascii="Arial" w:cs="Arial" w:eastAsia="Arial" w:hAnsi="Arial"/>
          <w:sz w:val="16"/>
          <w:szCs w:val="16"/>
          <w:color w:val="auto"/>
        </w:rPr>
        <w:t>We expect that our new and future generation MRAM products will be applicable to markets in which we are not currently operating. Selling into these markets, including higher density memory markets and the module business could put us into direct competition with our current or potential customers or other competitors with substantially more resources and experience than us.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rely on third parties to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8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78"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Relying on third-party manufacturing, assembly, packaging and testing presents a number of risks, including but not limited to:</w:t>
      </w:r>
    </w:p>
    <w:p>
      <w:pPr>
        <w:spacing w:after="0" w:line="184" w:lineRule="exact"/>
        <w:rPr>
          <w:sz w:val="20"/>
          <w:szCs w:val="20"/>
          <w:color w:val="auto"/>
        </w:rPr>
      </w:pPr>
    </w:p>
    <w:p>
      <w:pPr>
        <w:ind w:left="580" w:right="100" w:firstLine="29"/>
        <w:spacing w:after="0" w:line="264" w:lineRule="auto"/>
        <w:rPr>
          <w:sz w:val="20"/>
          <w:szCs w:val="20"/>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capacity and materials shortages during periods of high demand;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reduced control over delivery schedules, inventories and quality;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unavailability of, or potential delays in obtaining access to, key process technologies;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inability to achieve required production or test capacity and acceptable yields on a timely basis;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misappropriation of our intellectual property;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third party’s ability to perform its obligations due to bankruptcy or other financial constraints;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limited warranties on wafers or products supplied to us;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potential increases in prices.</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currently do not have long-term supply contracts with our third-party contract manufacturers for our MRAM products, including NXP, United Microelectronics Corporation, Taiwan Semiconductor Manufacturing Company, Limited (TSMC), United Test and Assembly Center (UTAC), Advanced Semiconductor Engineering (ASE), and Amkor, and we typically negotiate pricing on a per-purchase order basis and in some cases on an annual basis. Therefore, they are not obligated to perform services or supply components to us for any specific period, in any specific quantities, or at any specific price, except as may be provided in a particular purchase order. During periods of high demand and tight inventories, our third-party foundries and packaging, assembly and testing contractors may allocate capacity to the production of other companies’ products while reducing deliveries to us, or significantly raise their prices. In particular, they may allocate capacity to other customers that are larger and better financed than us or that have long-term agreements, decreasing the capacity available to us. Shortages of capacity available to us may be caused by the actions of their other, large customers that may be difficult to predict, such as major product launches.</w:t>
      </w:r>
    </w:p>
    <w:p>
      <w:pPr>
        <w:spacing w:after="0" w:line="18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
        <w:spacing w:after="0" w:line="297" w:lineRule="auto"/>
        <w:rPr>
          <w:sz w:val="20"/>
          <w:szCs w:val="20"/>
          <w:color w:val="auto"/>
        </w:rPr>
      </w:pPr>
      <w:r>
        <w:rPr>
          <w:rFonts w:ascii="Arial" w:cs="Arial" w:eastAsia="Arial" w:hAnsi="Arial"/>
          <w:sz w:val="16"/>
          <w:szCs w:val="16"/>
          <w:color w:val="auto"/>
        </w:rPr>
        <w:t>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 place. Moreover, if we are unable to find another foundry to manufacture our products or if we have to redesign our core technology, this could cause material harm to our business and operating results.</w:t>
      </w:r>
    </w:p>
    <w:p>
      <w:pPr>
        <w:spacing w:after="0" w:line="158" w:lineRule="exact"/>
        <w:rPr>
          <w:sz w:val="20"/>
          <w:szCs w:val="20"/>
          <w:color w:val="auto"/>
        </w:rPr>
      </w:pPr>
    </w:p>
    <w:p>
      <w:pPr>
        <w:ind w:right="59" w:firstLine="324"/>
        <w:spacing w:after="0" w:line="255" w:lineRule="auto"/>
        <w:rPr>
          <w:sz w:val="20"/>
          <w:szCs w:val="20"/>
          <w:color w:val="auto"/>
        </w:rPr>
      </w:pPr>
      <w:r>
        <w:rPr>
          <w:rFonts w:ascii="Arial" w:cs="Arial" w:eastAsia="Arial" w:hAnsi="Arial"/>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93" w:lineRule="exact"/>
        <w:rPr>
          <w:sz w:val="20"/>
          <w:szCs w:val="20"/>
          <w:color w:val="auto"/>
        </w:rPr>
      </w:pPr>
    </w:p>
    <w:p>
      <w:pPr>
        <w:ind w:right="59" w:firstLine="324"/>
        <w:spacing w:after="0" w:line="257" w:lineRule="auto"/>
        <w:rPr>
          <w:sz w:val="20"/>
          <w:szCs w:val="20"/>
          <w:color w:val="auto"/>
        </w:rPr>
      </w:pPr>
      <w:r>
        <w:rPr>
          <w:rFonts w:ascii="Arial" w:cs="Arial" w:eastAsia="Arial" w:hAnsi="Arial"/>
          <w:sz w:val="18"/>
          <w:szCs w:val="18"/>
          <w:color w:val="auto"/>
        </w:rPr>
        <w:t>If any of our current or future foundries or packaging, assembly and testing subcontractors significantly increases the costs of wafers or other materials or services, interrupts or reduces our supply, including for reasons outside of their control,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joint development agreement and strategic relationships involve numerous risks.</w:t>
      </w:r>
    </w:p>
    <w:p>
      <w:pPr>
        <w:spacing w:after="0" w:line="225" w:lineRule="exact"/>
        <w:rPr>
          <w:sz w:val="20"/>
          <w:szCs w:val="20"/>
          <w:color w:val="auto"/>
        </w:rPr>
      </w:pPr>
    </w:p>
    <w:p>
      <w:pPr>
        <w:ind w:right="339" w:firstLine="324"/>
        <w:spacing w:after="0" w:line="302" w:lineRule="auto"/>
        <w:rPr>
          <w:sz w:val="20"/>
          <w:szCs w:val="20"/>
          <w:color w:val="auto"/>
        </w:rPr>
      </w:pPr>
      <w:r>
        <w:rPr>
          <w:rFonts w:ascii="Arial" w:cs="Arial" w:eastAsia="Arial" w:hAnsi="Arial"/>
          <w:sz w:val="16"/>
          <w:szCs w:val="16"/>
          <w:color w:val="auto"/>
        </w:rPr>
        <w:t>We have entered into strategic relationships to manufacture products and develop new manufacturing process technologies and products. These relationships include our joint development agreement with GLOBALFOUNDRIES to develop advanced MTJ technology and ST-MRAM. These relationships are subject to various risks that could adversely affect the value of our investments and our results of operations. These risks include the following:</w:t>
      </w:r>
    </w:p>
    <w:p>
      <w:pPr>
        <w:spacing w:after="0" w:line="168" w:lineRule="exact"/>
        <w:rPr>
          <w:sz w:val="20"/>
          <w:szCs w:val="20"/>
          <w:color w:val="auto"/>
        </w:rPr>
      </w:pPr>
    </w:p>
    <w:p>
      <w:pPr>
        <w:ind w:left="580" w:right="99" w:firstLine="29"/>
        <w:spacing w:after="0" w:line="264" w:lineRule="auto"/>
        <w:rPr>
          <w:sz w:val="20"/>
          <w:szCs w:val="20"/>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may experience difficulties in transferring technology to a foundry;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may experience difficulties and delays in getting to and/or ramping production at foundries;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control over the operations of foundries is limited;</w:t>
      </w:r>
    </w:p>
    <w:p>
      <w:pPr>
        <w:spacing w:after="0" w:line="225" w:lineRule="exact"/>
        <w:rPr>
          <w:sz w:val="20"/>
          <w:szCs w:val="20"/>
          <w:color w:val="auto"/>
        </w:rPr>
      </w:pPr>
    </w:p>
    <w:p>
      <w:pPr>
        <w:ind w:left="580" w:right="39" w:firstLine="29"/>
        <w:spacing w:after="0" w:line="277" w:lineRule="auto"/>
        <w:rPr>
          <w:sz w:val="20"/>
          <w:szCs w:val="20"/>
          <w:color w:val="auto"/>
        </w:rPr>
      </w:pPr>
      <w:r>
        <w:rPr>
          <w:rFonts w:ascii="Arial" w:cs="Arial" w:eastAsia="Arial" w:hAnsi="Arial"/>
          <w:sz w:val="18"/>
          <w:szCs w:val="18"/>
          <w:color w:val="auto"/>
        </w:rPr>
        <w:t>due to financial constraints, our joint development collaborators may be unable to meet their commitments to us and may pose credit risks for our transactions with them;</w:t>
      </w:r>
    </w:p>
    <w:p>
      <w:pPr>
        <w:spacing w:after="0" w:line="170" w:lineRule="exact"/>
        <w:rPr>
          <w:sz w:val="20"/>
          <w:szCs w:val="20"/>
          <w:color w:val="auto"/>
        </w:rPr>
      </w:pPr>
    </w:p>
    <w:p>
      <w:pPr>
        <w:ind w:left="580" w:right="99" w:firstLine="29"/>
        <w:spacing w:after="0" w:line="277" w:lineRule="auto"/>
        <w:rPr>
          <w:sz w:val="20"/>
          <w:szCs w:val="20"/>
          <w:color w:val="auto"/>
        </w:rPr>
      </w:pPr>
      <w:r>
        <w:rPr>
          <w:rFonts w:ascii="Arial" w:cs="Arial" w:eastAsia="Arial" w:hAnsi="Arial"/>
          <w:sz w:val="18"/>
          <w:szCs w:val="18"/>
          <w:color w:val="auto"/>
        </w:rPr>
        <w:t>due to differing business models or long-term business goals, our collaborators may decide not to join us in funding capital investment, which may result in higher levels of cash expenditures by us;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cash flows may be inadequate to fund increased capital requirements;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may experience difficulties or delays in collecting amounts due to us from our collaborators;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terms of our arrangements may turn out to be unfavorable;</w:t>
      </w:r>
    </w:p>
    <w:p>
      <w:pPr>
        <w:spacing w:after="0" w:line="225" w:lineRule="exact"/>
        <w:rPr>
          <w:sz w:val="20"/>
          <w:szCs w:val="20"/>
          <w:color w:val="auto"/>
        </w:rPr>
      </w:pPr>
    </w:p>
    <w:p>
      <w:pPr>
        <w:ind w:left="580" w:right="139" w:firstLine="29"/>
        <w:spacing w:after="0" w:line="277" w:lineRule="auto"/>
        <w:rPr>
          <w:sz w:val="20"/>
          <w:szCs w:val="20"/>
          <w:color w:val="auto"/>
        </w:rPr>
      </w:pPr>
      <w:r>
        <w:rPr>
          <w:rFonts w:ascii="Arial" w:cs="Arial" w:eastAsia="Arial" w:hAnsi="Arial"/>
          <w:sz w:val="18"/>
          <w:szCs w:val="18"/>
          <w:color w:val="auto"/>
        </w:rPr>
        <w:t>we are migrating toward a fabless model as 300mm production becomes required and this increases risks related to less control over our critical production processes; and</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tax, legal, or regulatory requirements may necessitate changes in our agreements.</w:t>
      </w:r>
    </w:p>
    <w:p>
      <w:pPr>
        <w:spacing w:after="0" w:line="225" w:lineRule="exact"/>
        <w:rPr>
          <w:sz w:val="20"/>
          <w:szCs w:val="20"/>
          <w:color w:val="auto"/>
        </w:rPr>
      </w:pPr>
    </w:p>
    <w:p>
      <w:pPr>
        <w:jc w:val="both"/>
        <w:ind w:right="99" w:firstLine="324"/>
        <w:spacing w:after="0" w:line="312" w:lineRule="auto"/>
        <w:rPr>
          <w:sz w:val="20"/>
          <w:szCs w:val="20"/>
          <w:color w:val="auto"/>
        </w:rPr>
      </w:pPr>
      <w:r>
        <w:rPr>
          <w:rFonts w:ascii="Arial" w:cs="Arial" w:eastAsia="Arial" w:hAnsi="Arial"/>
          <w:sz w:val="16"/>
          <w:szCs w:val="16"/>
          <w:color w:val="auto"/>
        </w:rPr>
        <w:t>Further, GLOBALFOUNDRIES may terminate the joint development agreement with us if we materially breach a term of the agreement, such as, but not limited to, by our failing to pay any undisputed sum which has been outstanding for 45 or more days from the date of invoice, and fail to remedy the breach within 60 days after receiving notice from</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GLOBALFOUNDRIES. If GLOBALFOUNDRIES terminates the joint development agreement, our ability to continue to develop our MRAM technology will be significantly impaired.</w:t>
      </w:r>
    </w:p>
    <w:p>
      <w:pPr>
        <w:spacing w:after="0" w:line="170"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If our strategic relationships are unsuccessful, our business, results of operations, or financial condition may be materially adversely affected.</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market for semiconductor memory products is characterized by declines in average selling prices, which we expect to continue, and which could negatively affect our revenue and margins.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customers expect the average selling price of our products to decrease year-over-year and we expect this trend to continue. When such pricing declines occur, we may not be able to mitigate the effects by selling more or higher margin units, or by reducing our manufacturing costs. In such circumstances, our operating results could be materially and adversely affected. Our stand-alone and embedded MRAM products have experienced declining average selling prices over their life cycle. The rate of decline may be affected by a number of factors, including relative supply and demand, the level of competition, production costs and technological changes. As a result of the decreasing average selling prices of our products following their launch, our ability to increase or maintain our margins depends on our ability to introduce new or enhanced products with higher average selling prices and to reduce our per-unit cost of sales and our operating costs. We may not be able to reduce our costs as rapidly as companies that operate their own manufacturing, assembly and testing facilities, and our costs may even increase because we rely in part on third parties to manufacture, assemble and test our products, which could also reduce our gross margins. In addition, our new or enhanced products may not be as successful or enjoy as high margins as we expect. If we are unable to offset any reductions in average selling prices by introducing new products with higher average selling prices or reducing our costs, our revenue and margins will be negatively affected and may decrease.</w:t>
      </w:r>
    </w:p>
    <w:p>
      <w:pPr>
        <w:spacing w:after="0" w:line="175"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The semiconductor memory market is highly cyclical and has experienced severe downturns in the past, generally as a result of wide fluctuations in supply and demand, constant and rapid technological change, continuous new product introductions and price erosion. During downturns, periods of intense competition, or the presence of oversupply in the industry, the selling prices for our products may decline at a high rate over relatively short time periods as compared to historical rates of decline. We are unable to predict selling prices for any future periods and may experience unanticipated, sharp declines in selling prices for our products.</w:t>
      </w:r>
    </w:p>
    <w:p>
      <w:pPr>
        <w:spacing w:after="0" w:line="19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170"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We have significant customer sales both in the U.S.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serious financial difficulties or cease operations, our business will be adversely affected. In addition, the adverse impact of an unfavorable economy may adversely impact customer spending, which may adversely impact demand for our products.</w:t>
      </w:r>
    </w:p>
    <w:p>
      <w:pPr>
        <w:spacing w:after="0" w:line="15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8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To compete effectively in our markets, we must continually design, develop and introduce new and improved products with improved features in a cost-effective manner in response to changing technologies and market demand. This requires us to devote substantial financial and other resources to research and development. We are developing next-generation products, which we expect to be one of the drivers of our revenue growth in the future. However, we may not succeed in developing and marketing these new and enhanced products.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new generations of our products, our revenue could decline and our business, financial condition, results of operations and cash flows would be negatively affected. For example, we generated limited revenue from sales of our ST-MRAM</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products to date. While we expect revenue from our ST-MRAM products to increase, if we are unable to scale MRAM to gigabit densities to address applications currently served by DRAM,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5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66"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sell to customers that incorporate MRAM into their products. A design win occurs after a customer has tested our product, verified that it meets the customer’s requirements and qualified our solutions for their products. We believe we are dependent on the adoption of our 256Mb and 1Gb MRAM products by our customers to secure design wins.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 Any delay in the development of our 256Mb and 1Gb MRAM products, or failure of our customers to adopt our 256Mb and 1Gb MRAM products, could inhibit revenue growth or cause declines, which would significantly harm our business and prevent us from becoming profitable.</w:t>
      </w:r>
    </w:p>
    <w:p>
      <w:pPr>
        <w:spacing w:after="0" w:line="16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If a current or prospective customer designs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 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178"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We rely on our relationships with OEMs and ODMs to enhance our solutions and market position, and our failure to continue to develop or maintain such relationships in the future would harm our ability to remain competitive.</w:t>
      </w:r>
    </w:p>
    <w:p>
      <w:pPr>
        <w:spacing w:after="0" w:line="124" w:lineRule="exact"/>
        <w:rPr>
          <w:sz w:val="20"/>
          <w:szCs w:val="20"/>
          <w:color w:val="auto"/>
        </w:rPr>
      </w:pPr>
    </w:p>
    <w:p>
      <w:pPr>
        <w:jc w:val="both"/>
        <w:ind w:right="220" w:firstLine="324"/>
        <w:spacing w:after="0" w:line="288" w:lineRule="auto"/>
        <w:rPr>
          <w:sz w:val="20"/>
          <w:szCs w:val="20"/>
          <w:color w:val="auto"/>
        </w:rPr>
      </w:pPr>
      <w:r>
        <w:rPr>
          <w:rFonts w:ascii="Arial" w:cs="Arial" w:eastAsia="Arial" w:hAnsi="Arial"/>
          <w:sz w:val="16"/>
          <w:szCs w:val="16"/>
          <w:color w:val="auto"/>
        </w:rPr>
        <w:t>We develop our products for leading OEMs and ODMs that serve a variety of end markets and are developing devices for automotive, transportation, industrial and storage applications. For each application, manufacturers create products that incorporate specialized semiconductor technology, which makers of memory products use as the basis for their products.</w:t>
      </w:r>
    </w:p>
    <w:p>
      <w:pPr>
        <w:ind w:right="120"/>
        <w:spacing w:after="0" w:line="286" w:lineRule="auto"/>
        <w:rPr>
          <w:sz w:val="20"/>
          <w:szCs w:val="20"/>
          <w:color w:val="auto"/>
        </w:rPr>
      </w:pPr>
      <w:r>
        <w:rPr>
          <w:rFonts w:ascii="Arial" w:cs="Arial" w:eastAsia="Arial" w:hAnsi="Arial"/>
          <w:sz w:val="16"/>
          <w:szCs w:val="16"/>
          <w:color w:val="auto"/>
        </w:rPr>
        <w:t>These manufacturers set the specifications for many of the key components to be used on each generation of their products and, in the case of memory components, generally qualify only a few vendors to provide memory components for their products. As each new generation of their products is released, vendors are validated in a similar fashion. We must work closely with OEMs and ODMs to ensure our products become qualified for use in their products. As a result, maintaining close relationships with leading OEMs and ODMs that are developing devices for automotive, transportation, industrial and storage applications is crucial to the long-term success of our business. We could lose these relationships for a variety of reasons, including our failure to qualify as a vendor, our failure to demonstrate the value of our new solutions, declines in product quality, or if OEMs or ODMs seek to work with vendors with broader product suites, greater production capacity or greater financial resources. If our relationships with key industry participants were to deteriorate or if our solutions were not qualified by our customers, our market position and revenue could be materially and adversely affected.</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70"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We have derived and expect to continue to derive a significant portion of our revenues from a small group of customers during any particular period due in part to the concentration of market share in the semiconductor industry. Our five largest end customers together accounted for 36% of our total revenue for the three months ended March 31, 2017. One of these customers accounted for more than 10% of our revenue during the period. Our four largest end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customers together accounted for 32% of our total revenue for the year ended December 31, 2016, but none of these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can fluctuate from period to period, which could cause our share price to fluctuate.</w:t>
      </w:r>
    </w:p>
    <w:p>
      <w:pPr>
        <w:spacing w:after="0" w:line="23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results of operations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report: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receipt, reduction, delay or cancellation of orders by large customers;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gain or loss of significant customers or distributors;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timing and success of our launch of new or enhanced products and those of our competitors;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market acceptance of our products and our customers’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level of growth or decline in the industrial, automotive and transportation, enterprise storage and other markets;</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timing and extent of research and development and sales and marketing expenditures;</w:t>
      </w:r>
    </w:p>
    <w:p>
      <w:pPr>
        <w:spacing w:after="0" w:line="225" w:lineRule="exact"/>
        <w:rPr>
          <w:sz w:val="20"/>
          <w:szCs w:val="20"/>
          <w:color w:val="auto"/>
        </w:rPr>
      </w:pPr>
    </w:p>
    <w:p>
      <w:pPr>
        <w:ind w:left="580" w:right="220" w:firstLine="29"/>
        <w:spacing w:after="0" w:line="277" w:lineRule="auto"/>
        <w:rPr>
          <w:sz w:val="20"/>
          <w:szCs w:val="20"/>
          <w:color w:val="auto"/>
        </w:rPr>
      </w:pPr>
      <w:r>
        <w:rPr>
          <w:rFonts w:ascii="Arial" w:cs="Arial" w:eastAsia="Arial" w:hAnsi="Arial"/>
          <w:sz w:val="18"/>
          <w:szCs w:val="18"/>
          <w:color w:val="auto"/>
        </w:rPr>
        <w:t>the amount and timing of operating expenses related to the maintenance and expansion of our business, operations and infrastructure;</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our product mix;</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reduce the manufacturing costs of our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competitive pressures resulting in lower than expected average selling prices;</w:t>
      </w:r>
    </w:p>
    <w:p>
      <w:pPr>
        <w:spacing w:after="0" w:line="225" w:lineRule="exact"/>
        <w:rPr>
          <w:sz w:val="20"/>
          <w:szCs w:val="20"/>
          <w:color w:val="auto"/>
        </w:rPr>
      </w:pPr>
    </w:p>
    <w:p>
      <w:pPr>
        <w:ind w:left="580" w:right="400" w:firstLine="29"/>
        <w:spacing w:after="0" w:line="277" w:lineRule="auto"/>
        <w:rPr>
          <w:sz w:val="20"/>
          <w:szCs w:val="20"/>
          <w:color w:val="auto"/>
        </w:rPr>
      </w:pPr>
      <w:r>
        <w:rPr>
          <w:rFonts w:ascii="Arial" w:cs="Arial" w:eastAsia="Arial" w:hAnsi="Arial"/>
          <w:sz w:val="18"/>
          <w:szCs w:val="18"/>
          <w:color w:val="auto"/>
        </w:rPr>
        <w:t>fluctuations in sales by and inventory levels of OEMs and ODMs that incorporate our memory products in their products;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cyclical and seasonal fluctuations in our markets;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fluctuations in the manufacturing yields of our third-party manufacturers;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quality issues that arise from manufacturing issues at our third-party manufacturers;</w:t>
      </w:r>
    </w:p>
    <w:p>
      <w:pPr>
        <w:spacing w:after="0" w:line="225" w:lineRule="exact"/>
        <w:rPr>
          <w:sz w:val="20"/>
          <w:szCs w:val="20"/>
          <w:color w:val="auto"/>
        </w:rPr>
      </w:pPr>
    </w:p>
    <w:p>
      <w:pPr>
        <w:ind w:left="580" w:right="120" w:firstLine="29"/>
        <w:spacing w:after="0" w:line="264" w:lineRule="auto"/>
        <w:rPr>
          <w:sz w:val="20"/>
          <w:szCs w:val="20"/>
          <w:color w:val="auto"/>
        </w:rPr>
      </w:pPr>
      <w:r>
        <w:rPr>
          <w:rFonts w:ascii="Arial" w:cs="Arial" w:eastAsia="Arial" w:hAnsi="Arial"/>
          <w:sz w:val="18"/>
          <w:szCs w:val="18"/>
          <w:color w:val="auto"/>
        </w:rPr>
        <w:t>events that impact the availability of production capacity at our third-party subcontractors and other interruptions in the supply chain including due to geopolitical events, natural disasters, materials shortages, bankruptcy or other causes;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supply constraints for and changes in the cost of the other components incorporated into our customers’ products;</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timing of expenses related to the acquisition of technologies or businesses;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product rates of return or price concessions in excess of those expected or forecasted;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costs associated with the repair and replacement of defective products;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unexpected inventory write-downs or write-offs;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costs associated with litigation over intellectual property rights and other litigation;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length and unpredictability of the purchasing and budgeting cycles of our customers;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loss of key personnel or the inability to attract qualified engineers;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geopolitical events, such as war, threat of war or terrorist actions, or the occurrence of natural disasters.</w:t>
      </w:r>
    </w:p>
    <w:p>
      <w:pPr>
        <w:spacing w:after="0" w:line="225"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The semiconductor memory industry is highly cyclical and our markets may experience significant cyclical fluctuations in demand as a result of changing economic conditions, budgeting and buying patterns of customers and others factors. As a result of these and other factors affecting demand for our products and our results of operations in any given period, the results of any prior quarterly or annual periods should not be relied upon as indicative of our future revenue or operating performance. Fluctuations in our revenue and operating results could also cause our stock price to decline.</w:t>
      </w:r>
    </w:p>
    <w:p>
      <w:pPr>
        <w:spacing w:after="0" w:line="15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sales of our customers’ products decline or if their products do not achieve market acceptance, our business and operating results could be adversely affected.</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revenue depends on our customers’ ability to commercialize their products successfully. The markets for our customers’ products are extremely competitive and are characterized by rapid technological change. Competition in our customers’ markets is based on a variety of factors including price, performance, product quality, marketing and distribution capability, customer support, name recognition and financial strength. As a result of rapid technological change, the markets for our customers’ products are characterized by frequent product introductions, short product life cycles, fluctuating demand and increasing product capabilities. As a result, our customers’ products may not achieve market success or may become obsolete. We cannot assure you that our customers will dedicate the resources necessary to promote and commercialize their products, successfully execute their business strategies for such products, or be able to manufacture such products in quantities sufficient to meet demand or cost-effectively manufacture products at a high volume. Our customers do not have contracts with us that require them to manufacture, distribute or sell any products. Moreover, our customers may develop internally, or in collaboration with our competitors, technology that they may utilize instead of the technology available to them through us. Our customers’ failure to achieve market success for their products, including as a result of general declines in our customers’ markets or industries, could negatively affect their willingness to utilize our products, which may result in a decrease in our revenue and negatively affect our business and operating results.</w:t>
      </w:r>
    </w:p>
    <w:p>
      <w:pPr>
        <w:spacing w:after="0" w:line="17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revenue also depends on the timely introduction, quality and market acceptance of our customers’ products that incorporate our solutions. Our customers’ products are often very complex and subject to design complexities that may result in design flaws, as well as potential defects, errors and bugs. We incur significant design and development costs in connection with designing our solutions for customers’ products. If our customers discover design flaws, defects, errors or bugs in their products, or if they experience changing market requirements, failed evaluations or field trials, or issues with other vendors, they may delay, change or cancel a project. If we have already incurred significant development costs, we may not be able to recoup those costs, which in turn would adversely affect our business and financial results.</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Cypress, Fujitsu, Integrated Silicon Solution, Macronix, Microchip, Micron, Renesas, Samsung, and Toshiba. The main competition for sensor products includes AMR, Crocus, GMR and Hall Effect. These technologies directly compete with our products and are supplied by Alps, Asahi Kasei</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Microdevices, Fairchild, Invensys (now Schneider), Kionix and Micronas. In addition, as the MRAM market opportunity grows, we expect new entrants such as Avalanche will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ability to compete successfully depends on factors both within and outside of our control, including:</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functionality and performance of our products and those of our competitors;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relationships with our customers and other industry participants;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prices of our products and prices of our competitors’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develop innovative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competitors’ greater resources to make acquisitions;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obtain adequate capital to finance operations;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retain high-level talent, including our management team and engineers; and</w:t>
      </w:r>
    </w:p>
    <w:p>
      <w:pPr>
        <w:spacing w:after="0" w:line="225" w:lineRule="exact"/>
        <w:rPr>
          <w:sz w:val="20"/>
          <w:szCs w:val="20"/>
          <w:color w:val="auto"/>
        </w:rPr>
      </w:pPr>
    </w:p>
    <w:p>
      <w:pPr>
        <w:ind w:left="580" w:right="40" w:firstLine="29"/>
        <w:spacing w:after="0" w:line="277" w:lineRule="auto"/>
        <w:rPr>
          <w:sz w:val="20"/>
          <w:szCs w:val="20"/>
          <w:color w:val="auto"/>
        </w:rPr>
      </w:pPr>
      <w:r>
        <w:rPr>
          <w:rFonts w:ascii="Arial" w:cs="Arial" w:eastAsia="Arial" w:hAnsi="Arial"/>
          <w:sz w:val="18"/>
          <w:szCs w:val="18"/>
          <w:color w:val="auto"/>
        </w:rPr>
        <w:t>the actions of our competitors, including merger and acquisition activity, launches of new products and other actions that could change the competitive landscape.</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Competition could result in pricing pressure, reduced revenue and loss of market share, any of which could materially and adversely affect our business, results of operations and prospects. 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Our customers require our products and our third-party contractors to undergo a lengthy and expensive qualification process. If we are unsuccessful or delayed in qualifying any of our products with a customer, our business and operating results would suffer.</w:t>
      </w:r>
    </w:p>
    <w:p>
      <w:pPr>
        <w:spacing w:after="0" w:line="18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Prior to selecting and purchasing our products, our customers typically require that our products undergo extensive qualification processes, which involve testing of our products in the customers’ systems, as well as testing for reliability. This qualification process may continue for several months or years. However, obtaining the requisite qualifications for a memory product does not assure any sales of the product. Even after successful qualification and sales of a product to a customer, a subsequent revision in our third-party contractors’ manufacturing process or our selection of a new contract manufacturer may require a new qualification process, which may result in delays and excess or obsolete inventory. After our products are qualified and selected, it can and often does take several months or more before the customer commences volume production of systems that incorporate our products. Despite these uncertainties, we devote substantial resources, including design, engineering, sales, marketing and management efforts, to qualify our products with customers in anticipation of sales. If we are unsuccessful or delayed in qualifying any of our products with a customer, sales of those products may be precluded or delayed, which may impede our growth and harm our business.</w:t>
      </w:r>
    </w:p>
    <w:p>
      <w:pPr>
        <w:spacing w:after="0" w:line="1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costs may increase substantially if we or our third-party manufacturing contractors do not achieve satisfactory product yields or quality.</w:t>
      </w:r>
    </w:p>
    <w:p>
      <w:pPr>
        <w:spacing w:after="0" w:line="170"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ST-MRAM products.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will increase our costs and reduce our gross margin. In addition to significantly harming our results of operations and cash flow, poor yields may delay shipment of our products and harm our relationships with existing and potential customers.</w:t>
      </w:r>
    </w:p>
    <w:p>
      <w:pPr>
        <w:spacing w:after="0" w:line="16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complexity of our products may lead to defects, which could negatively impact our reputation with customers and result in liability.</w:t>
      </w:r>
    </w:p>
    <w:p>
      <w:pPr>
        <w:spacing w:after="0" w:line="1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you that problems will not be found in new products, both before and after commencement of commercial production, despite testing by us, our suppliers or our customers. Any such problems could result in:</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delays in development, manufacture and roll-out of new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additional development costs;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loss of, or delays in, market acceptance;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diversion of technical and other resources from our other development efforts;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claims for damages by our customers or others against us;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loss of credibility with our current and prospective customers.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Any such event could have a material adverse effect on our business, financial condition and results of operations.</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8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 We may face difficulties, delays and increased expense as we transition our products to new processes, and potentially to new foundries. We will depend on our third-party foundries as we transition to new processes. We cannot assure you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83"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As smaller line width geometry manufacturing processes become more prevalent, we intend to move our future products to increasingly smaller geometries to reduce costs while integrating greater levels of functionality into our products. This transition will require us and our third-party foundries to migrate to new designs and manufacturing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processes for smaller geometry products. We may not be able to achieve smaller geometries with higher levels of design integration or to deliver new integrated products on a timely basis. We periodically evaluate the benefits, on a product-by-product basis, of migrating to smaller geometry process technologies to reduce our costs and increase performance. We are dependent on our relationships with our third-party foundries to transition to smaller geometry processes successfully. We cannot assure you that our third-party foundries will be able to effectively manage any such transition. If we or our third-party foundries experience significant delays in any such transition or fail to implement a transition, our business, financial condition and results of operations could be materially harmed.</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70"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7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addition to patents, we also rely on contractual protections with our customers, suppliers, distributors, employees and consultants, and we implement security measures designed to protect our trade secrets and know-how. However, we cannot assure you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88"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counterclaims against us. Our failure to secure, protect and enforce our intellectual property rights could materially harm our business.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6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19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cease the manufacture, use or sale of the infringing products, processes or technology;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pay substantial damages for infringement;</w:t>
      </w:r>
    </w:p>
    <w:p>
      <w:pPr>
        <w:spacing w:after="0" w:line="225" w:lineRule="exact"/>
        <w:rPr>
          <w:sz w:val="20"/>
          <w:szCs w:val="20"/>
          <w:color w:val="auto"/>
        </w:rPr>
      </w:pPr>
    </w:p>
    <w:p>
      <w:pPr>
        <w:ind w:left="580" w:right="640" w:firstLine="29"/>
        <w:spacing w:after="0" w:line="277" w:lineRule="auto"/>
        <w:rPr>
          <w:sz w:val="20"/>
          <w:szCs w:val="20"/>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70" w:lineRule="exact"/>
        <w:rPr>
          <w:sz w:val="20"/>
          <w:szCs w:val="20"/>
          <w:color w:val="auto"/>
        </w:rPr>
      </w:pPr>
    </w:p>
    <w:p>
      <w:pPr>
        <w:ind w:left="580" w:right="80" w:firstLine="29"/>
        <w:spacing w:after="0" w:line="277" w:lineRule="auto"/>
        <w:rPr>
          <w:sz w:val="20"/>
          <w:szCs w:val="20"/>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170" w:lineRule="exact"/>
        <w:rPr>
          <w:sz w:val="20"/>
          <w:szCs w:val="20"/>
          <w:color w:val="auto"/>
        </w:rPr>
      </w:pPr>
    </w:p>
    <w:p>
      <w:pPr>
        <w:ind w:left="580" w:right="300" w:firstLine="29"/>
        <w:spacing w:after="0" w:line="277" w:lineRule="auto"/>
        <w:rPr>
          <w:sz w:val="20"/>
          <w:szCs w:val="20"/>
          <w:color w:val="auto"/>
        </w:rPr>
      </w:pPr>
      <w:r>
        <w:rPr>
          <w:rFonts w:ascii="Arial" w:cs="Arial" w:eastAsia="Arial" w:hAnsi="Arial"/>
          <w:sz w:val="18"/>
          <w:szCs w:val="18"/>
          <w:color w:val="auto"/>
        </w:rPr>
        <w:t>cross-license our technology to a competitor to resolve an infringement claim, which could weaken our ability to compete with that competitor; or</w:t>
      </w:r>
    </w:p>
    <w:p>
      <w:pPr>
        <w:spacing w:after="0" w:line="170" w:lineRule="exact"/>
        <w:rPr>
          <w:sz w:val="20"/>
          <w:szCs w:val="20"/>
          <w:color w:val="auto"/>
        </w:rPr>
      </w:pPr>
    </w:p>
    <w:p>
      <w:pPr>
        <w:ind w:left="580" w:right="20" w:firstLine="29"/>
        <w:spacing w:after="0" w:line="277" w:lineRule="auto"/>
        <w:rPr>
          <w:sz w:val="20"/>
          <w:szCs w:val="20"/>
          <w:color w:val="auto"/>
        </w:rPr>
      </w:pPr>
      <w:r>
        <w:rPr>
          <w:rFonts w:ascii="Arial" w:cs="Arial" w:eastAsia="Arial" w:hAnsi="Arial"/>
          <w:sz w:val="18"/>
          <w:szCs w:val="18"/>
          <w:color w:val="auto"/>
        </w:rPr>
        <w:t>pay substantial damages to our customers to discontinue their use of or to replace infringing technology sold to them with non-infringing technology, if available.</w:t>
      </w:r>
    </w:p>
    <w:p>
      <w:pPr>
        <w:spacing w:after="0" w:line="17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9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realize substantial revenue from our significant investments in research and development could harm our operating results and distract management, harming our business.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key employees are at-will employees and although we issued refresh equity awards to our personnel in connection with our initial public offering, and repriced options in mid-December 2016 to reflect our then current stock price, there can be no assurance that these awards will be effective to retain our key employees. If we lose the services of any key senior management member or employee, we may not be able to locate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18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18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As we continue to expand our business, we expect our headcount and overall size of our operations to grow significantly. To effectively manage our growth, we must continue to expand our operational, engineering and financial systems, procedures and controls and to improve our accounting and other internal management systems, such as our new ERP system that we have recently implemented. This may require substantial managerial and financial resources, and our efforts in this regard may not be successful. Our current systems, procedures and controls may not be adequate to support our future operations. If we fail to adequately manage our growth, or to improve our operational, financial and management information systems, or fail to effectively motivate or manage our new and future employees, the quality of our products and the management of our operations could suffer, which could adversely affect our operating results.</w:t>
      </w:r>
    </w:p>
    <w:p>
      <w:pPr>
        <w:spacing w:after="0" w:line="166" w:lineRule="exact"/>
        <w:rPr>
          <w:sz w:val="20"/>
          <w:szCs w:val="20"/>
          <w:color w:val="auto"/>
        </w:rPr>
      </w:pPr>
    </w:p>
    <w:p>
      <w:pPr>
        <w:ind w:right="520"/>
        <w:spacing w:after="0" w:line="381" w:lineRule="auto"/>
        <w:rPr>
          <w:sz w:val="20"/>
          <w:szCs w:val="20"/>
          <w:color w:val="auto"/>
        </w:rPr>
      </w:pPr>
      <w:r>
        <w:rPr>
          <w:rFonts w:ascii="Arial" w:cs="Arial" w:eastAsia="Arial" w:hAnsi="Arial"/>
          <w:sz w:val="15"/>
          <w:szCs w:val="15"/>
          <w:b w:val="1"/>
          <w:bCs w:val="1"/>
          <w:i w:val="1"/>
          <w:iCs w:val="1"/>
          <w:color w:val="auto"/>
        </w:rPr>
        <w:t>We may engage in acquisitions of, or investments in, other companies, each of which may divert our management’s attention, result in additional dilution to stockholders or use resources that are necessary to operate our business.</w:t>
      </w:r>
    </w:p>
    <w:p>
      <w:pPr>
        <w:spacing w:after="0" w:line="10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may in the future seek to acquire or invest in businesses, products or technologies that we believe could complement or expand our business, enhance our technical capabilities or otherwise offer growth opportunities. However, our term loan and revolving credit facility prohibits our ability to merge with or acquire any other entity. Even if we were allowed to pursue such acquisitions or investments, they could create risks for us, including:</w:t>
      </w:r>
    </w:p>
    <w:p>
      <w:pPr>
        <w:spacing w:after="0" w:line="187" w:lineRule="exact"/>
        <w:rPr>
          <w:sz w:val="20"/>
          <w:szCs w:val="20"/>
          <w:color w:val="auto"/>
        </w:rPr>
      </w:pPr>
    </w:p>
    <w:p>
      <w:pPr>
        <w:ind w:left="580" w:right="300" w:firstLine="29"/>
        <w:spacing w:after="0" w:line="312" w:lineRule="auto"/>
        <w:rPr>
          <w:sz w:val="20"/>
          <w:szCs w:val="20"/>
          <w:color w:val="auto"/>
        </w:rPr>
      </w:pPr>
      <w:r>
        <w:rPr>
          <w:rFonts w:ascii="Arial" w:cs="Arial" w:eastAsia="Arial" w:hAnsi="Arial"/>
          <w:sz w:val="16"/>
          <w:szCs w:val="16"/>
          <w:color w:val="auto"/>
        </w:rPr>
        <w:t>difficulties in assimilating acquired personnel, operations and technologies or realizing synergies expected in connection with an acquisition, particularly with acquisitions of companies with large and widespread operations, complex products or that operate in markets in which we historically have had limited experience;</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unanticipated costs or liabilities, including possible litigation, associated with the acquisition;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incurrence of acquisition-related costs;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diversion of management’s attention from other business concerns;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use of resources that are needed in other parts of our business;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use of substantial portions of our available cash to consummate an acquisition.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A significant portion of the purchase price of companies we acquire may be allocated to acquired goodwill, which must be assessed for impairment at least annually. If such acquisitions do not yield expected returns, we may be required to take charges to our earnings based on this impairment assessment process, which could harm our results of operations.</w:t>
      </w:r>
    </w:p>
    <w:p>
      <w:pPr>
        <w:spacing w:after="0" w:line="14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be unable to complete acquisitions at all or on commercially reasonable terms, which could limit our future growth. Acquisitions could also result in dilutive issuances of equity securities or the incurrence of additional debt, which could adversely affect our operating results and result in a decline in our stock price and further restrict our ability to pursue business opportunities, including potential acquisitions. In addition, if an acquired business fails to meet our expectations, our operating results may suffer.</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maintain operations outside of the United States and intend to expand our international operations, which exposes us to significant risks.</w:t>
      </w:r>
    </w:p>
    <w:p>
      <w:pPr>
        <w:spacing w:after="0" w:line="170"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have limited operations in Europe and Asia. We intend to expand our operations internationally. 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Among the risks we believe are most likely to affect us are:</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difficulties, inefficiencies and costs associated with staffing and managing foreign operations;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longer and more difficult customer qualification and credit checks;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greater difficulty collecting accounts receivable and longer payment cycles;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need for various local approvals to operate in some countries;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difficulties in entering some foreign markets without larger-scale local operations;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compliance with local laws and regulations;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unexpected changes in regulatory requirements, including the elimination of tax holidays;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reduced protection for intellectual property rights in some countries;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adverse tax consequences as a result of repatriating cash generated from foreign operations to the United States;</w:t>
      </w:r>
    </w:p>
    <w:p>
      <w:pPr>
        <w:spacing w:after="0" w:line="248" w:lineRule="exact"/>
        <w:rPr>
          <w:sz w:val="20"/>
          <w:szCs w:val="20"/>
          <w:color w:val="auto"/>
        </w:rPr>
      </w:pPr>
    </w:p>
    <w:p>
      <w:pPr>
        <w:ind w:left="580" w:right="600" w:firstLine="29"/>
        <w:spacing w:after="0" w:line="277" w:lineRule="auto"/>
        <w:rPr>
          <w:sz w:val="20"/>
          <w:szCs w:val="20"/>
          <w:color w:val="auto"/>
        </w:rPr>
      </w:pPr>
      <w:r>
        <w:rPr>
          <w:rFonts w:ascii="Arial" w:cs="Arial" w:eastAsia="Arial" w:hAnsi="Arial"/>
          <w:sz w:val="18"/>
          <w:szCs w:val="18"/>
          <w:color w:val="auto"/>
        </w:rPr>
        <w:t>adverse tax consequences, including potential additional tax exposure if we are deemed to have established a permanent establishment outside of the United States;</w:t>
      </w:r>
    </w:p>
    <w:p>
      <w:pPr>
        <w:spacing w:after="0" w:line="170" w:lineRule="exact"/>
        <w:rPr>
          <w:sz w:val="20"/>
          <w:szCs w:val="20"/>
          <w:color w:val="auto"/>
        </w:rPr>
      </w:pPr>
    </w:p>
    <w:p>
      <w:pPr>
        <w:ind w:left="580" w:right="220" w:firstLine="29"/>
        <w:spacing w:after="0" w:line="277" w:lineRule="auto"/>
        <w:rPr>
          <w:sz w:val="20"/>
          <w:szCs w:val="20"/>
          <w:color w:val="auto"/>
        </w:rPr>
      </w:pPr>
      <w:r>
        <w:rPr>
          <w:rFonts w:ascii="Arial" w:cs="Arial" w:eastAsia="Arial" w:hAnsi="Arial"/>
          <w:sz w:val="18"/>
          <w:szCs w:val="18"/>
          <w:color w:val="auto"/>
        </w:rPr>
        <w:t>the effectiveness of our policies and procedures designed to ensure compliance with the Foreign Corrupt Practices Act of 1977 and similar regulations;</w:t>
      </w:r>
    </w:p>
    <w:p>
      <w:pPr>
        <w:spacing w:after="0" w:line="170" w:lineRule="exact"/>
        <w:rPr>
          <w:sz w:val="20"/>
          <w:szCs w:val="20"/>
          <w:color w:val="auto"/>
        </w:rPr>
      </w:pPr>
    </w:p>
    <w:p>
      <w:pPr>
        <w:ind w:left="580" w:right="100" w:firstLine="29"/>
        <w:spacing w:after="0" w:line="259" w:lineRule="auto"/>
        <w:rPr>
          <w:sz w:val="20"/>
          <w:szCs w:val="20"/>
          <w:color w:val="auto"/>
        </w:rPr>
      </w:pPr>
      <w:r>
        <w:rPr>
          <w:rFonts w:ascii="Arial" w:cs="Arial" w:eastAsia="Arial" w:hAnsi="Arial"/>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new and different sources of competition;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political and economic instability, and terrorism.</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failure to manage any of these risks successfully could harm our operations and reduce our revenue.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8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75" w:lineRule="exact"/>
        <w:rPr>
          <w:sz w:val="20"/>
          <w:szCs w:val="20"/>
          <w:color w:val="auto"/>
        </w:rPr>
      </w:pPr>
    </w:p>
    <w:p>
      <w:pPr>
        <w:ind w:right="380"/>
        <w:spacing w:after="0" w:line="381" w:lineRule="auto"/>
        <w:rPr>
          <w:sz w:val="20"/>
          <w:szCs w:val="20"/>
          <w:color w:val="auto"/>
        </w:rPr>
      </w:pPr>
      <w:r>
        <w:rPr>
          <w:rFonts w:ascii="Arial" w:cs="Arial" w:eastAsia="Arial" w:hAnsi="Arial"/>
          <w:sz w:val="15"/>
          <w:szCs w:val="15"/>
          <w:b w:val="1"/>
          <w:bCs w:val="1"/>
          <w:i w:val="1"/>
          <w:iCs w:val="1"/>
          <w:color w:val="auto"/>
        </w:rPr>
        <w:t>Some of the facilities of our suppliers are located near known earthquake fault zones, and the occurrence of an earthquake or other catastrophic disaster could damage our facilities, which could cause us to curtail our operations.</w:t>
      </w:r>
    </w:p>
    <w:p>
      <w:pPr>
        <w:spacing w:after="0" w:line="10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disaster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credit facility may restrict our ability to pursue our business strategies.</w:t>
      </w:r>
    </w:p>
    <w:p>
      <w:pPr>
        <w:spacing w:after="0" w:line="225"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Borrowings under our existing credit facility are secured by substantially all of our assets. Our term loan facility prohibits our ability to, among other things: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dispose of or sell assets;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consolidate or merge with other entities;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incur additional indebtedness;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create liens on our assets;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pay dividends;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make investments;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enter into transactions with affiliates;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redeem subordinated indebtedness.</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These restrictions are subject to certain exceptions. The operating restrictions and covenants in the term loan facility,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these covenants could result in a default under the credit facility, which could cause all of the outstanding indebtedness thereunder to either become immediately due and payable or increase by five percent of the interest rate charged during the period of the unremedied breach.</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23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We may experience an ownership change in the future, and our ability to utilize our NOLs and tax credits could be further limited by Section 382 of the Code. Future changes in our stock ownership, many of which are outside of our control, could result in an ownership change under Section 382 of the Code. Our net operating losses and tax credits could also be impaired under state laws. As a result, we might not be able to utilize a material portion of our state NOLs and tax credits.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will incur significantly increased costs and devote substantial management time as a result of operating as a public company.</w:t>
      </w:r>
    </w:p>
    <w:p>
      <w:pPr>
        <w:spacing w:after="0" w:line="170"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As a public company since October 2016, we are incurring significant legal, accounting and other expenses that we did not incur as a private company. For example, we are subject to the reporting requirements of the Securities Exchange Act of 1934, as amended, or the Exchange Act, and are required to comply with the applicable requirements of the Sarbanes-Oxley Act, and the Dodd-Frank Wall Street Reform and Consumer Protection Act of 2010, or the Dodd-Frank Act, as well as rules and regulations subsequently implemented by the SEC and the NASDAQ Stock Market, including the establishment and maintenance of effective disclosure and internal controls and the establishment corporate governance practices. Compliance with these requirements has increased our legal and financial compliance costs and is making some activities more time consuming and costly.</w:t>
      </w:r>
    </w:p>
    <w:p>
      <w:pPr>
        <w:spacing w:after="0" w:line="17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b w:val="1"/>
          <w:bCs w:val="1"/>
          <w:i w:val="1"/>
          <w:iCs w:val="1"/>
          <w:color w:val="auto"/>
        </w:rPr>
        <w:t>If we fail to retain finance personnel and strengthen our financial reporting systems and infrastructure, we may not be able to timely and accurately report our financial results or comply with the requirements of being a public company, including compliance with the Sarbanes-Oxley Act and SEC reporting requirements.</w:t>
      </w:r>
    </w:p>
    <w:p>
      <w:pPr>
        <w:spacing w:after="0" w:line="14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have hired additional accounting and finance staff members to augment our current staff and to improve the effectiveness of our closing and financial reporting processes. Any inability to retain such personnel would have an adverse impact on our ability to accurately and timely prepare our financial statements. We may be unable to locate and hire qualified professionals with requisite technical and public company experience when and as needed. In addition, new employees will require time and training to learn our business and operating processes and procedures. If our finance and accounting organization is unable for any reason to respond adequately to the increased demands as a result of being a public company, the quality and timeliness of our financial reporting may suffer, which could result in the identification of material weaknesses in our internal controls. Any consequences resulting from inaccuracies or delays in our reported financial statements could cause the trading price of our common stock to decline and could harm our business, operating results and financial condition.</w:t>
      </w:r>
    </w:p>
    <w:p>
      <w:pPr>
        <w:spacing w:after="0" w:line="178"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If we fail to strengthen our financial reporting systems, infrastructure and internal control over financial reporting to meet the demands placed upon us as a public company, including the requirements of the Sarbanes-Oxley Act, we may be unable to report our financial results timely and accurately and prevent fraud. We expect to incur significant expense and devote substantial management effort toward ensuring compliance with Section 404.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Interruptions in our information technology systems could adversely affect our business.</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88"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b w:val="1"/>
          <w:bCs w:val="1"/>
          <w:i w:val="1"/>
          <w:iCs w:val="1"/>
          <w:color w:val="auto"/>
        </w:rPr>
        <w:t>If we fail to remediate a material weakness in our internal control over financial reporting, or experience any additional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171" w:lineRule="exact"/>
        <w:rPr>
          <w:sz w:val="20"/>
          <w:szCs w:val="20"/>
          <w:color w:val="auto"/>
        </w:rPr>
      </w:pPr>
    </w:p>
    <w:p>
      <w:pPr>
        <w:ind w:right="20" w:firstLine="324"/>
        <w:spacing w:after="0" w:line="218" w:lineRule="exact"/>
        <w:rPr>
          <w:sz w:val="20"/>
          <w:szCs w:val="20"/>
          <w:color w:val="auto"/>
        </w:rPr>
      </w:pPr>
      <w:r>
        <w:rPr>
          <w:rFonts w:ascii="Arial" w:cs="Arial" w:eastAsia="Arial" w:hAnsi="Arial"/>
          <w:sz w:val="18"/>
          <w:szCs w:val="18"/>
          <w:color w:val="auto"/>
        </w:rPr>
        <w:t>As a result of being a public company, we will be required, under Section 404 of the Sarbanes-Oxley Act to furnish a report by management on, among other things, the effectiveness of our internal control over financial reporting beginning with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our annual and interim financial statements will not be detected or prevented on a timely basis.</w:t>
      </w:r>
    </w:p>
    <w:p>
      <w:pPr>
        <w:spacing w:after="0" w:line="20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connection with the audit of our financial statements as of and for the years ended December 31, 2016, 2015 and 2014, we identified material weaknesses in our internal control over financial reporting, as defined in the standards established by the Public Company Accounting Oversight Board of the United States. Our management has determined that we had a material weakness in our internal control over financial reporting as of December 31, 2014 and 2015, relating to the design and operation of our financial reporting processes. We have concluded that this material weakness was due to the fact that we did not yet have the appropriate resources with the appropriate level of experience and technical expertise to oversee our closing and financial reporting processes. Our management also determined that we had an additional material weakness in our internal control over financial reporting as of December 31, 2016, relating to information technology general and application controls. We have concluded that this material weakness is due to the current configuration of our ERP system, which is scheduled for additional integration in 2017.</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enhancing our internal controls, processes and related documentation necessary to remediate our material weakness and to perform the evaluation needed to comply with Section 404. We may not be able to complete our remediation, evaluation and testing in a timely fashion. During the evaluation and testing process, if we identify one or more material weaknesses in our internal control over financial reporting, such as the one we identified as described above, we will be unable to conclude that our internal controls are effective. The effectiveness of our controls and procedures may be limited by a variety of factors, including:</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faulty human judgment and simple errors, omissions or mistakes;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fraudulent action of an individual or collusion of two or more people;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inappropriate management override of procedures; and;</w:t>
      </w:r>
    </w:p>
    <w:p>
      <w:pPr>
        <w:spacing w:after="0" w:line="225" w:lineRule="exact"/>
        <w:rPr>
          <w:sz w:val="20"/>
          <w:szCs w:val="20"/>
          <w:color w:val="auto"/>
        </w:rPr>
      </w:pPr>
    </w:p>
    <w:p>
      <w:pPr>
        <w:ind w:left="580" w:right="460" w:firstLine="29"/>
        <w:spacing w:after="0" w:line="277" w:lineRule="auto"/>
        <w:rPr>
          <w:sz w:val="20"/>
          <w:szCs w:val="20"/>
          <w:color w:val="auto"/>
        </w:rPr>
      </w:pPr>
      <w:r>
        <w:rPr>
          <w:rFonts w:ascii="Arial" w:cs="Arial" w:eastAsia="Arial" w:hAnsi="Arial"/>
          <w:sz w:val="18"/>
          <w:szCs w:val="18"/>
          <w:color w:val="auto"/>
        </w:rPr>
        <w:t>the possibility that any enhancements to controls and procedures may still not be adequate to assure timely and accurate financial control.</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auditors are unable to express an opinion on the effectiveness of our internal controls, we could lose investor confidence in the accuracy and completeness of our financial reports, which could cause the price of our common stock to decline.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issuance of new accounting standards or future interpretations of existing accounting standards could adversely affect our operating results.</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prepare our financial statements in accordance with accounting principles generally accepted in the United States of America, or GAAP. A change in those principles could have a significant effect on our reported results and might affect our reporting of transactions completed before a change is announced. GAAP is issued and subject to interpretation by the Financial Accounting Standards Board, the SEC and various other bodies formed to promulgate and interpret accounting principles. A change in these principles or interpretations could have a significant effect on our reported financial results, and could affect the reporting of transactions completed before the announcement of a change. The issuance of new accounting standards or future interpretations of existing accounting standards, or changes in our business practices or estimates, could result in future changes in our revenue recognition or other accounting policies that could have a material adverse effect on our results of operations.</w:t>
      </w:r>
    </w:p>
    <w:p>
      <w:pPr>
        <w:spacing w:after="0" w:line="18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Pursuant to the Dodd-Frank Act, the SEC has adopted requirements for companies that use certain minerals and metals, known as conflict minerals, in their products, whether or not these products are manufactured by third parties. These requirements will require companies to perform diligence and disclose and report whether or not such minerals originate from the Democratic Republic of Congo and adjoining countries. The implementation of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will incur additional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be sustained.</w:t>
      </w:r>
    </w:p>
    <w:p>
      <w:pPr>
        <w:spacing w:after="0" w:line="225"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Prior to the initial public offering of our common stock in October 2016, there was no public market for our common stock. Although our stock is currently traded on the NASDAQ Stock Market, an active trading market may not be sustained. The lack of an active market may impair the value of your shares and your ability to sell your shares at the time you wish to sell them. An inactive market may also impair our ability to both raise capital by selling shares and acquire other complementary products, technologies or businesses by using our shares as consideration.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introduction of new products or product enhancements by us or others in our industry;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disputes or other developments with respect to our or others’ intellectual property rights;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product liability claims or other litigation;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quarterly variations in our results of operations or those of others in our industry;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sales of large blocks of our common stock, including sales by our executive officers and directors;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earnings estimates or recommendations by securities analysts;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580" w:right="700" w:firstLine="29"/>
        <w:spacing w:after="0" w:line="277" w:lineRule="auto"/>
        <w:rPr>
          <w:sz w:val="20"/>
          <w:szCs w:val="20"/>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17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w:t>
      </w:r>
    </w:p>
    <w:p>
      <w:pPr>
        <w:spacing w:after="0" w:line="171" w:lineRule="exact"/>
        <w:rPr>
          <w:sz w:val="20"/>
          <w:szCs w:val="20"/>
          <w:color w:val="auto"/>
        </w:rPr>
      </w:pPr>
    </w:p>
    <w:p>
      <w:pPr>
        <w:ind w:right="400" w:firstLine="324"/>
        <w:spacing w:after="0" w:line="302" w:lineRule="auto"/>
        <w:rPr>
          <w:sz w:val="20"/>
          <w:szCs w:val="20"/>
          <w:color w:val="auto"/>
        </w:rPr>
      </w:pPr>
      <w:r>
        <w:rPr>
          <w:rFonts w:ascii="Arial" w:cs="Arial" w:eastAsia="Arial" w:hAnsi="Arial"/>
          <w:sz w:val="16"/>
          <w:szCs w:val="16"/>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and other factors may make the price of our stock volatile and subject to unexpected fluctuation.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17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trading market for our common stock will be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common stock will have had relatively little experience with our company or industry,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our company or fail to publish reports covering us regularly, we could lose visibility in the market, which in turn could cause our stock price or trading volume to decline.</w:t>
      </w:r>
    </w:p>
    <w:p>
      <w:pPr>
        <w:spacing w:after="0" w:line="19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4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spacing w:after="0" w:line="166"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We may remain an “emerging growth company” until as late as December 31, 2021, the fiscal year-end following the fifth anniversary of the completion of our initial public offering, though we may cease to be an “emerging growth company” earlier under certain circumstances, including (1) if the market value of our common stock that is held by nonaffiliates exceeds $700 million as of any June 30, in which case we would cease to be an “emerging growth company” as of the following December 31, or (2) if our gross revenue exceeds $1.07 billion in any fiscal year.</w:t>
      </w:r>
    </w:p>
    <w:p>
      <w:pPr>
        <w:spacing w:after="0" w:line="17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Investors may find our common stock less attractive if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70"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sale of additional equity securities. We are unable to predict the effect that sales may have on the prevailing market price of our common stock.</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officers, directors and principal stockholders each holding more than 5% of our common stock, collectively, control a significant percentage of our outstanding common stock. As a result, 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subject to the periodic reporting requirements of the Exchange Act. We have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93"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5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4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2" w:lineRule="exact"/>
        <w:rPr>
          <w:sz w:val="20"/>
          <w:szCs w:val="20"/>
          <w:color w:val="auto"/>
        </w:rPr>
      </w:pPr>
    </w:p>
    <w:p>
      <w:pPr>
        <w:ind w:left="580" w:right="60" w:firstLine="29"/>
        <w:spacing w:after="0" w:line="264" w:lineRule="auto"/>
        <w:rPr>
          <w:sz w:val="20"/>
          <w:szCs w:val="20"/>
          <w:color w:val="auto"/>
        </w:rPr>
      </w:pPr>
      <w:r>
        <w:rPr>
          <w:rFonts w:ascii="Arial" w:cs="Arial" w:eastAsia="Arial" w:hAnsi="Arial"/>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81" w:lineRule="exact"/>
        <w:rPr>
          <w:sz w:val="20"/>
          <w:szCs w:val="20"/>
          <w:color w:val="auto"/>
        </w:rPr>
      </w:pPr>
    </w:p>
    <w:p>
      <w:pPr>
        <w:ind w:left="580" w:right="80" w:firstLine="29"/>
        <w:spacing w:after="0" w:line="259" w:lineRule="auto"/>
        <w:rPr>
          <w:sz w:val="20"/>
          <w:szCs w:val="20"/>
          <w:color w:val="auto"/>
        </w:rPr>
      </w:pPr>
      <w:r>
        <w:rPr>
          <w:rFonts w:ascii="Arial" w:cs="Arial" w:eastAsia="Arial" w:hAnsi="Arial"/>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the chairman of the board, the chief executive officer or the president;</w:t>
      </w:r>
    </w:p>
    <w:p>
      <w:pPr>
        <w:spacing w:after="0" w:line="187" w:lineRule="exact"/>
        <w:rPr>
          <w:sz w:val="20"/>
          <w:szCs w:val="20"/>
          <w:color w:val="auto"/>
        </w:rPr>
      </w:pPr>
    </w:p>
    <w:p>
      <w:pPr>
        <w:ind w:left="580" w:right="320" w:firstLine="29"/>
        <w:spacing w:after="0" w:line="277" w:lineRule="auto"/>
        <w:rPr>
          <w:sz w:val="20"/>
          <w:szCs w:val="20"/>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580" w:right="59" w:firstLine="29"/>
        <w:spacing w:after="0" w:line="257" w:lineRule="auto"/>
        <w:rPr>
          <w:sz w:val="20"/>
          <w:szCs w:val="20"/>
          <w:color w:val="auto"/>
        </w:rPr>
      </w:pPr>
      <w:r>
        <w:rPr>
          <w:rFonts w:ascii="Arial" w:cs="Arial" w:eastAsia="Arial" w:hAnsi="Arial"/>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removal of directors, special meetings, actions by written consent and cumulative voting and (b) to amend or repeal our bylaws, although our bylaws may be amended by a simple majority vote of our board of directors;</w:t>
      </w:r>
    </w:p>
    <w:p>
      <w:pPr>
        <w:spacing w:after="0" w:line="188" w:lineRule="exact"/>
        <w:rPr>
          <w:sz w:val="20"/>
          <w:szCs w:val="20"/>
          <w:color w:val="auto"/>
        </w:rPr>
      </w:pPr>
    </w:p>
    <w:p>
      <w:pPr>
        <w:ind w:left="580" w:right="99" w:firstLine="29"/>
        <w:spacing w:after="0" w:line="259" w:lineRule="auto"/>
        <w:rPr>
          <w:sz w:val="20"/>
          <w:szCs w:val="20"/>
          <w:color w:val="auto"/>
        </w:rPr>
      </w:pPr>
      <w:r>
        <w:rPr>
          <w:rFonts w:ascii="Arial" w:cs="Arial" w:eastAsia="Arial" w:hAnsi="Arial"/>
          <w:sz w:val="18"/>
          <w:szCs w:val="18"/>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87" w:lineRule="exact"/>
        <w:rPr>
          <w:sz w:val="20"/>
          <w:szCs w:val="20"/>
          <w:color w:val="auto"/>
        </w:rPr>
      </w:pPr>
    </w:p>
    <w:p>
      <w:pPr>
        <w:jc w:val="both"/>
        <w:ind w:left="580" w:right="39" w:firstLine="29"/>
        <w:spacing w:after="0" w:line="286" w:lineRule="auto"/>
        <w:rPr>
          <w:sz w:val="20"/>
          <w:szCs w:val="20"/>
          <w:color w:val="auto"/>
        </w:rPr>
      </w:pPr>
      <w:r>
        <w:rPr>
          <w:rFonts w:ascii="Arial" w:cs="Arial" w:eastAsia="Arial" w:hAnsi="Arial"/>
          <w:sz w:val="17"/>
          <w:szCs w:val="17"/>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66" w:lineRule="exact"/>
        <w:rPr>
          <w:sz w:val="20"/>
          <w:szCs w:val="20"/>
          <w:color w:val="auto"/>
        </w:rPr>
      </w:pPr>
    </w:p>
    <w:p>
      <w:pPr>
        <w:ind w:right="99" w:firstLine="324"/>
        <w:spacing w:after="0" w:line="302"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Recent Sales of Unregistered Securities and Use of Proceeds</w:t>
      </w:r>
    </w:p>
    <w:p>
      <w:pPr>
        <w:spacing w:after="0" w:line="225" w:lineRule="exact"/>
        <w:rPr>
          <w:sz w:val="20"/>
          <w:szCs w:val="20"/>
          <w:color w:val="auto"/>
        </w:rPr>
      </w:pPr>
    </w:p>
    <w:p>
      <w:pPr>
        <w:ind w:left="320" w:right="5779" w:hanging="317"/>
        <w:spacing w:after="0" w:line="501" w:lineRule="auto"/>
        <w:tabs>
          <w:tab w:leader="none" w:pos="251" w:val="left"/>
        </w:tabs>
        <w:numPr>
          <w:ilvl w:val="0"/>
          <w:numId w:val="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Recent Sales of Unregistered Securities </w:t>
      </w:r>
      <w:r>
        <w:rPr>
          <w:rFonts w:ascii="Arial" w:cs="Arial" w:eastAsia="Arial" w:hAnsi="Arial"/>
          <w:sz w:val="18"/>
          <w:szCs w:val="18"/>
          <w:color w:val="auto"/>
        </w:rPr>
        <w:t>None.</w:t>
      </w:r>
    </w:p>
    <w:p>
      <w:pPr>
        <w:ind w:left="260" w:hanging="257"/>
        <w:spacing w:after="0"/>
        <w:tabs>
          <w:tab w:leader="none" w:pos="260" w:val="left"/>
        </w:tabs>
        <w:numPr>
          <w:ilvl w:val="0"/>
          <w:numId w:val="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Use of Proceeds</w:t>
      </w:r>
    </w:p>
    <w:p>
      <w:pPr>
        <w:spacing w:after="0" w:line="229" w:lineRule="exact"/>
        <w:rPr>
          <w:sz w:val="20"/>
          <w:szCs w:val="20"/>
          <w:color w:val="auto"/>
        </w:rPr>
      </w:pPr>
    </w:p>
    <w:p>
      <w:pPr>
        <w:ind w:right="59" w:firstLine="324"/>
        <w:spacing w:after="0" w:line="308" w:lineRule="auto"/>
        <w:rPr>
          <w:sz w:val="20"/>
          <w:szCs w:val="20"/>
          <w:color w:val="auto"/>
        </w:rPr>
      </w:pPr>
      <w:r>
        <w:rPr>
          <w:rFonts w:ascii="Arial" w:cs="Arial" w:eastAsia="Arial" w:hAnsi="Arial"/>
          <w:sz w:val="17"/>
          <w:szCs w:val="17"/>
          <w:color w:val="auto"/>
        </w:rPr>
        <w:t>Shares of our common stock began trading on the NASDAQ Global Select Market on October 7, 2016. The shares were registered under the Securities Act on registration statement on Form S-1 (Registration No. 333-213569).</w:t>
      </w:r>
    </w:p>
    <w:p>
      <w:pPr>
        <w:spacing w:after="0" w:line="147" w:lineRule="exact"/>
        <w:rPr>
          <w:sz w:val="20"/>
          <w:szCs w:val="20"/>
          <w:color w:val="auto"/>
        </w:rPr>
      </w:pPr>
    </w:p>
    <w:p>
      <w:pPr>
        <w:jc w:val="both"/>
        <w:ind w:right="239" w:firstLine="324"/>
        <w:spacing w:after="0" w:line="264"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October 7, 2016. As of March 31, 2017, we had used approximately $19.3 million of the proceeds from our IPO.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exhibits listed in the accompanying Exhibit Index are incorporated by reference as part of this Quarterly Report</w:t>
      </w:r>
      <w:r>
        <w:rPr>
          <w:rFonts w:ascii="Arial" w:cs="Arial" w:eastAsia="Arial" w:hAnsi="Arial"/>
          <w:sz w:val="15"/>
          <w:szCs w:val="15"/>
          <w:color w:val="auto"/>
        </w:rPr>
        <w:t>.</w:t>
      </w: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6120" w:type="dxa"/>
            <w:vAlign w:val="bottom"/>
            <w:gridSpan w:val="2"/>
          </w:tcPr>
          <w:p>
            <w:pPr>
              <w:ind w:left="2280"/>
              <w:spacing w:after="0"/>
              <w:rPr>
                <w:sz w:val="20"/>
                <w:szCs w:val="20"/>
                <w:color w:val="auto"/>
              </w:rPr>
            </w:pPr>
            <w:r>
              <w:rPr>
                <w:rFonts w:ascii="Arial" w:cs="Arial" w:eastAsia="Arial" w:hAnsi="Arial"/>
                <w:sz w:val="18"/>
                <w:szCs w:val="18"/>
                <w:color w:val="auto"/>
              </w:rPr>
              <w:t>Everspin Technologies, Inc.</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 May 15, 2017</w:t>
            </w:r>
          </w:p>
        </w:tc>
        <w:tc>
          <w:tcPr>
            <w:tcW w:w="6120" w:type="dxa"/>
            <w:vAlign w:val="bottom"/>
            <w:gridSpan w:val="2"/>
          </w:tcPr>
          <w:p>
            <w:pPr>
              <w:ind w:left="2280"/>
              <w:spacing w:after="0"/>
              <w:rPr>
                <w:sz w:val="20"/>
                <w:szCs w:val="20"/>
                <w:color w:val="auto"/>
              </w:rPr>
            </w:pPr>
            <w:r>
              <w:rPr>
                <w:rFonts w:ascii="Arial" w:cs="Arial" w:eastAsia="Arial" w:hAnsi="Arial"/>
                <w:sz w:val="18"/>
                <w:szCs w:val="18"/>
                <w:color w:val="auto"/>
              </w:rPr>
              <w:t>By: /s/ Phillip LoPresti</w:t>
            </w:r>
          </w:p>
        </w:tc>
      </w:tr>
      <w:tr>
        <w:trPr>
          <w:trHeight w:val="195"/>
        </w:trPr>
        <w:tc>
          <w:tcPr>
            <w:tcW w:w="29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Phillip LoPresti</w:t>
            </w:r>
          </w:p>
        </w:tc>
      </w:tr>
      <w:tr>
        <w:trPr>
          <w:trHeight w:val="216"/>
        </w:trPr>
        <w:tc>
          <w:tcPr>
            <w:tcW w:w="29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9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432"/>
        </w:trPr>
        <w:tc>
          <w:tcPr>
            <w:tcW w:w="2940" w:type="dxa"/>
            <w:vAlign w:val="bottom"/>
          </w:tcPr>
          <w:p>
            <w:pPr>
              <w:spacing w:after="0"/>
              <w:rPr>
                <w:sz w:val="24"/>
                <w:szCs w:val="24"/>
                <w:color w:val="auto"/>
              </w:rPr>
            </w:pPr>
          </w:p>
        </w:tc>
        <w:tc>
          <w:tcPr>
            <w:tcW w:w="6120" w:type="dxa"/>
            <w:vAlign w:val="bottom"/>
            <w:gridSpan w:val="2"/>
          </w:tcPr>
          <w:p>
            <w:pPr>
              <w:ind w:left="2280"/>
              <w:spacing w:after="0"/>
              <w:rPr>
                <w:sz w:val="20"/>
                <w:szCs w:val="20"/>
                <w:color w:val="auto"/>
              </w:rPr>
            </w:pPr>
            <w:r>
              <w:rPr>
                <w:rFonts w:ascii="Arial" w:cs="Arial" w:eastAsia="Arial" w:hAnsi="Arial"/>
                <w:sz w:val="18"/>
                <w:szCs w:val="18"/>
                <w:color w:val="auto"/>
              </w:rPr>
              <w:t>Everspin Technologies, Inc.</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 May 15, 2017</w:t>
            </w:r>
          </w:p>
        </w:tc>
        <w:tc>
          <w:tcPr>
            <w:tcW w:w="6120" w:type="dxa"/>
            <w:vAlign w:val="bottom"/>
            <w:gridSpan w:val="2"/>
          </w:tcPr>
          <w:p>
            <w:pPr>
              <w:ind w:left="2280"/>
              <w:spacing w:after="0"/>
              <w:rPr>
                <w:sz w:val="20"/>
                <w:szCs w:val="20"/>
                <w:color w:val="auto"/>
              </w:rPr>
            </w:pPr>
            <w:r>
              <w:rPr>
                <w:rFonts w:ascii="Arial" w:cs="Arial" w:eastAsia="Arial" w:hAnsi="Arial"/>
                <w:sz w:val="18"/>
                <w:szCs w:val="18"/>
                <w:color w:val="auto"/>
              </w:rPr>
              <w:t>By: /s/ Jeffrey Winzeler</w:t>
            </w:r>
          </w:p>
        </w:tc>
      </w:tr>
      <w:tr>
        <w:trPr>
          <w:trHeight w:val="195"/>
        </w:trPr>
        <w:tc>
          <w:tcPr>
            <w:tcW w:w="29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Winzeler</w:t>
            </w:r>
          </w:p>
        </w:tc>
      </w:tr>
      <w:tr>
        <w:trPr>
          <w:trHeight w:val="216"/>
        </w:trPr>
        <w:tc>
          <w:tcPr>
            <w:tcW w:w="29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9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878"/>
        </w:trPr>
        <w:tc>
          <w:tcPr>
            <w:tcW w:w="2940" w:type="dxa"/>
            <w:vAlign w:val="bottom"/>
          </w:tcPr>
          <w:p>
            <w:pPr>
              <w:spacing w:after="0"/>
              <w:rPr>
                <w:sz w:val="24"/>
                <w:szCs w:val="24"/>
                <w:color w:val="auto"/>
              </w:rPr>
            </w:pPr>
          </w:p>
        </w:tc>
        <w:tc>
          <w:tcPr>
            <w:tcW w:w="2560" w:type="dxa"/>
            <w:vAlign w:val="bottom"/>
          </w:tcPr>
          <w:p>
            <w:pPr>
              <w:ind w:left="1500"/>
              <w:spacing w:after="0"/>
              <w:rPr>
                <w:sz w:val="20"/>
                <w:szCs w:val="20"/>
                <w:color w:val="auto"/>
              </w:rPr>
            </w:pPr>
            <w:r>
              <w:rPr>
                <w:rFonts w:ascii="Arial" w:cs="Arial" w:eastAsia="Arial" w:hAnsi="Arial"/>
                <w:sz w:val="18"/>
                <w:szCs w:val="18"/>
                <w:color w:val="auto"/>
              </w:rPr>
              <w:t>48</w:t>
            </w:r>
          </w:p>
        </w:tc>
        <w:tc>
          <w:tcPr>
            <w:tcW w:w="3560" w:type="dxa"/>
            <w:vAlign w:val="bottom"/>
          </w:tcPr>
          <w:p>
            <w:pPr>
              <w:spacing w:after="0"/>
              <w:rPr>
                <w:sz w:val="24"/>
                <w:szCs w:val="24"/>
                <w:color w:val="auto"/>
              </w:rPr>
            </w:pPr>
          </w:p>
        </w:tc>
      </w:tr>
      <w:tr>
        <w:trPr>
          <w:trHeight w:val="129"/>
        </w:trPr>
        <w:tc>
          <w:tcPr>
            <w:tcW w:w="294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35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62"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See the Exhibit Index following the signature page to this Quarterly Report on Form 10-Q for a list of exhibits filed or furnished with this report, which Exhibit Index is incorporated herein by reference.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0" w:type="dxa"/>
            <w:vAlign w:val="bottom"/>
            <w:gridSpan w:val="5"/>
          </w:tcPr>
          <w:p>
            <w:pPr>
              <w:ind w:left="60"/>
              <w:spacing w:after="0"/>
              <w:rPr>
                <w:sz w:val="20"/>
                <w:szCs w:val="20"/>
                <w:color w:val="auto"/>
              </w:rPr>
            </w:pPr>
            <w:r>
              <w:rPr>
                <w:rFonts w:ascii="Arial" w:cs="Arial" w:eastAsia="Arial" w:hAnsi="Arial"/>
                <w:sz w:val="14"/>
                <w:szCs w:val="14"/>
                <w:b w:val="1"/>
                <w:bCs w:val="1"/>
                <w:color w:val="auto"/>
              </w:rPr>
              <w:t>Incorporation By Reference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8"/>
              </w:rPr>
              <w:t>Exhibit/</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4360" w:type="dxa"/>
            <w:vAlign w:val="bottom"/>
            <w:tcBorders>
              <w:bottom w:val="single" w:sz="8" w:color="auto"/>
            </w:tcBorders>
          </w:tcPr>
          <w:p>
            <w:pPr>
              <w:jc w:val="right"/>
              <w:ind w:right="1748"/>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6"/>
                <w:szCs w:val="16"/>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40" w:type="dxa"/>
            <w:vAlign w:val="bottom"/>
          </w:tcPr>
          <w:p>
            <w:pPr>
              <w:spacing w:after="0"/>
              <w:rPr>
                <w:sz w:val="16"/>
                <w:szCs w:val="16"/>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SEC File No.</w:t>
            </w:r>
          </w:p>
        </w:tc>
        <w:tc>
          <w:tcPr>
            <w:tcW w:w="16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140" w:type="dxa"/>
            <w:vAlign w:val="bottom"/>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317"/>
        </w:trPr>
        <w:tc>
          <w:tcPr>
            <w:tcW w:w="700" w:type="dxa"/>
            <w:vAlign w:val="bottom"/>
          </w:tcPr>
          <w:p>
            <w:pPr>
              <w:spacing w:after="0"/>
              <w:rPr>
                <w:sz w:val="20"/>
                <w:szCs w:val="20"/>
                <w:color w:val="auto"/>
              </w:rPr>
            </w:pPr>
            <w:r>
              <w:rPr>
                <w:rFonts w:ascii="Arial" w:cs="Arial" w:eastAsia="Arial" w:hAnsi="Arial"/>
                <w:sz w:val="18"/>
                <w:szCs w:val="18"/>
                <w:color w:val="auto"/>
              </w:rPr>
              <w:t>3.1</w:t>
            </w: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Amended and Restated Certificate of Incorporation.</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gridSpan w:val="2"/>
          </w:tcPr>
          <w:p>
            <w:pPr>
              <w:jc w:val="center"/>
              <w:ind w:left="52"/>
              <w:spacing w:after="0"/>
              <w:rPr>
                <w:sz w:val="20"/>
                <w:szCs w:val="20"/>
                <w:color w:val="auto"/>
              </w:rPr>
            </w:pPr>
            <w:r>
              <w:rPr>
                <w:rFonts w:ascii="Arial" w:cs="Arial" w:eastAsia="Arial" w:hAnsi="Arial"/>
                <w:sz w:val="18"/>
                <w:szCs w:val="18"/>
                <w:color w:val="auto"/>
                <w:w w:val="90"/>
              </w:rPr>
              <w:t>001-37900</w:t>
            </w:r>
          </w:p>
        </w:tc>
        <w:tc>
          <w:tcPr>
            <w:tcW w:w="1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10/13/2016</w:t>
            </w:r>
          </w:p>
        </w:tc>
        <w:tc>
          <w:tcPr>
            <w:tcW w:w="0" w:type="dxa"/>
            <w:vAlign w:val="bottom"/>
          </w:tcPr>
          <w:p>
            <w:pPr>
              <w:spacing w:after="0"/>
              <w:rPr>
                <w:sz w:val="1"/>
                <w:szCs w:val="1"/>
                <w:color w:val="auto"/>
              </w:rPr>
            </w:pP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3.2</w:t>
            </w:r>
          </w:p>
        </w:tc>
        <w:tc>
          <w:tcPr>
            <w:tcW w:w="470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Bylaws.</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2"/>
              </w:rPr>
              <w:t>S-1</w:t>
            </w:r>
          </w:p>
        </w:tc>
        <w:tc>
          <w:tcPr>
            <w:tcW w:w="1080" w:type="dxa"/>
            <w:vAlign w:val="bottom"/>
            <w:gridSpan w:val="2"/>
          </w:tcPr>
          <w:p>
            <w:pPr>
              <w:jc w:val="center"/>
              <w:ind w:left="52"/>
              <w:spacing w:after="0" w:line="202" w:lineRule="exact"/>
              <w:rPr>
                <w:sz w:val="20"/>
                <w:szCs w:val="20"/>
                <w:color w:val="auto"/>
              </w:rPr>
            </w:pPr>
            <w:r>
              <w:rPr>
                <w:rFonts w:ascii="Arial" w:cs="Arial" w:eastAsia="Arial" w:hAnsi="Arial"/>
                <w:sz w:val="18"/>
                <w:szCs w:val="18"/>
                <w:color w:val="auto"/>
                <w:w w:val="89"/>
              </w:rPr>
              <w:t>333-213569</w:t>
            </w:r>
          </w:p>
        </w:tc>
        <w:tc>
          <w:tcPr>
            <w:tcW w:w="16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87"/>
              </w:rPr>
              <w:t>3.6</w:t>
            </w:r>
          </w:p>
        </w:tc>
        <w:tc>
          <w:tcPr>
            <w:tcW w:w="140" w:type="dxa"/>
            <w:vAlign w:val="bottom"/>
          </w:tcPr>
          <w:p>
            <w:pPr>
              <w:spacing w:after="0"/>
              <w:rPr>
                <w:sz w:val="17"/>
                <w:szCs w:val="17"/>
                <w:color w:val="auto"/>
              </w:rPr>
            </w:pPr>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4.1</w:t>
            </w:r>
          </w:p>
        </w:tc>
        <w:tc>
          <w:tcPr>
            <w:tcW w:w="470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Form of Common Stock Certificate of the Company.</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2"/>
              </w:rPr>
              <w:t>S-1</w:t>
            </w:r>
          </w:p>
        </w:tc>
        <w:tc>
          <w:tcPr>
            <w:tcW w:w="1080" w:type="dxa"/>
            <w:vAlign w:val="bottom"/>
            <w:gridSpan w:val="2"/>
          </w:tcPr>
          <w:p>
            <w:pPr>
              <w:jc w:val="center"/>
              <w:ind w:left="52"/>
              <w:spacing w:after="0" w:line="202" w:lineRule="exact"/>
              <w:rPr>
                <w:sz w:val="20"/>
                <w:szCs w:val="20"/>
                <w:color w:val="auto"/>
              </w:rPr>
            </w:pPr>
            <w:r>
              <w:rPr>
                <w:rFonts w:ascii="Arial" w:cs="Arial" w:eastAsia="Arial" w:hAnsi="Arial"/>
                <w:sz w:val="18"/>
                <w:szCs w:val="18"/>
                <w:color w:val="auto"/>
                <w:w w:val="89"/>
              </w:rPr>
              <w:t>333-213569</w:t>
            </w:r>
          </w:p>
        </w:tc>
        <w:tc>
          <w:tcPr>
            <w:tcW w:w="16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17"/>
                <w:szCs w:val="17"/>
                <w:color w:val="auto"/>
              </w:rPr>
            </w:pPr>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4.2</w:t>
            </w: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Reference is made to Exhibits 3.1 and 3.2.</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Executive Compensation Information</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gridSpan w:val="2"/>
          </w:tcPr>
          <w:p>
            <w:pPr>
              <w:jc w:val="center"/>
              <w:ind w:left="52"/>
              <w:spacing w:after="0"/>
              <w:rPr>
                <w:sz w:val="20"/>
                <w:szCs w:val="20"/>
                <w:color w:val="auto"/>
              </w:rPr>
            </w:pPr>
            <w:r>
              <w:rPr>
                <w:rFonts w:ascii="Arial" w:cs="Arial" w:eastAsia="Arial" w:hAnsi="Arial"/>
                <w:sz w:val="18"/>
                <w:szCs w:val="18"/>
                <w:color w:val="auto"/>
                <w:w w:val="90"/>
              </w:rPr>
              <w:t>001-37900</w:t>
            </w:r>
          </w:p>
        </w:tc>
        <w:tc>
          <w:tcPr>
            <w:tcW w:w="160" w:type="dxa"/>
            <w:vAlign w:val="bottom"/>
          </w:tcPr>
          <w:p>
            <w:pPr>
              <w:spacing w:after="0"/>
              <w:rPr>
                <w:sz w:val="24"/>
                <w:szCs w:val="2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Item 5.02</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1/23/2017</w:t>
            </w:r>
          </w:p>
        </w:tc>
        <w:tc>
          <w:tcPr>
            <w:tcW w:w="0" w:type="dxa"/>
            <w:vAlign w:val="bottom"/>
          </w:tcPr>
          <w:p>
            <w:pPr>
              <w:spacing w:after="0"/>
              <w:rPr>
                <w:sz w:val="1"/>
                <w:szCs w:val="1"/>
                <w:color w:val="auto"/>
              </w:rPr>
            </w:pPr>
          </w:p>
        </w:tc>
      </w:tr>
      <w:tr>
        <w:trPr>
          <w:trHeight w:val="337"/>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w w:val="96"/>
              </w:rPr>
              <w:t>Amendment No.5 to Lease, dated as of March 22, 2017 by</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700" w:type="dxa"/>
            <w:vAlign w:val="bottom"/>
            <w:gridSpan w:val="3"/>
          </w:tcPr>
          <w:p>
            <w:pPr>
              <w:ind w:left="160"/>
              <w:spacing w:after="0" w:line="189" w:lineRule="exact"/>
              <w:rPr>
                <w:sz w:val="20"/>
                <w:szCs w:val="20"/>
                <w:color w:val="auto"/>
              </w:rPr>
            </w:pPr>
            <w:r>
              <w:rPr>
                <w:rFonts w:ascii="Arial" w:cs="Arial" w:eastAsia="Arial" w:hAnsi="Arial"/>
                <w:sz w:val="18"/>
                <w:szCs w:val="18"/>
                <w:color w:val="auto"/>
                <w:w w:val="97"/>
              </w:rPr>
              <w:t>and between the Company and Freescale Semiconductor,</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Inc.</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gridSpan w:val="2"/>
          </w:tcPr>
          <w:p>
            <w:pPr>
              <w:jc w:val="center"/>
              <w:ind w:left="52"/>
              <w:spacing w:after="0"/>
              <w:rPr>
                <w:sz w:val="20"/>
                <w:szCs w:val="20"/>
                <w:color w:val="auto"/>
              </w:rPr>
            </w:pPr>
            <w:r>
              <w:rPr>
                <w:rFonts w:ascii="Arial" w:cs="Arial" w:eastAsia="Arial" w:hAnsi="Arial"/>
                <w:sz w:val="18"/>
                <w:szCs w:val="18"/>
                <w:color w:val="auto"/>
                <w:w w:val="90"/>
              </w:rPr>
              <w:t>001-37900</w:t>
            </w:r>
          </w:p>
        </w:tc>
        <w:tc>
          <w:tcPr>
            <w:tcW w:w="1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3/28/2017</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10.3</w:t>
            </w: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Sublease Agreement, dated January 31, 2017, by and</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w w:val="97"/>
              </w:rPr>
              <w:t>between the Company and NXP USA, Inc. and Consent to</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of Landlord to Sublease, dated March 10, 2017, by and</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among the Company, NXP USA, Inc. and VWP-BV CM</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00" w:type="dxa"/>
            <w:vAlign w:val="bottom"/>
          </w:tcPr>
          <w:p>
            <w:pPr>
              <w:spacing w:after="0"/>
              <w:rPr>
                <w:sz w:val="21"/>
                <w:szCs w:val="21"/>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5670, LLC.</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gridSpan w:val="2"/>
          </w:tcPr>
          <w:p>
            <w:pPr>
              <w:jc w:val="center"/>
              <w:ind w:left="52"/>
              <w:spacing w:after="0"/>
              <w:rPr>
                <w:sz w:val="20"/>
                <w:szCs w:val="20"/>
                <w:color w:val="auto"/>
              </w:rPr>
            </w:pPr>
            <w:r>
              <w:rPr>
                <w:rFonts w:ascii="Arial" w:cs="Arial" w:eastAsia="Arial" w:hAnsi="Arial"/>
                <w:sz w:val="18"/>
                <w:szCs w:val="18"/>
                <w:color w:val="auto"/>
                <w:w w:val="90"/>
              </w:rPr>
              <w:t>001-37900</w:t>
            </w:r>
          </w:p>
        </w:tc>
        <w:tc>
          <w:tcPr>
            <w:tcW w:w="16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3/28/2017</w:t>
            </w:r>
          </w:p>
        </w:tc>
        <w:tc>
          <w:tcPr>
            <w:tcW w:w="0" w:type="dxa"/>
            <w:vAlign w:val="bottom"/>
          </w:tcPr>
          <w:p>
            <w:pPr>
              <w:spacing w:after="0"/>
              <w:rPr>
                <w:sz w:val="1"/>
                <w:szCs w:val="1"/>
                <w:color w:val="auto"/>
              </w:rPr>
            </w:pPr>
          </w:p>
        </w:tc>
      </w:tr>
      <w:tr>
        <w:trPr>
          <w:trHeight w:val="337"/>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First Amendment to Sublease Agreement, dated</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700" w:type="dxa"/>
            <w:vAlign w:val="bottom"/>
            <w:gridSpan w:val="3"/>
          </w:tcPr>
          <w:p>
            <w:pPr>
              <w:ind w:left="160"/>
              <w:spacing w:after="0" w:line="189" w:lineRule="exact"/>
              <w:rPr>
                <w:sz w:val="20"/>
                <w:szCs w:val="20"/>
                <w:color w:val="auto"/>
              </w:rPr>
            </w:pPr>
            <w:r>
              <w:rPr>
                <w:rFonts w:ascii="Arial" w:cs="Arial" w:eastAsia="Arial" w:hAnsi="Arial"/>
                <w:sz w:val="18"/>
                <w:szCs w:val="18"/>
                <w:color w:val="auto"/>
                <w:w w:val="95"/>
              </w:rPr>
              <w:t>February 13, 2017, by and between the Company and NXP</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700" w:type="dxa"/>
            <w:vAlign w:val="bottom"/>
            <w:gridSpan w:val="3"/>
          </w:tcPr>
          <w:p>
            <w:pPr>
              <w:ind w:left="160"/>
              <w:spacing w:after="0" w:line="189" w:lineRule="exact"/>
              <w:rPr>
                <w:sz w:val="20"/>
                <w:szCs w:val="20"/>
                <w:color w:val="auto"/>
              </w:rPr>
            </w:pPr>
            <w:r>
              <w:rPr>
                <w:rFonts w:ascii="Arial" w:cs="Arial" w:eastAsia="Arial" w:hAnsi="Arial"/>
                <w:sz w:val="18"/>
                <w:szCs w:val="18"/>
                <w:color w:val="auto"/>
              </w:rPr>
              <w:t>USA, Inc. and Consent to of Landlord to Amendment to</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700" w:type="dxa"/>
            <w:vAlign w:val="bottom"/>
            <w:gridSpan w:val="3"/>
          </w:tcPr>
          <w:p>
            <w:pPr>
              <w:ind w:left="160"/>
              <w:spacing w:after="0" w:line="189" w:lineRule="exact"/>
              <w:rPr>
                <w:sz w:val="20"/>
                <w:szCs w:val="20"/>
                <w:color w:val="auto"/>
              </w:rPr>
            </w:pPr>
            <w:r>
              <w:rPr>
                <w:rFonts w:ascii="Arial" w:cs="Arial" w:eastAsia="Arial" w:hAnsi="Arial"/>
                <w:sz w:val="18"/>
                <w:szCs w:val="18"/>
                <w:color w:val="auto"/>
              </w:rPr>
              <w:t>Sublease, dated March 10, 2017, by and among the</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Company, NXP USA, Inc. and VWP-BV CM 5670, LLC.</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gridSpan w:val="2"/>
          </w:tcPr>
          <w:p>
            <w:pPr>
              <w:jc w:val="center"/>
              <w:ind w:left="52"/>
              <w:spacing w:after="0"/>
              <w:rPr>
                <w:sz w:val="20"/>
                <w:szCs w:val="20"/>
                <w:color w:val="auto"/>
              </w:rPr>
            </w:pPr>
            <w:r>
              <w:rPr>
                <w:rFonts w:ascii="Arial" w:cs="Arial" w:eastAsia="Arial" w:hAnsi="Arial"/>
                <w:sz w:val="18"/>
                <w:szCs w:val="18"/>
                <w:color w:val="auto"/>
                <w:w w:val="90"/>
              </w:rPr>
              <w:t>001-37900</w:t>
            </w:r>
          </w:p>
        </w:tc>
        <w:tc>
          <w:tcPr>
            <w:tcW w:w="1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3/28/2017</w:t>
            </w:r>
          </w:p>
        </w:tc>
        <w:tc>
          <w:tcPr>
            <w:tcW w:w="0" w:type="dxa"/>
            <w:vAlign w:val="bottom"/>
          </w:tcPr>
          <w:p>
            <w:pPr>
              <w:spacing w:after="0"/>
              <w:rPr>
                <w:sz w:val="1"/>
                <w:szCs w:val="1"/>
                <w:color w:val="auto"/>
              </w:rPr>
            </w:pPr>
          </w:p>
        </w:tc>
      </w:tr>
      <w:tr>
        <w:trPr>
          <w:trHeight w:val="337"/>
        </w:trPr>
        <w:tc>
          <w:tcPr>
            <w:tcW w:w="700" w:type="dxa"/>
            <w:vAlign w:val="bottom"/>
          </w:tcPr>
          <w:p>
            <w:pPr>
              <w:spacing w:after="0"/>
              <w:rPr>
                <w:sz w:val="20"/>
                <w:szCs w:val="20"/>
                <w:color w:val="auto"/>
              </w:rPr>
            </w:pPr>
            <w:r>
              <w:rPr>
                <w:rFonts w:ascii="Arial" w:cs="Arial" w:eastAsia="Arial" w:hAnsi="Arial"/>
                <w:sz w:val="18"/>
                <w:szCs w:val="18"/>
                <w:color w:val="auto"/>
              </w:rPr>
              <w:t>10.5</w:t>
            </w: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w w:val="93"/>
              </w:rPr>
              <w:t>Second Amendment to Sublease Agreement dated March 2,</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700" w:type="dxa"/>
            <w:vAlign w:val="bottom"/>
            <w:gridSpan w:val="3"/>
          </w:tcPr>
          <w:p>
            <w:pPr>
              <w:ind w:left="160"/>
              <w:spacing w:after="0" w:line="189" w:lineRule="exact"/>
              <w:rPr>
                <w:sz w:val="20"/>
                <w:szCs w:val="20"/>
                <w:color w:val="auto"/>
              </w:rPr>
            </w:pPr>
            <w:r>
              <w:rPr>
                <w:rFonts w:ascii="Arial" w:cs="Arial" w:eastAsia="Arial" w:hAnsi="Arial"/>
                <w:sz w:val="18"/>
                <w:szCs w:val="18"/>
                <w:color w:val="auto"/>
              </w:rPr>
              <w:t>2017, by and between the Company and NXP USA, Inc.</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700" w:type="dxa"/>
            <w:vAlign w:val="bottom"/>
            <w:gridSpan w:val="3"/>
          </w:tcPr>
          <w:p>
            <w:pPr>
              <w:ind w:left="160"/>
              <w:spacing w:after="0" w:line="189" w:lineRule="exact"/>
              <w:rPr>
                <w:sz w:val="20"/>
                <w:szCs w:val="20"/>
                <w:color w:val="auto"/>
              </w:rPr>
            </w:pPr>
            <w:r>
              <w:rPr>
                <w:rFonts w:ascii="Arial" w:cs="Arial" w:eastAsia="Arial" w:hAnsi="Arial"/>
                <w:sz w:val="18"/>
                <w:szCs w:val="18"/>
                <w:color w:val="auto"/>
                <w:w w:val="98"/>
              </w:rPr>
              <w:t>and Consent to of Landlord to Sublease, dated March 10,</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700" w:type="dxa"/>
            <w:vAlign w:val="bottom"/>
            <w:gridSpan w:val="3"/>
          </w:tcPr>
          <w:p>
            <w:pPr>
              <w:ind w:left="160"/>
              <w:spacing w:after="0" w:line="189" w:lineRule="exact"/>
              <w:rPr>
                <w:sz w:val="20"/>
                <w:szCs w:val="20"/>
                <w:color w:val="auto"/>
              </w:rPr>
            </w:pPr>
            <w:r>
              <w:rPr>
                <w:rFonts w:ascii="Arial" w:cs="Arial" w:eastAsia="Arial" w:hAnsi="Arial"/>
                <w:sz w:val="18"/>
                <w:szCs w:val="18"/>
                <w:color w:val="auto"/>
              </w:rPr>
              <w:t>2017, by and among the Company, NXP USA, Inc. and</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VWP-BV CM 5670, LLC.</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gridSpan w:val="2"/>
          </w:tcPr>
          <w:p>
            <w:pPr>
              <w:jc w:val="center"/>
              <w:ind w:left="52"/>
              <w:spacing w:after="0"/>
              <w:rPr>
                <w:sz w:val="20"/>
                <w:szCs w:val="20"/>
                <w:color w:val="auto"/>
              </w:rPr>
            </w:pPr>
            <w:r>
              <w:rPr>
                <w:rFonts w:ascii="Arial" w:cs="Arial" w:eastAsia="Arial" w:hAnsi="Arial"/>
                <w:sz w:val="18"/>
                <w:szCs w:val="18"/>
                <w:color w:val="auto"/>
                <w:w w:val="90"/>
              </w:rPr>
              <w:t>001-37900</w:t>
            </w:r>
          </w:p>
        </w:tc>
        <w:tc>
          <w:tcPr>
            <w:tcW w:w="1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3/28/2017</w:t>
            </w:r>
          </w:p>
        </w:tc>
        <w:tc>
          <w:tcPr>
            <w:tcW w:w="0" w:type="dxa"/>
            <w:vAlign w:val="bottom"/>
          </w:tcPr>
          <w:p>
            <w:pPr>
              <w:spacing w:after="0"/>
              <w:rPr>
                <w:sz w:val="1"/>
                <w:szCs w:val="1"/>
                <w:color w:val="auto"/>
              </w:rPr>
            </w:pPr>
          </w:p>
        </w:tc>
      </w:tr>
      <w:tr>
        <w:trPr>
          <w:trHeight w:val="337"/>
        </w:trPr>
        <w:tc>
          <w:tcPr>
            <w:tcW w:w="700" w:type="dxa"/>
            <w:vAlign w:val="bottom"/>
          </w:tcPr>
          <w:p>
            <w:pPr>
              <w:spacing w:after="0"/>
              <w:rPr>
                <w:sz w:val="20"/>
                <w:szCs w:val="20"/>
                <w:color w:val="auto"/>
              </w:rPr>
            </w:pPr>
            <w:r>
              <w:rPr>
                <w:rFonts w:ascii="Arial" w:cs="Arial" w:eastAsia="Arial" w:hAnsi="Arial"/>
                <w:sz w:val="18"/>
                <w:szCs w:val="18"/>
                <w:color w:val="auto"/>
              </w:rPr>
              <w:t>10.6</w:t>
            </w: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w w:val="99"/>
              </w:rPr>
              <w:t>Executive Employment Agreement for Dr. Jon Slaughter,</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dated April 25, 2016</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80" w:type="dxa"/>
            <w:vAlign w:val="bottom"/>
            <w:gridSpan w:val="2"/>
          </w:tcPr>
          <w:p>
            <w:pPr>
              <w:jc w:val="center"/>
              <w:ind w:left="52"/>
              <w:spacing w:after="0"/>
              <w:rPr>
                <w:sz w:val="20"/>
                <w:szCs w:val="20"/>
                <w:color w:val="auto"/>
              </w:rPr>
            </w:pPr>
            <w:r>
              <w:rPr>
                <w:rFonts w:ascii="Arial" w:cs="Arial" w:eastAsia="Arial" w:hAnsi="Arial"/>
                <w:sz w:val="18"/>
                <w:szCs w:val="18"/>
                <w:color w:val="auto"/>
                <w:w w:val="90"/>
              </w:rPr>
              <w:t>001-37900</w:t>
            </w:r>
          </w:p>
        </w:tc>
        <w:tc>
          <w:tcPr>
            <w:tcW w:w="1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10.25</w:t>
            </w:r>
          </w:p>
        </w:tc>
        <w:tc>
          <w:tcPr>
            <w:tcW w:w="1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3/29/2017</w:t>
            </w:r>
          </w:p>
        </w:tc>
        <w:tc>
          <w:tcPr>
            <w:tcW w:w="0" w:type="dxa"/>
            <w:vAlign w:val="bottom"/>
          </w:tcPr>
          <w:p>
            <w:pPr>
              <w:spacing w:after="0"/>
              <w:rPr>
                <w:sz w:val="1"/>
                <w:szCs w:val="1"/>
                <w:color w:val="auto"/>
              </w:rPr>
            </w:pPr>
          </w:p>
        </w:tc>
      </w:tr>
      <w:tr>
        <w:trPr>
          <w:trHeight w:val="323"/>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Certification of Principal Executive Officer Pursuant to</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700" w:type="dxa"/>
            <w:vAlign w:val="bottom"/>
            <w:gridSpan w:val="3"/>
          </w:tcPr>
          <w:p>
            <w:pPr>
              <w:ind w:left="160"/>
              <w:spacing w:after="0" w:line="189" w:lineRule="exact"/>
              <w:rPr>
                <w:sz w:val="20"/>
                <w:szCs w:val="20"/>
                <w:color w:val="auto"/>
              </w:rPr>
            </w:pPr>
            <w:r>
              <w:rPr>
                <w:rFonts w:ascii="Arial" w:cs="Arial" w:eastAsia="Arial" w:hAnsi="Arial"/>
                <w:sz w:val="18"/>
                <w:szCs w:val="18"/>
                <w:color w:val="auto"/>
              </w:rPr>
              <w:t>Rules 13a-14(a) and 15d-14(a) under the Securities</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700" w:type="dxa"/>
            <w:vAlign w:val="bottom"/>
            <w:gridSpan w:val="3"/>
          </w:tcPr>
          <w:p>
            <w:pPr>
              <w:ind w:left="160"/>
              <w:spacing w:after="0" w:line="189" w:lineRule="exact"/>
              <w:rPr>
                <w:sz w:val="20"/>
                <w:szCs w:val="20"/>
                <w:color w:val="auto"/>
              </w:rPr>
            </w:pPr>
            <w:r>
              <w:rPr>
                <w:rFonts w:ascii="Arial" w:cs="Arial" w:eastAsia="Arial" w:hAnsi="Arial"/>
                <w:sz w:val="18"/>
                <w:szCs w:val="18"/>
                <w:color w:val="auto"/>
                <w:w w:val="95"/>
              </w:rPr>
              <w:t>Exchange Act of 1934, as Adopted Pursuant to Section 302</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0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of the Sarbanes-Oxley Act of 2002.</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rPr>
              <w:t>31.2*</w:t>
            </w:r>
          </w:p>
        </w:tc>
        <w:tc>
          <w:tcPr>
            <w:tcW w:w="4700" w:type="dxa"/>
            <w:vAlign w:val="bottom"/>
            <w:gridSpan w:val="3"/>
          </w:tcPr>
          <w:p>
            <w:pPr>
              <w:ind w:left="160"/>
              <w:spacing w:after="0" w:line="189" w:lineRule="exact"/>
              <w:rPr>
                <w:sz w:val="20"/>
                <w:szCs w:val="20"/>
                <w:color w:val="auto"/>
              </w:rPr>
            </w:pPr>
            <w:r>
              <w:rPr>
                <w:rFonts w:ascii="Arial" w:cs="Arial" w:eastAsia="Arial" w:hAnsi="Arial"/>
                <w:sz w:val="18"/>
                <w:szCs w:val="18"/>
                <w:color w:val="auto"/>
              </w:rPr>
              <w:t>Certification of Principal Financial Officer Pursuant to</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700" w:type="dxa"/>
            <w:vAlign w:val="bottom"/>
            <w:gridSpan w:val="3"/>
          </w:tcPr>
          <w:p>
            <w:pPr>
              <w:ind w:left="160"/>
              <w:spacing w:after="0" w:line="189" w:lineRule="exact"/>
              <w:rPr>
                <w:sz w:val="20"/>
                <w:szCs w:val="20"/>
                <w:color w:val="auto"/>
              </w:rPr>
            </w:pPr>
            <w:r>
              <w:rPr>
                <w:rFonts w:ascii="Arial" w:cs="Arial" w:eastAsia="Arial" w:hAnsi="Arial"/>
                <w:sz w:val="18"/>
                <w:szCs w:val="18"/>
                <w:color w:val="auto"/>
              </w:rPr>
              <w:t>Rules 13a-14(a) and 15d-14(a) under the Securities</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700" w:type="dxa"/>
            <w:vAlign w:val="bottom"/>
            <w:gridSpan w:val="3"/>
          </w:tcPr>
          <w:p>
            <w:pPr>
              <w:ind w:left="160"/>
              <w:spacing w:after="0" w:line="189" w:lineRule="exact"/>
              <w:rPr>
                <w:sz w:val="20"/>
                <w:szCs w:val="20"/>
                <w:color w:val="auto"/>
              </w:rPr>
            </w:pPr>
            <w:r>
              <w:rPr>
                <w:rFonts w:ascii="Arial" w:cs="Arial" w:eastAsia="Arial" w:hAnsi="Arial"/>
                <w:sz w:val="18"/>
                <w:szCs w:val="18"/>
                <w:color w:val="auto"/>
                <w:w w:val="95"/>
              </w:rPr>
              <w:t>Exchange Act of 1934, as Adopted Pursuant to Section 302</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70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of the Sarbanes-Oxley Act of 2002.</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rPr>
              <w:t>32.1**</w:t>
            </w:r>
          </w:p>
        </w:tc>
        <w:tc>
          <w:tcPr>
            <w:tcW w:w="4700" w:type="dxa"/>
            <w:vAlign w:val="bottom"/>
            <w:gridSpan w:val="3"/>
          </w:tcPr>
          <w:p>
            <w:pPr>
              <w:ind w:left="160"/>
              <w:spacing w:after="0" w:line="189" w:lineRule="exact"/>
              <w:rPr>
                <w:sz w:val="20"/>
                <w:szCs w:val="20"/>
                <w:color w:val="auto"/>
              </w:rPr>
            </w:pPr>
            <w:r>
              <w:rPr>
                <w:rFonts w:ascii="Arial" w:cs="Arial" w:eastAsia="Arial" w:hAnsi="Arial"/>
                <w:sz w:val="18"/>
                <w:szCs w:val="18"/>
                <w:color w:val="auto"/>
              </w:rPr>
              <w:t>Certification of Principal Executive Officer and Principal</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700" w:type="dxa"/>
            <w:vAlign w:val="bottom"/>
            <w:gridSpan w:val="3"/>
          </w:tcPr>
          <w:p>
            <w:pPr>
              <w:ind w:left="160"/>
              <w:spacing w:after="0" w:line="189" w:lineRule="exact"/>
              <w:rPr>
                <w:sz w:val="20"/>
                <w:szCs w:val="20"/>
                <w:color w:val="auto"/>
              </w:rPr>
            </w:pPr>
            <w:r>
              <w:rPr>
                <w:rFonts w:ascii="Arial" w:cs="Arial" w:eastAsia="Arial" w:hAnsi="Arial"/>
                <w:sz w:val="18"/>
                <w:szCs w:val="18"/>
                <w:color w:val="auto"/>
              </w:rPr>
              <w:t>Financial Officer Pursuant to 18 U.S.C. Section 1350, as</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700" w:type="dxa"/>
            <w:vAlign w:val="bottom"/>
            <w:gridSpan w:val="3"/>
          </w:tcPr>
          <w:p>
            <w:pPr>
              <w:ind w:left="160"/>
              <w:spacing w:after="0" w:line="189" w:lineRule="exact"/>
              <w:rPr>
                <w:sz w:val="20"/>
                <w:szCs w:val="20"/>
                <w:color w:val="auto"/>
              </w:rPr>
            </w:pPr>
            <w:r>
              <w:rPr>
                <w:rFonts w:ascii="Arial" w:cs="Arial" w:eastAsia="Arial" w:hAnsi="Arial"/>
                <w:sz w:val="18"/>
                <w:szCs w:val="18"/>
                <w:color w:val="auto"/>
                <w:w w:val="94"/>
              </w:rPr>
              <w:t>Adopted Pursuant to Section 906 of the Sarbanes-Oxley Act</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of 2002.</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700" w:type="dxa"/>
            <w:vAlign w:val="bottom"/>
          </w:tcPr>
          <w:p>
            <w:pPr>
              <w:spacing w:after="0"/>
              <w:rPr>
                <w:sz w:val="24"/>
                <w:szCs w:val="24"/>
                <w:color w:val="auto"/>
              </w:rPr>
            </w:pPr>
          </w:p>
        </w:tc>
        <w:tc>
          <w:tcPr>
            <w:tcW w:w="4520" w:type="dxa"/>
            <w:vAlign w:val="bottom"/>
            <w:gridSpan w:val="2"/>
          </w:tcPr>
          <w:p>
            <w:pPr>
              <w:jc w:val="right"/>
              <w:ind w:right="528"/>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3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442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4420" w:type="dxa"/>
            <w:vAlign w:val="bottom"/>
          </w:tcPr>
          <w:p>
            <w:pPr>
              <w:ind w:left="80"/>
              <w:spacing w:after="0" w:line="202" w:lineRule="exact"/>
              <w:rPr>
                <w:sz w:val="20"/>
                <w:szCs w:val="20"/>
                <w:color w:val="auto"/>
              </w:rPr>
            </w:pPr>
            <w:r>
              <w:rPr>
                <w:rFonts w:ascii="Arial" w:cs="Arial" w:eastAsia="Arial" w:hAnsi="Arial"/>
                <w:sz w:val="18"/>
                <w:szCs w:val="18"/>
                <w:color w:val="auto"/>
              </w:rPr>
              <w:t>XBRL Taxonomy Extension Schema Document</w:t>
            </w:r>
          </w:p>
        </w:tc>
      </w:tr>
      <w:tr>
        <w:trPr>
          <w:trHeight w:val="189"/>
        </w:trPr>
        <w:tc>
          <w:tcPr>
            <w:tcW w:w="780" w:type="dxa"/>
            <w:vAlign w:val="bottom"/>
          </w:tcPr>
          <w:p>
            <w:pPr>
              <w:spacing w:after="0" w:line="189" w:lineRule="exact"/>
              <w:rPr>
                <w:sz w:val="20"/>
                <w:szCs w:val="20"/>
                <w:color w:val="auto"/>
              </w:rPr>
            </w:pPr>
            <w:r>
              <w:rPr>
                <w:rFonts w:ascii="Arial" w:cs="Arial" w:eastAsia="Arial" w:hAnsi="Arial"/>
                <w:sz w:val="18"/>
                <w:szCs w:val="18"/>
                <w:color w:val="auto"/>
              </w:rPr>
              <w:t>101.CAL</w:t>
            </w:r>
          </w:p>
        </w:tc>
        <w:tc>
          <w:tcPr>
            <w:tcW w:w="4420" w:type="dxa"/>
            <w:vAlign w:val="bottom"/>
          </w:tcPr>
          <w:p>
            <w:pPr>
              <w:ind w:left="80"/>
              <w:spacing w:after="0" w:line="189" w:lineRule="exact"/>
              <w:rPr>
                <w:sz w:val="20"/>
                <w:szCs w:val="20"/>
                <w:color w:val="auto"/>
              </w:rPr>
            </w:pPr>
            <w:r>
              <w:rPr>
                <w:rFonts w:ascii="Arial" w:cs="Arial" w:eastAsia="Arial" w:hAnsi="Arial"/>
                <w:sz w:val="18"/>
                <w:szCs w:val="18"/>
                <w:color w:val="auto"/>
              </w:rPr>
              <w:t>XBRL Taxonomy Extension Calculation Linkbase</w:t>
            </w:r>
          </w:p>
        </w:tc>
      </w:tr>
      <w:tr>
        <w:trPr>
          <w:trHeight w:val="203"/>
        </w:trPr>
        <w:tc>
          <w:tcPr>
            <w:tcW w:w="780" w:type="dxa"/>
            <w:vAlign w:val="bottom"/>
          </w:tcPr>
          <w:p>
            <w:pPr>
              <w:spacing w:after="0"/>
              <w:rPr>
                <w:sz w:val="17"/>
                <w:szCs w:val="17"/>
                <w:color w:val="auto"/>
              </w:rPr>
            </w:pPr>
          </w:p>
        </w:tc>
        <w:tc>
          <w:tcPr>
            <w:tcW w:w="4420" w:type="dxa"/>
            <w:vAlign w:val="bottom"/>
          </w:tcPr>
          <w:p>
            <w:pPr>
              <w:ind w:left="80"/>
              <w:spacing w:after="0" w:line="202" w:lineRule="exact"/>
              <w:rPr>
                <w:sz w:val="20"/>
                <w:szCs w:val="20"/>
                <w:color w:val="auto"/>
              </w:rPr>
            </w:pPr>
            <w:r>
              <w:rPr>
                <w:rFonts w:ascii="Arial" w:cs="Arial" w:eastAsia="Arial" w:hAnsi="Arial"/>
                <w:sz w:val="18"/>
                <w:szCs w:val="18"/>
                <w:color w:val="auto"/>
              </w:rPr>
              <w:t>Document</w:t>
            </w:r>
          </w:p>
        </w:tc>
      </w:tr>
      <w:tr>
        <w:trPr>
          <w:trHeight w:val="203"/>
        </w:trPr>
        <w:tc>
          <w:tcPr>
            <w:tcW w:w="78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4420" w:type="dxa"/>
            <w:vAlign w:val="bottom"/>
          </w:tcPr>
          <w:p>
            <w:pPr>
              <w:ind w:left="80"/>
              <w:spacing w:after="0" w:line="202" w:lineRule="exact"/>
              <w:rPr>
                <w:sz w:val="20"/>
                <w:szCs w:val="20"/>
                <w:color w:val="auto"/>
              </w:rPr>
            </w:pPr>
            <w:r>
              <w:rPr>
                <w:rFonts w:ascii="Arial" w:cs="Arial" w:eastAsia="Arial" w:hAnsi="Arial"/>
                <w:sz w:val="18"/>
                <w:szCs w:val="18"/>
                <w:color w:val="auto"/>
                <w:w w:val="93"/>
              </w:rPr>
              <w:t>XBRL Taxonomy Extension Definition Linkbase Document</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4420" w:type="dxa"/>
            <w:vAlign w:val="bottom"/>
          </w:tcPr>
          <w:p>
            <w:pPr>
              <w:ind w:left="80"/>
              <w:spacing w:after="0"/>
              <w:rPr>
                <w:sz w:val="20"/>
                <w:szCs w:val="20"/>
                <w:color w:val="auto"/>
              </w:rPr>
            </w:pPr>
            <w:r>
              <w:rPr>
                <w:rFonts w:ascii="Arial" w:cs="Arial" w:eastAsia="Arial" w:hAnsi="Arial"/>
                <w:sz w:val="18"/>
                <w:szCs w:val="18"/>
                <w:color w:val="auto"/>
                <w:w w:val="99"/>
              </w:rPr>
              <w:t>XBRL Taxonomy Extension Label Linkbase Document</w:t>
            </w:r>
          </w:p>
        </w:tc>
      </w:tr>
      <w:tr>
        <w:trPr>
          <w:trHeight w:val="337"/>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442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w:t>
            </w:r>
          </w:p>
        </w:tc>
      </w:tr>
      <w:tr>
        <w:trPr>
          <w:trHeight w:val="230"/>
        </w:trPr>
        <w:tc>
          <w:tcPr>
            <w:tcW w:w="780" w:type="dxa"/>
            <w:vAlign w:val="bottom"/>
          </w:tcPr>
          <w:p>
            <w:pPr>
              <w:spacing w:after="0"/>
              <w:rPr>
                <w:sz w:val="20"/>
                <w:szCs w:val="20"/>
                <w:color w:val="auto"/>
              </w:rPr>
            </w:pPr>
          </w:p>
        </w:tc>
        <w:tc>
          <w:tcPr>
            <w:tcW w:w="4420" w:type="dxa"/>
            <w:vAlign w:val="bottom"/>
          </w:tcPr>
          <w:p>
            <w:pPr>
              <w:ind w:left="80"/>
              <w:spacing w:after="0"/>
              <w:rPr>
                <w:sz w:val="20"/>
                <w:szCs w:val="20"/>
                <w:color w:val="auto"/>
              </w:rPr>
            </w:pPr>
            <w:r>
              <w:rPr>
                <w:rFonts w:ascii="Arial" w:cs="Arial" w:eastAsia="Arial" w:hAnsi="Arial"/>
                <w:sz w:val="18"/>
                <w:szCs w:val="18"/>
                <w:color w:val="auto"/>
              </w:rPr>
              <w:t>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14408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2" w:lineRule="exact"/>
        <w:rPr>
          <w:sz w:val="20"/>
          <w:szCs w:val="20"/>
          <w:color w:val="auto"/>
        </w:rPr>
      </w:pPr>
    </w:p>
    <w:p>
      <w:pPr>
        <w:ind w:left="320" w:hanging="317"/>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Phillip LoPresti, certify that: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1.  I have reviewed this Form 10-Q of Everspin Technologies, Inc.;</w:t>
      </w:r>
    </w:p>
    <w:p>
      <w:pPr>
        <w:spacing w:after="0" w:line="144" w:lineRule="exact"/>
        <w:rPr>
          <w:sz w:val="20"/>
          <w:szCs w:val="20"/>
          <w:color w:val="auto"/>
        </w:rPr>
      </w:pPr>
    </w:p>
    <w:p>
      <w:pPr>
        <w:ind w:left="140" w:right="80" w:hanging="134"/>
        <w:spacing w:after="0" w:line="22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sz w:val="20"/>
          <w:szCs w:val="20"/>
          <w:color w:val="auto"/>
        </w:rPr>
      </w:pPr>
    </w:p>
    <w:p>
      <w:pPr>
        <w:jc w:val="both"/>
        <w:ind w:left="140" w:right="100" w:hanging="134"/>
        <w:spacing w:after="0" w:line="224"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sz w:val="20"/>
          <w:szCs w:val="20"/>
          <w:color w:val="auto"/>
        </w:rPr>
      </w:pPr>
    </w:p>
    <w:p>
      <w:pPr>
        <w:ind w:left="140" w:right="520" w:hanging="134"/>
        <w:spacing w:after="0" w:line="258"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for the registrant and have:</w:t>
      </w:r>
    </w:p>
    <w:p>
      <w:pPr>
        <w:spacing w:after="0" w:line="106" w:lineRule="exact"/>
        <w:rPr>
          <w:sz w:val="20"/>
          <w:szCs w:val="20"/>
          <w:color w:val="auto"/>
        </w:rPr>
      </w:pPr>
    </w:p>
    <w:p>
      <w:pPr>
        <w:jc w:val="both"/>
        <w:ind w:left="320" w:firstLine="7"/>
        <w:spacing w:after="0" w:line="219" w:lineRule="auto"/>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320" w:firstLine="7"/>
        <w:spacing w:after="0" w:line="224" w:lineRule="auto"/>
        <w:tabs>
          <w:tab w:leader="none" w:pos="599"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320" w:firstLine="7"/>
        <w:spacing w:after="0" w:line="219" w:lineRule="auto"/>
        <w:tabs>
          <w:tab w:leader="none" w:pos="565"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left="140" w:right="240" w:hanging="134"/>
        <w:spacing w:after="0" w:line="224"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jc w:val="both"/>
        <w:ind w:left="320" w:firstLine="7"/>
        <w:spacing w:after="0" w:line="224" w:lineRule="auto"/>
        <w:tabs>
          <w:tab w:leader="none" w:pos="593"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320" w:firstLine="7"/>
        <w:spacing w:after="0" w:line="235" w:lineRule="auto"/>
        <w:tabs>
          <w:tab w:leader="none" w:pos="581"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2017</w:t>
      </w:r>
    </w:p>
    <w:p>
      <w:pPr>
        <w:spacing w:after="0" w:line="15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Phillip LoPresti</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Phillip LoPresti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-121920</wp:posOffset>
            </wp:positionV>
            <wp:extent cx="25387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Jeffrey Winzeler, certify that:</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 have reviewed this Form 10-Q of Everspin Technologies, Inc.;</w:t>
      </w:r>
    </w:p>
    <w:p>
      <w:pPr>
        <w:spacing w:after="0" w:line="144" w:lineRule="exact"/>
        <w:rPr>
          <w:sz w:val="20"/>
          <w:szCs w:val="20"/>
          <w:color w:val="auto"/>
        </w:rPr>
      </w:pPr>
    </w:p>
    <w:p>
      <w:pPr>
        <w:jc w:val="both"/>
        <w:ind w:left="460" w:right="60" w:hanging="134"/>
        <w:spacing w:after="0" w:line="22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sz w:val="20"/>
          <w:szCs w:val="20"/>
          <w:color w:val="auto"/>
        </w:rPr>
      </w:pPr>
    </w:p>
    <w:p>
      <w:pPr>
        <w:ind w:left="460" w:right="20" w:hanging="134"/>
        <w:spacing w:after="0" w:line="224"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sz w:val="20"/>
          <w:szCs w:val="20"/>
          <w:color w:val="auto"/>
        </w:rPr>
      </w:pPr>
    </w:p>
    <w:p>
      <w:pPr>
        <w:ind w:left="460" w:right="200" w:hanging="134"/>
        <w:spacing w:after="0" w:line="258"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for the registrant and have:</w:t>
      </w:r>
    </w:p>
    <w:p>
      <w:pPr>
        <w:spacing w:after="0" w:line="106" w:lineRule="exact"/>
        <w:rPr>
          <w:sz w:val="20"/>
          <w:szCs w:val="20"/>
          <w:color w:val="auto"/>
        </w:rPr>
      </w:pPr>
    </w:p>
    <w:p>
      <w:pPr>
        <w:jc w:val="both"/>
        <w:ind w:left="860" w:hanging="202"/>
        <w:spacing w:after="0" w:line="219"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sz w:val="20"/>
          <w:szCs w:val="20"/>
          <w:color w:val="auto"/>
        </w:rPr>
      </w:pPr>
    </w:p>
    <w:p>
      <w:pPr>
        <w:jc w:val="both"/>
        <w:ind w:left="860" w:hanging="215"/>
        <w:spacing w:after="0" w:line="224" w:lineRule="auto"/>
        <w:rPr>
          <w:sz w:val="20"/>
          <w:szCs w:val="20"/>
          <w:color w:val="auto"/>
        </w:rPr>
      </w:pPr>
      <w:r>
        <w:rPr>
          <w:rFonts w:ascii="Arial" w:cs="Arial" w:eastAsia="Arial" w:hAnsi="Arial"/>
          <w:sz w:val="18"/>
          <w:szCs w:val="18"/>
          <w:color w:val="auto"/>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sz w:val="20"/>
          <w:szCs w:val="20"/>
          <w:color w:val="auto"/>
        </w:rPr>
      </w:pPr>
    </w:p>
    <w:p>
      <w:pPr>
        <w:jc w:val="both"/>
        <w:ind w:left="860" w:hanging="202"/>
        <w:spacing w:after="0" w:line="219" w:lineRule="auto"/>
        <w:rPr>
          <w:sz w:val="20"/>
          <w:szCs w:val="20"/>
          <w:color w:val="auto"/>
        </w:rPr>
      </w:pPr>
      <w:r>
        <w:rPr>
          <w:rFonts w:ascii="Arial" w:cs="Arial" w:eastAsia="Arial" w:hAnsi="Arial"/>
          <w:sz w:val="18"/>
          <w:szCs w:val="18"/>
          <w:color w:val="auto"/>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jc w:val="both"/>
        <w:ind w:left="460" w:right="280" w:hanging="134"/>
        <w:spacing w:after="0" w:line="224"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jc w:val="both"/>
        <w:ind w:left="860" w:hanging="202"/>
        <w:spacing w:after="0" w:line="22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sz w:val="20"/>
          <w:szCs w:val="20"/>
          <w:color w:val="auto"/>
        </w:rPr>
      </w:pPr>
    </w:p>
    <w:p>
      <w:pPr>
        <w:jc w:val="both"/>
        <w:ind w:left="860" w:hanging="215"/>
        <w:spacing w:after="0" w:line="235"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2017</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Jeffrey Winzeler</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Jeffrey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-121920</wp:posOffset>
            </wp:positionV>
            <wp:extent cx="23926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189"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Phillip LoPresti, President and Chief Executive Officer of Everspin Technologies, Inc. (the “Company”), and Jeffrey Winzeler, Chief Financial Officer of the Company, each hereby certify that, to the best of his knowledge:</w:t>
      </w:r>
    </w:p>
    <w:p>
      <w:pPr>
        <w:spacing w:after="0" w:line="163" w:lineRule="exact"/>
        <w:rPr>
          <w:sz w:val="20"/>
          <w:szCs w:val="20"/>
          <w:color w:val="auto"/>
        </w:rPr>
      </w:pPr>
    </w:p>
    <w:p>
      <w:pPr>
        <w:ind w:right="240" w:firstLine="3"/>
        <w:spacing w:after="0" w:line="224"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2017, to which this Certification is attached as Exhibit 32.1 (the “Periodic Report”), fully complies with the requirements of Section 13(a) or Section 15(d) of the Exchange Act; and</w:t>
      </w:r>
    </w:p>
    <w:p>
      <w:pPr>
        <w:spacing w:after="0" w:line="163" w:lineRule="exact"/>
        <w:rPr>
          <w:rFonts w:ascii="Arial" w:cs="Arial" w:eastAsia="Arial" w:hAnsi="Arial"/>
          <w:sz w:val="18"/>
          <w:szCs w:val="18"/>
          <w:color w:val="auto"/>
        </w:rPr>
      </w:pPr>
    </w:p>
    <w:p>
      <w:pPr>
        <w:ind w:right="20" w:firstLine="3"/>
        <w:spacing w:after="0" w:line="235"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2017</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Phillip LoPresti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5754370" cy="8578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857885"/>
                    </a:xfrm>
                    <a:prstGeom prst="rect">
                      <a:avLst/>
                    </a:prstGeom>
                    <a:noFill/>
                  </pic:spPr>
                </pic:pic>
              </a:graphicData>
            </a:graphic>
          </wp:anchor>
        </w:drawing>
      </w:r>
    </w:p>
    <w:p>
      <w:pPr>
        <w:ind w:left="5440"/>
        <w:spacing w:after="0" w:line="232" w:lineRule="auto"/>
        <w:rPr>
          <w:sz w:val="20"/>
          <w:szCs w:val="20"/>
          <w:color w:val="auto"/>
        </w:rPr>
      </w:pPr>
      <w:r>
        <w:rPr>
          <w:rFonts w:ascii="Arial" w:cs="Arial" w:eastAsia="Arial" w:hAnsi="Arial"/>
          <w:sz w:val="18"/>
          <w:szCs w:val="18"/>
          <w:color w:val="auto"/>
        </w:rPr>
        <w:t>Phillip LoPresti</w:t>
      </w:r>
    </w:p>
    <w:p>
      <w:pPr>
        <w:spacing w:after="0" w:line="1" w:lineRule="exact"/>
        <w:rPr>
          <w:sz w:val="20"/>
          <w:szCs w:val="20"/>
          <w:color w:val="auto"/>
        </w:rPr>
      </w:pPr>
    </w:p>
    <w:p>
      <w:pPr>
        <w:ind w:left="5440"/>
        <w:spacing w:after="0"/>
        <w:rPr>
          <w:sz w:val="20"/>
          <w:szCs w:val="20"/>
          <w:color w:val="auto"/>
        </w:rPr>
      </w:pPr>
      <w:r>
        <w:rPr>
          <w:rFonts w:ascii="Arial" w:cs="Arial" w:eastAsia="Arial" w:hAnsi="Arial"/>
          <w:sz w:val="17"/>
          <w:szCs w:val="17"/>
          <w:i w:val="1"/>
          <w:iCs w:val="1"/>
          <w:color w:val="auto"/>
        </w:rPr>
        <w:t>President, Chief Executive Officer and Director</w:t>
      </w:r>
    </w:p>
    <w:p>
      <w:pPr>
        <w:spacing w:after="0" w:line="16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Jeffrey Winzeler</w:t>
      </w:r>
    </w:p>
    <w:p>
      <w:pPr>
        <w:ind w:left="5440"/>
        <w:spacing w:after="0" w:line="232" w:lineRule="auto"/>
        <w:rPr>
          <w:sz w:val="20"/>
          <w:szCs w:val="20"/>
          <w:color w:val="auto"/>
        </w:rPr>
      </w:pPr>
      <w:r>
        <w:rPr>
          <w:rFonts w:ascii="Arial" w:cs="Arial" w:eastAsia="Arial" w:hAnsi="Arial"/>
          <w:sz w:val="18"/>
          <w:szCs w:val="18"/>
          <w:color w:val="auto"/>
        </w:rPr>
        <w:t>Jeffrey Winzeler</w:t>
      </w:r>
    </w:p>
    <w:p>
      <w:pPr>
        <w:spacing w:after="0" w:line="1" w:lineRule="exact"/>
        <w:rPr>
          <w:sz w:val="20"/>
          <w:szCs w:val="20"/>
          <w:color w:val="auto"/>
        </w:rPr>
      </w:pPr>
    </w:p>
    <w:p>
      <w:pPr>
        <w:ind w:left="5440"/>
        <w:spacing w:after="0"/>
        <w:rPr>
          <w:sz w:val="20"/>
          <w:szCs w:val="20"/>
          <w:color w:val="auto"/>
        </w:rPr>
      </w:pPr>
      <w:r>
        <w:rPr>
          <w:rFonts w:ascii="Arial" w:cs="Arial" w:eastAsia="Arial" w:hAnsi="Arial"/>
          <w:sz w:val="18"/>
          <w:szCs w:val="18"/>
          <w:i w:val="1"/>
          <w:iCs w:val="1"/>
          <w:color w:val="auto"/>
        </w:rPr>
        <w:t>Chief Financial Officer</w:t>
      </w:r>
    </w:p>
    <w:p>
      <w:pPr>
        <w:spacing w:after="0" w:line="142"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2019-12-29T06:02:11Z</dcterms:created>
  <dcterms:modified xsi:type="dcterms:W3CDTF">2019-12-29T06:02:11Z</dcterms:modified>
</cp:coreProperties>
</file>