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51435</wp:posOffset>
            </wp:positionV>
            <wp:extent cx="162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10"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74295</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5" w:lineRule="exact"/>
        <w:rPr>
          <w:sz w:val="24"/>
          <w:szCs w:val="24"/>
          <w:color w:val="auto"/>
        </w:rPr>
      </w:pPr>
    </w:p>
    <w:p>
      <w:pPr>
        <w:ind w:left="1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10" w:hanging="410"/>
        <w:spacing w:after="0"/>
        <w:tabs>
          <w:tab w:leader="none" w:pos="41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352"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w:t>
      </w:r>
    </w:p>
    <w:p>
      <w:pPr>
        <w:spacing w:after="0" w:line="17" w:lineRule="exact"/>
        <w:rPr>
          <w:sz w:val="24"/>
          <w:szCs w:val="24"/>
          <w:color w:val="auto"/>
        </w:rPr>
      </w:pPr>
    </w:p>
    <w:p>
      <w:pPr>
        <w:ind w:left="410"/>
        <w:spacing w:after="0"/>
        <w:tabs>
          <w:tab w:leader="none" w:pos="5890" w:val="left"/>
        </w:tabs>
        <w:rPr>
          <w:sz w:val="20"/>
          <w:szCs w:val="20"/>
          <w:color w:val="auto"/>
        </w:rPr>
      </w:pPr>
      <w:r>
        <w:rPr>
          <w:rFonts w:ascii="Arial" w:cs="Arial" w:eastAsia="Arial" w:hAnsi="Arial"/>
          <w:sz w:val="20"/>
          <w:szCs w:val="20"/>
          <w:b w:val="1"/>
          <w:bCs w:val="1"/>
          <w:color w:val="auto"/>
        </w:rPr>
        <w:t>OF 1934 FOR THE TRANSITION PERIOD FROM</w:t>
      </w:r>
      <w:r>
        <w:rPr>
          <w:sz w:val="20"/>
          <w:szCs w:val="20"/>
          <w:color w:val="auto"/>
        </w:rPr>
        <w:tab/>
      </w:r>
      <w:r>
        <w:rPr>
          <w:rFonts w:ascii="Arial" w:cs="Arial" w:eastAsia="Arial" w:hAnsi="Arial"/>
          <w:sz w:val="20"/>
          <w:szCs w:val="20"/>
          <w:b w:val="1"/>
          <w:bCs w:val="1"/>
          <w:color w:val="auto"/>
        </w:rPr>
        <w:t>TO</w:t>
      </w:r>
    </w:p>
    <w:p>
      <w:pPr>
        <w:spacing w:after="0" w:line="17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50165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3" w:lineRule="exact"/>
        <w:rPr>
          <w:sz w:val="24"/>
          <w:szCs w:val="24"/>
          <w:color w:val="auto"/>
        </w:rPr>
      </w:pPr>
    </w:p>
    <w:p>
      <w:pPr>
        <w:jc w:val="center"/>
        <w:ind w:right="10"/>
        <w:spacing w:after="0"/>
        <w:rPr>
          <w:sz w:val="20"/>
          <w:szCs w:val="20"/>
          <w:color w:val="auto"/>
        </w:rPr>
      </w:pPr>
      <w:r>
        <w:rPr>
          <w:rFonts w:ascii="Arial" w:cs="Arial" w:eastAsia="Arial" w:hAnsi="Arial"/>
          <w:sz w:val="40"/>
          <w:szCs w:val="40"/>
          <w:b w:val="1"/>
          <w:bCs w:val="1"/>
          <w:color w:val="auto"/>
        </w:rPr>
        <w:t>Everspin Technologies, Inc.</w:t>
      </w:r>
    </w:p>
    <w:p>
      <w:pPr>
        <w:spacing w:after="0" w:line="37"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34925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p>
      <w:pPr>
        <w:spacing w:after="0" w:line="95" w:lineRule="exact"/>
        <w:rPr>
          <w:sz w:val="24"/>
          <w:szCs w:val="24"/>
          <w:color w:val="auto"/>
        </w:rPr>
      </w:pPr>
    </w:p>
    <w:p>
      <w:pPr>
        <w:ind w:left="223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26-2640654</w:t>
      </w:r>
    </w:p>
    <w:p>
      <w:pPr>
        <w:spacing w:after="0" w:line="36" w:lineRule="exact"/>
        <w:rPr>
          <w:sz w:val="24"/>
          <w:szCs w:val="24"/>
          <w:color w:val="auto"/>
        </w:rPr>
      </w:pPr>
    </w:p>
    <w:p>
      <w:pPr>
        <w:sectPr>
          <w:pgSz w:w="11900" w:h="16838" w:orient="portrait"/>
          <w:cols w:equalWidth="0" w:num="2">
            <w:col w:w="6550" w:space="720"/>
            <w:col w:w="2980"/>
          </w:cols>
          <w:pgMar w:left="830" w:top="665" w:right="819" w:bottom="1440" w:gutter="0" w:footer="0" w:header="0"/>
          <w:type w:val="continuous"/>
        </w:sectPr>
      </w:pPr>
    </w:p>
    <w:p>
      <w:pPr>
        <w:jc w:val="center"/>
        <w:ind w:right="1270"/>
        <w:spacing w:after="0"/>
        <w:rPr>
          <w:sz w:val="20"/>
          <w:szCs w:val="20"/>
          <w:color w:val="auto"/>
        </w:rPr>
      </w:pPr>
      <w:r>
        <w:rPr>
          <w:rFonts w:ascii="Arial" w:cs="Arial" w:eastAsia="Arial" w:hAnsi="Arial"/>
          <w:sz w:val="14"/>
          <w:szCs w:val="14"/>
          <w:b w:val="1"/>
          <w:bCs w:val="1"/>
          <w:color w:val="auto"/>
        </w:rPr>
        <w:t>(State or other jurisdiction</w:t>
      </w:r>
    </w:p>
    <w:p>
      <w:pPr>
        <w:jc w:val="center"/>
        <w:ind w:right="127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7" w:lineRule="exact"/>
        <w:rPr>
          <w:sz w:val="24"/>
          <w:szCs w:val="24"/>
          <w:color w:val="auto"/>
        </w:rPr>
      </w:pPr>
    </w:p>
    <w:p>
      <w:pPr>
        <w:sectPr>
          <w:pgSz w:w="11900" w:h="16838" w:orient="portrait"/>
          <w:cols w:equalWidth="0" w:num="2">
            <w:col w:w="6390" w:space="720"/>
            <w:col w:w="3140"/>
          </w:cols>
          <w:pgMar w:left="830" w:top="665" w:right="819" w:bottom="1440" w:gutter="0" w:footer="0" w:header="0"/>
          <w:type w:val="continuous"/>
        </w:sectPr>
      </w:pPr>
    </w:p>
    <w:p>
      <w:pPr>
        <w:jc w:val="center"/>
        <w:ind w:right="30"/>
        <w:spacing w:after="0"/>
        <w:rPr>
          <w:sz w:val="20"/>
          <w:szCs w:val="20"/>
          <w:color w:val="auto"/>
        </w:rPr>
      </w:pPr>
      <w:r>
        <w:rPr>
          <w:rFonts w:ascii="Arial" w:cs="Arial" w:eastAsia="Arial" w:hAnsi="Arial"/>
          <w:sz w:val="16"/>
          <w:szCs w:val="16"/>
          <w:b w:val="1"/>
          <w:bCs w:val="1"/>
          <w:color w:val="auto"/>
        </w:rPr>
        <w:t>5670 W. Chandler Boulevard, Suite 100</w:t>
      </w:r>
    </w:p>
    <w:p>
      <w:pPr>
        <w:spacing w:after="0" w:line="26" w:lineRule="exact"/>
        <w:rPr>
          <w:sz w:val="24"/>
          <w:szCs w:val="24"/>
          <w:color w:val="auto"/>
        </w:rPr>
      </w:pPr>
    </w:p>
    <w:p>
      <w:pPr>
        <w:jc w:val="center"/>
        <w:ind w:right="30"/>
        <w:spacing w:after="0"/>
        <w:rPr>
          <w:sz w:val="20"/>
          <w:szCs w:val="20"/>
          <w:color w:val="auto"/>
        </w:rPr>
      </w:pPr>
      <w:r>
        <w:rPr>
          <w:rFonts w:ascii="Arial" w:cs="Arial" w:eastAsia="Arial" w:hAnsi="Arial"/>
          <w:sz w:val="16"/>
          <w:szCs w:val="16"/>
          <w:b w:val="1"/>
          <w:bCs w:val="1"/>
          <w:color w:val="auto"/>
        </w:rPr>
        <w:t>Chandler, Arizona 85226</w:t>
      </w:r>
    </w:p>
    <w:p>
      <w:pPr>
        <w:spacing w:after="0" w:line="18" w:lineRule="exact"/>
        <w:rPr>
          <w:sz w:val="24"/>
          <w:szCs w:val="24"/>
          <w:color w:val="auto"/>
        </w:rPr>
      </w:pPr>
    </w:p>
    <w:p>
      <w:pPr>
        <w:jc w:val="center"/>
        <w:ind w:right="3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250"/>
          </w:cols>
          <w:pgMar w:left="830" w:top="665" w:right="819" w:bottom="1440" w:gutter="0" w:footer="0" w:header="0"/>
          <w:type w:val="continuous"/>
        </w:sectPr>
      </w:pPr>
    </w:p>
    <w:p>
      <w:pPr>
        <w:spacing w:after="0" w:line="30" w:lineRule="exact"/>
        <w:rPr>
          <w:sz w:val="24"/>
          <w:szCs w:val="24"/>
          <w:color w:val="auto"/>
        </w:rPr>
      </w:pPr>
    </w:p>
    <w:p>
      <w:pPr>
        <w:ind w:left="2790"/>
        <w:spacing w:after="0"/>
        <w:rPr>
          <w:sz w:val="20"/>
          <w:szCs w:val="20"/>
          <w:color w:val="auto"/>
        </w:rPr>
      </w:pPr>
      <w:r>
        <w:rPr>
          <w:rFonts w:ascii="Arial" w:cs="Arial" w:eastAsia="Arial" w:hAnsi="Arial"/>
          <w:sz w:val="16"/>
          <w:szCs w:val="16"/>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38100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62" w:lineRule="exact"/>
        <w:rPr>
          <w:sz w:val="24"/>
          <w:szCs w:val="24"/>
          <w:color w:val="auto"/>
        </w:rPr>
      </w:pPr>
    </w:p>
    <w:p>
      <w:pPr>
        <w:ind w:left="1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3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342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Name of the exchange on which registered</w:t>
            </w:r>
          </w:p>
        </w:tc>
        <w:tc>
          <w:tcPr>
            <w:tcW w:w="0" w:type="dxa"/>
            <w:vAlign w:val="bottom"/>
          </w:tcPr>
          <w:p>
            <w:pPr>
              <w:spacing w:after="0"/>
              <w:rPr>
                <w:sz w:val="1"/>
                <w:szCs w:val="1"/>
                <w:color w:val="auto"/>
              </w:rPr>
            </w:pPr>
          </w:p>
        </w:tc>
      </w:tr>
      <w:tr>
        <w:trPr>
          <w:trHeight w:val="169"/>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par value $0.0001</w:t>
            </w:r>
          </w:p>
        </w:tc>
        <w:tc>
          <w:tcPr>
            <w:tcW w:w="3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MRAM</w:t>
            </w: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25"/>
        </w:trPr>
        <w:tc>
          <w:tcPr>
            <w:tcW w:w="68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vMerge w:val="restart"/>
          </w:tcPr>
          <w:p>
            <w:pPr>
              <w:ind w:left="100"/>
              <w:spacing w:after="0" w:line="196"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62"/>
        </w:trPr>
        <w:tc>
          <w:tcPr>
            <w:tcW w:w="714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40" w:type="dxa"/>
            <w:vAlign w:val="bottom"/>
          </w:tcPr>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820" w:type="dxa"/>
            <w:vAlign w:val="bottom"/>
            <w:gridSpan w:val="2"/>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320" w:type="dxa"/>
            <w:vAlign w:val="bottom"/>
          </w:tcPr>
          <w:p>
            <w:pPr>
              <w:ind w:left="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0" w:type="dxa"/>
            <w:vAlign w:val="bottom"/>
          </w:tcPr>
          <w:p>
            <w:pPr>
              <w:jc w:val="center"/>
              <w:spacing w:after="0"/>
              <w:rPr>
                <w:sz w:val="20"/>
                <w:szCs w:val="20"/>
                <w:color w:val="auto"/>
              </w:rPr>
            </w:pPr>
            <w:r>
              <w:rPr>
                <w:rFonts w:ascii="Arial" w:cs="Arial" w:eastAsia="Arial" w:hAnsi="Arial"/>
                <w:sz w:val="14"/>
                <w:szCs w:val="14"/>
                <w:color w:val="auto"/>
              </w:rPr>
              <w:t>NO</w:t>
            </w:r>
          </w:p>
        </w:tc>
        <w:tc>
          <w:tcPr>
            <w:tcW w:w="28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0" w:right="200"/>
        <w:spacing w:after="0" w:line="24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10"/>
        <w:spacing w:after="0" w:line="196" w:lineRule="exact"/>
        <w:tabs>
          <w:tab w:leader="none" w:pos="119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88" w:lineRule="exact"/>
        <w:rPr>
          <w:sz w:val="24"/>
          <w:szCs w:val="24"/>
          <w:color w:val="auto"/>
        </w:rPr>
      </w:pPr>
    </w:p>
    <w:p>
      <w:pPr>
        <w:ind w:left="10" w:right="6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ind w:left="10" w:right="10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12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260" w:type="dxa"/>
            <w:vAlign w:val="bottom"/>
          </w:tcPr>
          <w:p>
            <w:pPr>
              <w:ind w:left="1200"/>
              <w:spacing w:after="0"/>
              <w:rPr>
                <w:sz w:val="20"/>
                <w:szCs w:val="20"/>
                <w:color w:val="auto"/>
              </w:rPr>
            </w:pPr>
            <w:r>
              <w:rPr>
                <w:rFonts w:ascii="Arial" w:cs="Arial" w:eastAsia="Arial" w:hAnsi="Arial"/>
                <w:sz w:val="14"/>
                <w:szCs w:val="14"/>
                <w:color w:val="auto"/>
              </w:rPr>
              <w:t>Accelerated filer</w:t>
            </w:r>
          </w:p>
        </w:tc>
        <w:tc>
          <w:tcPr>
            <w:tcW w:w="180" w:type="dxa"/>
            <w:vAlign w:val="bottom"/>
          </w:tcPr>
          <w:p>
            <w:pPr>
              <w:ind w:left="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12"/>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12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260" w:type="dxa"/>
            <w:vAlign w:val="bottom"/>
          </w:tcPr>
          <w:p>
            <w:pPr>
              <w:ind w:left="1200"/>
              <w:spacing w:after="0"/>
              <w:rPr>
                <w:sz w:val="20"/>
                <w:szCs w:val="20"/>
                <w:color w:val="auto"/>
              </w:rPr>
            </w:pPr>
            <w:r>
              <w:rPr>
                <w:rFonts w:ascii="Arial" w:cs="Arial" w:eastAsia="Arial" w:hAnsi="Arial"/>
                <w:sz w:val="14"/>
                <w:szCs w:val="14"/>
                <w:color w:val="auto"/>
              </w:rPr>
              <w:t>Smaller reporting company</w:t>
            </w:r>
          </w:p>
        </w:tc>
        <w:tc>
          <w:tcPr>
            <w:tcW w:w="180" w:type="dxa"/>
            <w:vAlign w:val="bottom"/>
          </w:tcPr>
          <w:p>
            <w:pPr>
              <w:ind w:left="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84"/>
        </w:trPr>
        <w:tc>
          <w:tcPr>
            <w:tcW w:w="15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260" w:type="dxa"/>
            <w:vAlign w:val="bottom"/>
          </w:tcPr>
          <w:p>
            <w:pPr>
              <w:ind w:left="1200"/>
              <w:spacing w:after="0"/>
              <w:rPr>
                <w:sz w:val="20"/>
                <w:szCs w:val="20"/>
                <w:color w:val="auto"/>
              </w:rPr>
            </w:pPr>
            <w:r>
              <w:rPr>
                <w:rFonts w:ascii="Arial" w:cs="Arial" w:eastAsia="Arial" w:hAnsi="Arial"/>
                <w:sz w:val="14"/>
                <w:szCs w:val="14"/>
                <w:color w:val="auto"/>
              </w:rPr>
              <w:t>Emerging growth company</w:t>
            </w:r>
          </w:p>
        </w:tc>
        <w:tc>
          <w:tcPr>
            <w:tcW w:w="180" w:type="dxa"/>
            <w:vAlign w:val="bottom"/>
          </w:tcPr>
          <w:p>
            <w:pPr>
              <w:ind w:left="60"/>
              <w:spacing w:after="0" w:line="184" w:lineRule="exact"/>
              <w:rPr>
                <w:sz w:val="20"/>
                <w:szCs w:val="20"/>
                <w:color w:val="auto"/>
              </w:rPr>
            </w:pPr>
            <w:r>
              <w:rPr>
                <w:rFonts w:ascii="Arial Unicode MS" w:cs="Arial Unicode MS" w:eastAsia="Arial Unicode MS" w:hAnsi="Arial Unicode MS"/>
                <w:sz w:val="14"/>
                <w:szCs w:val="14"/>
                <w:color w:val="auto"/>
                <w:w w:val="96"/>
              </w:rPr>
              <w:t>☒</w:t>
            </w:r>
          </w:p>
        </w:tc>
      </w:tr>
      <w:tr>
        <w:trPr>
          <w:trHeight w:val="140"/>
        </w:trPr>
        <w:tc>
          <w:tcPr>
            <w:tcW w:w="9880" w:type="dxa"/>
            <w:vAlign w:val="bottom"/>
            <w:gridSpan w:val="3"/>
          </w:tcPr>
          <w:p>
            <w:pPr>
              <w:spacing w:after="0" w:line="141" w:lineRule="exact"/>
              <w:rPr>
                <w:sz w:val="20"/>
                <w:szCs w:val="20"/>
                <w:color w:val="auto"/>
              </w:rPr>
            </w:pPr>
            <w:r>
              <w:rPr>
                <w:rFonts w:ascii="Arial" w:cs="Arial" w:eastAsia="Arial" w:hAnsi="Arial"/>
                <w:sz w:val="14"/>
                <w:szCs w:val="14"/>
                <w:color w:val="auto"/>
                <w:w w:val="97"/>
              </w:rPr>
              <w:t>If an emerging growth company, indicate by check mark if the registrant has elected not to use the extended transition period for complying with any new or revised</w:t>
            </w:r>
          </w:p>
        </w:tc>
        <w:tc>
          <w:tcPr>
            <w:tcW w:w="180" w:type="dxa"/>
            <w:vAlign w:val="bottom"/>
          </w:tcPr>
          <w:p>
            <w:pPr>
              <w:spacing w:after="0"/>
              <w:rPr>
                <w:sz w:val="12"/>
                <w:szCs w:val="12"/>
                <w:color w:val="auto"/>
              </w:rPr>
            </w:pPr>
          </w:p>
        </w:tc>
      </w:tr>
      <w:tr>
        <w:trPr>
          <w:trHeight w:val="226"/>
        </w:trPr>
        <w:tc>
          <w:tcPr>
            <w:tcW w:w="662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financial accounting standards provided pursuant to Section 13(a) of the Exchange Act. </w:t>
            </w:r>
            <w:r>
              <w:rPr>
                <w:rFonts w:ascii="Arial Unicode MS" w:cs="Arial Unicode MS" w:eastAsia="Arial Unicode MS" w:hAnsi="Arial Unicode MS"/>
                <w:sz w:val="14"/>
                <w:szCs w:val="14"/>
                <w:color w:val="auto"/>
              </w:rPr>
              <w:t>☒</w:t>
            </w: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9"/>
        </w:trPr>
        <w:tc>
          <w:tcPr>
            <w:tcW w:w="988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has filed a report on and attestation to its management’s assessment of the effectiveness of its internal control over financial</w:t>
            </w:r>
          </w:p>
        </w:tc>
        <w:tc>
          <w:tcPr>
            <w:tcW w:w="180" w:type="dxa"/>
            <w:vAlign w:val="bottom"/>
          </w:tcPr>
          <w:p>
            <w:pPr>
              <w:spacing w:after="0"/>
              <w:rPr>
                <w:sz w:val="15"/>
                <w:szCs w:val="15"/>
                <w:color w:val="auto"/>
              </w:rPr>
            </w:pPr>
          </w:p>
        </w:tc>
      </w:tr>
      <w:tr>
        <w:trPr>
          <w:trHeight w:val="217"/>
        </w:trPr>
        <w:tc>
          <w:tcPr>
            <w:tcW w:w="9880" w:type="dxa"/>
            <w:vAlign w:val="bottom"/>
            <w:gridSpan w:val="3"/>
          </w:tcPr>
          <w:p>
            <w:pPr>
              <w:spacing w:after="0" w:line="188" w:lineRule="exact"/>
              <w:rPr>
                <w:sz w:val="20"/>
                <w:szCs w:val="20"/>
                <w:color w:val="auto"/>
              </w:rPr>
            </w:pPr>
            <w:r>
              <w:rPr>
                <w:rFonts w:ascii="Arial" w:cs="Arial" w:eastAsia="Arial" w:hAnsi="Arial"/>
                <w:sz w:val="14"/>
                <w:szCs w:val="14"/>
                <w:color w:val="auto"/>
                <w:w w:val="99"/>
              </w:rPr>
              <w:t xml:space="preserve">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w w:val="99"/>
              </w:rPr>
              <w:t>☐</w:t>
            </w:r>
          </w:p>
        </w:tc>
        <w:tc>
          <w:tcPr>
            <w:tcW w:w="180" w:type="dxa"/>
            <w:vAlign w:val="bottom"/>
          </w:tcPr>
          <w:p>
            <w:pPr>
              <w:spacing w:after="0"/>
              <w:rPr>
                <w:sz w:val="18"/>
                <w:szCs w:val="18"/>
                <w:color w:val="auto"/>
              </w:rPr>
            </w:pPr>
          </w:p>
        </w:tc>
      </w:tr>
      <w:tr>
        <w:trPr>
          <w:trHeight w:val="254"/>
        </w:trPr>
        <w:tc>
          <w:tcPr>
            <w:tcW w:w="6620" w:type="dxa"/>
            <w:vAlign w:val="bottom"/>
            <w:gridSpan w:val="2"/>
          </w:tcPr>
          <w:p>
            <w:pPr>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3260" w:type="dxa"/>
            <w:vAlign w:val="bottom"/>
          </w:tcPr>
          <w:p>
            <w:pPr>
              <w:ind w:left="60"/>
              <w:spacing w:after="0" w:line="189" w:lineRule="exact"/>
              <w:rPr>
                <w:sz w:val="20"/>
                <w:szCs w:val="20"/>
                <w:color w:val="auto"/>
              </w:rPr>
            </w:pPr>
            <w:r>
              <w:rPr>
                <w:rFonts w:ascii="Arial" w:cs="Arial" w:eastAsia="Arial" w:hAnsi="Arial"/>
                <w:sz w:val="14"/>
                <w:szCs w:val="14"/>
                <w:color w:val="auto"/>
              </w:rPr>
              <w:t>YES</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r>
              <w:rPr>
                <w:rFonts w:ascii="Arial Unicode MS" w:cs="Arial Unicode MS" w:eastAsia="Arial Unicode MS" w:hAnsi="Arial Unicode MS"/>
                <w:sz w:val="14"/>
                <w:szCs w:val="14"/>
                <w:color w:val="auto"/>
              </w:rPr>
              <w:t>☒</w:t>
            </w:r>
          </w:p>
        </w:tc>
        <w:tc>
          <w:tcPr>
            <w:tcW w:w="180" w:type="dxa"/>
            <w:vAlign w:val="bottom"/>
          </w:tcPr>
          <w:p>
            <w:pPr>
              <w:spacing w:after="0"/>
              <w:rPr>
                <w:sz w:val="22"/>
                <w:szCs w:val="22"/>
                <w:color w:val="auto"/>
              </w:rPr>
            </w:pPr>
          </w:p>
        </w:tc>
      </w:tr>
    </w:tbl>
    <w:p>
      <w:pPr>
        <w:spacing w:after="0" w:line="50" w:lineRule="exact"/>
        <w:rPr>
          <w:sz w:val="24"/>
          <w:szCs w:val="24"/>
          <w:color w:val="auto"/>
        </w:rPr>
      </w:pPr>
    </w:p>
    <w:p>
      <w:pPr>
        <w:ind w:left="10" w:right="40"/>
        <w:spacing w:after="0" w:line="255" w:lineRule="auto"/>
        <w:rPr>
          <w:sz w:val="20"/>
          <w:szCs w:val="20"/>
          <w:color w:val="auto"/>
        </w:rPr>
      </w:pPr>
      <w:r>
        <w:rPr>
          <w:rFonts w:ascii="Arial" w:cs="Arial" w:eastAsia="Arial" w:hAnsi="Arial"/>
          <w:sz w:val="13"/>
          <w:szCs w:val="13"/>
          <w:color w:val="auto"/>
        </w:rPr>
        <w:t>As of June 30, 2020, the last business day of the Registrant’s most recently completed second fiscal quarter, the aggregate market value of the common stock of Registrant held by non-affiliates, based upon the closing sales price for the Registrant’s common stock for such date, as quoted on the Nasdaq Global Market, was approximately $105.3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26" w:lineRule="exact"/>
        <w:rPr>
          <w:sz w:val="24"/>
          <w:szCs w:val="24"/>
          <w:color w:val="auto"/>
        </w:rPr>
      </w:pPr>
    </w:p>
    <w:p>
      <w:pPr>
        <w:ind w:left="10"/>
        <w:spacing w:after="0"/>
        <w:rPr>
          <w:sz w:val="20"/>
          <w:szCs w:val="20"/>
          <w:color w:val="auto"/>
        </w:rPr>
      </w:pPr>
      <w:r>
        <w:rPr>
          <w:rFonts w:ascii="Arial" w:cs="Arial" w:eastAsia="Arial" w:hAnsi="Arial"/>
          <w:sz w:val="14"/>
          <w:szCs w:val="14"/>
          <w:color w:val="auto"/>
        </w:rPr>
        <w:t>The number of shares of Registrant’s Common Stock outstanding as of February 25, 2021 was 19,077,432.</w:t>
      </w:r>
    </w:p>
    <w:p>
      <w:pPr>
        <w:spacing w:after="0" w:line="55" w:lineRule="exact"/>
        <w:rPr>
          <w:sz w:val="24"/>
          <w:szCs w:val="24"/>
          <w:color w:val="auto"/>
        </w:rPr>
      </w:pPr>
    </w:p>
    <w:p>
      <w:pPr>
        <w:ind w:left="3550"/>
        <w:spacing w:after="0"/>
        <w:rPr>
          <w:sz w:val="20"/>
          <w:szCs w:val="20"/>
          <w:color w:val="auto"/>
        </w:rPr>
      </w:pPr>
      <w:r>
        <w:rPr>
          <w:rFonts w:ascii="Arial" w:cs="Arial" w:eastAsia="Arial" w:hAnsi="Arial"/>
          <w:sz w:val="14"/>
          <w:szCs w:val="14"/>
          <w:color w:val="auto"/>
        </w:rPr>
        <w:t>DOCUMENTS INCORPORATED BY REFERENCE</w:t>
      </w:r>
    </w:p>
    <w:p>
      <w:pPr>
        <w:spacing w:after="0" w:line="69" w:lineRule="exact"/>
        <w:rPr>
          <w:sz w:val="24"/>
          <w:szCs w:val="24"/>
          <w:color w:val="auto"/>
        </w:rPr>
      </w:pPr>
    </w:p>
    <w:p>
      <w:pPr>
        <w:ind w:left="10" w:right="40"/>
        <w:spacing w:after="0" w:line="264"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which will be filed with the Securities and Exchange Commission within 120 days after the end of the Registrant’s fiscal year ended December 31, 2020, are incorporated by reference into Part III of this Report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439420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80" w:type="dxa"/>
            <w:vAlign w:val="bottom"/>
            <w:gridSpan w:val="2"/>
          </w:tcPr>
          <w:p>
            <w:pPr>
              <w:ind w:left="2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0" w:type="dxa"/>
            <w:vAlign w:val="bottom"/>
            <w:vMerge w:val="restart"/>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7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7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1A.</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1B.</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Properties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78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5.</w:t>
              </w:r>
            </w:hyperlink>
          </w:p>
        </w:tc>
        <w:tc>
          <w:tcPr>
            <w:tcW w:w="73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w:t>
              </w:r>
            </w:hyperlink>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80" w:type="dxa"/>
            <w:vAlign w:val="bottom"/>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[Reserved]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7.</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7A.</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8.</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Financial Statements and Supplementary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9.</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9A.</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9B.</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32"/>
        </w:trPr>
        <w:tc>
          <w:tcPr>
            <w:tcW w:w="780" w:type="dxa"/>
            <w:vAlign w:val="bottom"/>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PART III</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10.</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12.</w:t>
              </w:r>
            </w:hyperlink>
          </w:p>
        </w:tc>
        <w:tc>
          <w:tcPr>
            <w:tcW w:w="7680" w:type="dxa"/>
            <w:vAlign w:val="bottom"/>
            <w:gridSpan w:val="3"/>
          </w:tcPr>
          <w:p>
            <w:pPr>
              <w:spacing w:after="0"/>
              <w:rPr>
                <w:rFonts w:ascii="Arial" w:cs="Arial" w:eastAsia="Arial" w:hAnsi="Arial"/>
                <w:sz w:val="18"/>
                <w:szCs w:val="18"/>
                <w:u w:val="single" w:color="auto"/>
                <w:color w:val="0000EE"/>
                <w:w w:val="95"/>
              </w:rPr>
            </w:pPr>
            <w:hyperlink w:anchor="page68">
              <w:r>
                <w:rPr>
                  <w:rFonts w:ascii="Arial" w:cs="Arial" w:eastAsia="Arial" w:hAnsi="Arial"/>
                  <w:sz w:val="18"/>
                  <w:szCs w:val="18"/>
                  <w:u w:val="single" w:color="auto"/>
                  <w:color w:val="0000EE"/>
                  <w:w w:val="95"/>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13.</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Certain Relationships and Related Transactions, and Director Independence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14.</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Principal Accountant Fees and Services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780" w:type="dxa"/>
            <w:vAlign w:val="bottom"/>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PART IV</w:t>
              </w:r>
            </w:hyperlink>
          </w:p>
        </w:tc>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15.</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 and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16.</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Form 10-K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46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60" w:right="139" w:firstLine="401"/>
        <w:spacing w:after="0" w:line="270" w:lineRule="auto"/>
        <w:rPr>
          <w:sz w:val="20"/>
          <w:szCs w:val="20"/>
          <w:color w:val="auto"/>
        </w:rPr>
      </w:pPr>
      <w:r>
        <w:rPr>
          <w:rFonts w:ascii="Arial" w:cs="Arial" w:eastAsia="Arial" w:hAnsi="Arial"/>
          <w:sz w:val="17"/>
          <w:szCs w:val="17"/>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forward-looking statements can be identified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81" w:lineRule="exact"/>
        <w:rPr>
          <w:sz w:val="20"/>
          <w:szCs w:val="20"/>
          <w:color w:val="auto"/>
        </w:rPr>
      </w:pPr>
    </w:p>
    <w:p>
      <w:pPr>
        <w:ind w:left="800" w:hanging="331"/>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future revenue, expenses, capital requirements and our needs for additional financing;</w:t>
      </w:r>
    </w:p>
    <w:p>
      <w:pPr>
        <w:spacing w:after="0" w:line="128" w:lineRule="exact"/>
        <w:rPr>
          <w:rFonts w:ascii="Arial" w:cs="Arial" w:eastAsia="Arial" w:hAnsi="Arial"/>
          <w:sz w:val="17"/>
          <w:szCs w:val="17"/>
          <w:color w:val="auto"/>
        </w:rPr>
      </w:pPr>
    </w:p>
    <w:p>
      <w:pPr>
        <w:ind w:left="800" w:hanging="331"/>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products, technologies and businesses;</w:t>
      </w:r>
    </w:p>
    <w:p>
      <w:pPr>
        <w:spacing w:after="0" w:line="140" w:lineRule="exact"/>
        <w:rPr>
          <w:rFonts w:ascii="Arial" w:cs="Arial" w:eastAsia="Arial" w:hAnsi="Arial"/>
          <w:sz w:val="16"/>
          <w:szCs w:val="16"/>
          <w:color w:val="auto"/>
        </w:rPr>
      </w:pPr>
    </w:p>
    <w:p>
      <w:pPr>
        <w:ind w:left="800" w:right="119" w:hanging="331"/>
        <w:spacing w:after="0" w:line="26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impacts from the recent novel coronavirus (COVID-19) global pandemic on the Company, including to our business, results of operations, cash flows and financial position, as well as our future responses to the COVID-19 pandemic;</w:t>
      </w:r>
    </w:p>
    <w:p>
      <w:pPr>
        <w:spacing w:after="0" w:line="75"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17" w:lineRule="exact"/>
        <w:rPr>
          <w:rFonts w:ascii="Arial" w:cs="Arial" w:eastAsia="Arial" w:hAnsi="Arial"/>
          <w:sz w:val="18"/>
          <w:szCs w:val="18"/>
          <w:color w:val="auto"/>
        </w:rPr>
      </w:pPr>
    </w:p>
    <w:p>
      <w:pPr>
        <w:ind w:left="800" w:right="399" w:hanging="33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62" w:lineRule="exact"/>
        <w:rPr>
          <w:rFonts w:ascii="Arial" w:cs="Arial" w:eastAsia="Arial" w:hAnsi="Arial"/>
          <w:sz w:val="18"/>
          <w:szCs w:val="18"/>
          <w:color w:val="auto"/>
        </w:rPr>
      </w:pPr>
    </w:p>
    <w:p>
      <w:pPr>
        <w:ind w:left="800" w:right="499" w:hanging="331"/>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(IP) protection for our products or avoid claims of infringement;</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MRAM market opportunity; and</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share price.</w:t>
      </w:r>
    </w:p>
    <w:p>
      <w:pPr>
        <w:spacing w:after="0" w:line="225" w:lineRule="exact"/>
        <w:rPr>
          <w:sz w:val="20"/>
          <w:szCs w:val="20"/>
          <w:color w:val="auto"/>
        </w:rPr>
      </w:pPr>
    </w:p>
    <w:p>
      <w:pPr>
        <w:ind w:left="60" w:right="99" w:firstLine="401"/>
        <w:spacing w:after="0" w:line="286"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Additionally, there may be other risks that are otherwise described from time to time in the reports that we file with the Securities and Exchange Commission (SEC).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22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188" w:lineRule="exact"/>
        <w:rPr>
          <w:sz w:val="20"/>
          <w:szCs w:val="20"/>
          <w:color w:val="auto"/>
        </w:rPr>
      </w:pPr>
    </w:p>
    <w:p>
      <w:pPr>
        <w:ind w:left="800" w:right="15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800" w:right="27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which may continue in the future, and we cannot be certain that we will achieve or sustain profitability.</w:t>
      </w:r>
    </w:p>
    <w:p>
      <w:pPr>
        <w:spacing w:after="0" w:line="62" w:lineRule="exact"/>
        <w:rPr>
          <w:rFonts w:ascii="Arial" w:cs="Arial" w:eastAsia="Arial" w:hAnsi="Arial"/>
          <w:sz w:val="18"/>
          <w:szCs w:val="18"/>
          <w:color w:val="auto"/>
        </w:rPr>
      </w:pPr>
    </w:p>
    <w:p>
      <w:pPr>
        <w:jc w:val="both"/>
        <w:ind w:left="800" w:right="259" w:hanging="331"/>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COVID-19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0" w:lineRule="exact"/>
        <w:rPr>
          <w:rFonts w:ascii="Arial" w:cs="Arial" w:eastAsia="Arial" w:hAnsi="Arial"/>
          <w:sz w:val="16"/>
          <w:szCs w:val="16"/>
          <w:color w:val="auto"/>
        </w:rPr>
      </w:pPr>
    </w:p>
    <w:p>
      <w:pPr>
        <w:ind w:left="800" w:right="61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800" w:right="17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75" w:lineRule="exact"/>
        <w:rPr>
          <w:rFonts w:ascii="Arial" w:cs="Arial" w:eastAsia="Arial" w:hAnsi="Arial"/>
          <w:sz w:val="18"/>
          <w:szCs w:val="18"/>
          <w:color w:val="auto"/>
        </w:rPr>
      </w:pPr>
    </w:p>
    <w:p>
      <w:pPr>
        <w:ind w:left="800" w:right="219" w:hanging="331"/>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we expand into new potential markets, we expect to face intense competition, including from our customers and potential customers, and may not be able to compete effectively, which could harm our business.</w:t>
      </w:r>
    </w:p>
    <w:p>
      <w:pPr>
        <w:spacing w:after="0" w:line="15" w:lineRule="exact"/>
        <w:rPr>
          <w:rFonts w:ascii="Arial" w:cs="Arial" w:eastAsia="Arial" w:hAnsi="Arial"/>
          <w:sz w:val="16"/>
          <w:szCs w:val="16"/>
          <w:color w:val="auto"/>
        </w:rPr>
      </w:pPr>
    </w:p>
    <w:p>
      <w:pPr>
        <w:ind w:left="800" w:right="119" w:hanging="331"/>
        <w:spacing w:after="0" w:line="28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57" w:lineRule="exact"/>
        <w:rPr>
          <w:rFonts w:ascii="Arial" w:cs="Arial" w:eastAsia="Arial" w:hAnsi="Arial"/>
          <w:sz w:val="17"/>
          <w:szCs w:val="17"/>
          <w:color w:val="auto"/>
        </w:rPr>
      </w:pPr>
    </w:p>
    <w:p>
      <w:pPr>
        <w:ind w:left="800" w:hanging="33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800" w:right="13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semiconductor memory products is characterized by declines in average selling prices, which we expect to continue, and which could negatively affect our revenue and margins.</w:t>
      </w:r>
    </w:p>
    <w:p>
      <w:pPr>
        <w:spacing w:after="0" w:line="62" w:lineRule="exact"/>
        <w:rPr>
          <w:rFonts w:ascii="Arial" w:cs="Arial" w:eastAsia="Arial" w:hAnsi="Arial"/>
          <w:sz w:val="18"/>
          <w:szCs w:val="18"/>
          <w:color w:val="auto"/>
        </w:rPr>
      </w:pPr>
    </w:p>
    <w:p>
      <w:pPr>
        <w:ind w:left="800" w:right="13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800" w:right="359" w:hanging="331"/>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800" w:right="41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pacing w:after="0" w:line="62" w:lineRule="exact"/>
        <w:rPr>
          <w:rFonts w:ascii="Arial" w:cs="Arial" w:eastAsia="Arial" w:hAnsi="Arial"/>
          <w:sz w:val="18"/>
          <w:szCs w:val="18"/>
          <w:color w:val="auto"/>
        </w:rPr>
      </w:pPr>
    </w:p>
    <w:p>
      <w:pPr>
        <w:ind w:left="800" w:right="85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800" w:right="77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800" w:right="379" w:hanging="33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75" w:lineRule="exact"/>
        <w:rPr>
          <w:rFonts w:ascii="Arial" w:cs="Arial" w:eastAsia="Arial" w:hAnsi="Arial"/>
          <w:sz w:val="18"/>
          <w:szCs w:val="18"/>
          <w:color w:val="auto"/>
        </w:rPr>
      </w:pPr>
    </w:p>
    <w:p>
      <w:pPr>
        <w:ind w:left="800" w:right="399" w:hanging="33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of the United States which exposes us to significant risks.</w:t>
      </w:r>
    </w:p>
    <w:p>
      <w:pPr>
        <w:spacing w:after="0" w:line="6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For a more complete discussion of the material risk factors applicable to us, see “Risk Factors” in Part I, Item 1A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339" w:firstLine="401"/>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IP.</w:t>
      </w:r>
    </w:p>
    <w:p>
      <w:pPr>
        <w:spacing w:after="0" w:line="177" w:lineRule="exact"/>
        <w:rPr>
          <w:sz w:val="20"/>
          <w:szCs w:val="20"/>
          <w:color w:val="auto"/>
        </w:rPr>
      </w:pPr>
    </w:p>
    <w:p>
      <w:pPr>
        <w:ind w:left="60" w:right="159" w:firstLine="401"/>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 to industry-leading original equipment manufacturers (OEMs) and original design manufacturers (ODMs).</w:t>
      </w:r>
    </w:p>
    <w:p>
      <w:pPr>
        <w:spacing w:after="0" w:line="170" w:lineRule="exact"/>
        <w:rPr>
          <w:sz w:val="20"/>
          <w:szCs w:val="20"/>
          <w:color w:val="auto"/>
        </w:rPr>
      </w:pPr>
    </w:p>
    <w:p>
      <w:pPr>
        <w:ind w:left="60" w:right="179" w:firstLine="401"/>
        <w:spacing w:after="0" w:line="296" w:lineRule="auto"/>
        <w:rPr>
          <w:sz w:val="20"/>
          <w:szCs w:val="20"/>
          <w:color w:val="auto"/>
        </w:rPr>
      </w:pPr>
      <w:r>
        <w:rPr>
          <w:rFonts w:ascii="Arial" w:cs="Arial" w:eastAsia="Arial" w:hAnsi="Arial"/>
          <w:sz w:val="16"/>
          <w:szCs w:val="16"/>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processing as part of our strategic relationship with GLOBALFOUNDRIES.</w:t>
      </w:r>
    </w:p>
    <w:p>
      <w:pPr>
        <w:spacing w:after="0" w:line="161" w:lineRule="exact"/>
        <w:rPr>
          <w:sz w:val="20"/>
          <w:szCs w:val="20"/>
          <w:color w:val="auto"/>
        </w:rPr>
      </w:pPr>
    </w:p>
    <w:p>
      <w:pPr>
        <w:ind w:left="60" w:right="239" w:firstLine="401"/>
        <w:spacing w:after="0" w:line="259" w:lineRule="auto"/>
        <w:rPr>
          <w:sz w:val="20"/>
          <w:szCs w:val="20"/>
          <w:color w:val="auto"/>
        </w:rPr>
      </w:pPr>
      <w:r>
        <w:rPr>
          <w:rFonts w:ascii="Arial" w:cs="Arial" w:eastAsia="Arial" w:hAnsi="Arial"/>
          <w:sz w:val="18"/>
          <w:szCs w:val="18"/>
          <w:color w:val="auto"/>
        </w:rPr>
        <w:t>For the years ended December 31, 2020 and 2019, we recorded revenue of $42.0 million and $37.5 million, gross margin of 43.0% and 48.9%, and a net loss of $8.5 million and $14.7 million, respectively. Our headquarters is located in Chandler, Arizona. Our principal design center is in Austin, Texas, and we have additional sales operations in the Americas, Europe and Asia-Pacific regions.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Overview</w:t>
      </w:r>
    </w:p>
    <w:p>
      <w:pPr>
        <w:spacing w:after="0" w:line="229" w:lineRule="exact"/>
        <w:rPr>
          <w:sz w:val="20"/>
          <w:szCs w:val="20"/>
          <w:color w:val="auto"/>
        </w:rPr>
      </w:pPr>
    </w:p>
    <w:p>
      <w:pPr>
        <w:ind w:left="60" w:right="79" w:firstLine="401"/>
        <w:spacing w:after="0" w:line="263" w:lineRule="auto"/>
        <w:rPr>
          <w:sz w:val="20"/>
          <w:szCs w:val="20"/>
          <w:color w:val="auto"/>
        </w:rPr>
      </w:pPr>
      <w:r>
        <w:rPr>
          <w:rFonts w:ascii="Arial" w:cs="Arial" w:eastAsia="Arial" w:hAnsi="Arial"/>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Toggle MRAM</w:t>
      </w:r>
    </w:p>
    <w:p>
      <w:pPr>
        <w:spacing w:after="0" w:line="225" w:lineRule="exact"/>
        <w:rPr>
          <w:sz w:val="20"/>
          <w:szCs w:val="20"/>
          <w:color w:val="auto"/>
        </w:rPr>
      </w:pPr>
    </w:p>
    <w:p>
      <w:pPr>
        <w:ind w:left="60" w:right="219" w:firstLine="401"/>
        <w:spacing w:after="0" w:line="255" w:lineRule="auto"/>
        <w:rPr>
          <w:sz w:val="20"/>
          <w:szCs w:val="20"/>
          <w:color w:val="auto"/>
        </w:rPr>
      </w:pPr>
      <w:r>
        <w:rPr>
          <w:rFonts w:ascii="Arial" w:cs="Arial" w:eastAsia="Arial" w:hAnsi="Arial"/>
          <w:sz w:val="18"/>
          <w:szCs w:val="18"/>
          <w:color w:val="auto"/>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markets. We offer these products with industry standard interfaces, including Parallel, Serial Peripheral Interface (SPI) and Quad SPI (QSPI) interfaces, enabling our customers to easily replace legacy memory components like Static Random Access Memory (SRAM) and Ferroelectric Random Access Memory (FRAM) with Toggle MRAM.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Spin-transfer Torque MRAM</w:t>
      </w:r>
    </w:p>
    <w:p>
      <w:pPr>
        <w:spacing w:after="0" w:line="225" w:lineRule="exact"/>
        <w:rPr>
          <w:sz w:val="20"/>
          <w:szCs w:val="20"/>
          <w:color w:val="auto"/>
        </w:rPr>
      </w:pPr>
    </w:p>
    <w:p>
      <w:pPr>
        <w:ind w:left="60" w:right="179" w:firstLine="401"/>
        <w:spacing w:after="0" w:line="296" w:lineRule="auto"/>
        <w:rPr>
          <w:sz w:val="20"/>
          <w:szCs w:val="20"/>
          <w:color w:val="auto"/>
        </w:rPr>
      </w:pPr>
      <w:r>
        <w:rPr>
          <w:rFonts w:ascii="Arial" w:cs="Arial" w:eastAsia="Arial" w:hAnsi="Arial"/>
          <w:sz w:val="16"/>
          <w:szCs w:val="16"/>
          <w:color w:val="auto"/>
        </w:rPr>
        <w:t>Our STT-MRAM products started production in 2017 and are currently shipping in 256Mb and 1Gb densities. These high density, high performance persistent memories are delivering significant value to SSD, Persistent Memory Cards, Fabric Accelerator and other applications in the data center market. We offer these products with standard DDR3 and DDR4 derivative interfaces, facilitating the replacement of battery-backed DRAM with STT-MRAM. We plan to further proliferate this technology in products that target applications outside the data center in the near future.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TMR Sensors</w:t>
      </w:r>
    </w:p>
    <w:p>
      <w:pPr>
        <w:spacing w:after="0" w:line="225" w:lineRule="exact"/>
        <w:rPr>
          <w:sz w:val="20"/>
          <w:szCs w:val="20"/>
          <w:color w:val="auto"/>
        </w:rPr>
      </w:pPr>
    </w:p>
    <w:p>
      <w:pPr>
        <w:ind w:left="60" w:right="199" w:firstLine="401"/>
        <w:spacing w:after="0" w:line="286" w:lineRule="auto"/>
        <w:rPr>
          <w:sz w:val="20"/>
          <w:szCs w:val="20"/>
          <w:color w:val="auto"/>
        </w:rPr>
      </w:pPr>
      <w:r>
        <w:rPr>
          <w:rFonts w:ascii="Arial" w:cs="Arial" w:eastAsia="Arial" w:hAnsi="Arial"/>
          <w:sz w:val="17"/>
          <w:szCs w:val="17"/>
          <w:color w:val="auto"/>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and Royalty Overview</w:t>
      </w:r>
    </w:p>
    <w:p>
      <w:pPr>
        <w:spacing w:after="0" w:line="229" w:lineRule="exact"/>
        <w:rPr>
          <w:sz w:val="20"/>
          <w:szCs w:val="20"/>
          <w:color w:val="auto"/>
        </w:rPr>
      </w:pPr>
    </w:p>
    <w:p>
      <w:pPr>
        <w:ind w:left="60" w:right="279" w:firstLine="401"/>
        <w:spacing w:after="0" w:line="277" w:lineRule="auto"/>
        <w:rPr>
          <w:sz w:val="20"/>
          <w:szCs w:val="20"/>
          <w:color w:val="auto"/>
        </w:rPr>
      </w:pPr>
      <w:r>
        <w:rPr>
          <w:rFonts w:ascii="Arial" w:cs="Arial" w:eastAsia="Arial" w:hAnsi="Arial"/>
          <w:sz w:val="18"/>
          <w:szCs w:val="18"/>
          <w:color w:val="auto"/>
        </w:rPr>
        <w:t>We leverage our broad IP portfolio to enable licensing and royalty revenue streams from non-core applications that can derive valuable differentiation through the use of Everspin MRAM and TMR sensor IP.</w:t>
      </w:r>
    </w:p>
    <w:p>
      <w:pPr>
        <w:spacing w:after="0" w:line="170" w:lineRule="exact"/>
        <w:rPr>
          <w:sz w:val="20"/>
          <w:szCs w:val="20"/>
          <w:color w:val="auto"/>
        </w:rPr>
      </w:pPr>
    </w:p>
    <w:p>
      <w:pPr>
        <w:ind w:left="800" w:right="139" w:hanging="33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licensed GLOBALFOUNDRIES to offer embedded MRAM in the solutions they manufacture for their customers providing high-performance non-volatile embedded memory.</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licensed base MRAM design technology for use in radiation tolerant aerospace applications.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licensed TMR sensor IP in 3D magnetic field sensing and HDD read head applications.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Foundry Services Overview</w:t>
      </w:r>
    </w:p>
    <w:p>
      <w:pPr>
        <w:spacing w:after="0" w:line="229" w:lineRule="exact"/>
        <w:rPr>
          <w:sz w:val="20"/>
          <w:szCs w:val="20"/>
          <w:color w:val="auto"/>
        </w:rPr>
      </w:pPr>
    </w:p>
    <w:p>
      <w:pPr>
        <w:ind w:left="60" w:right="139" w:firstLine="401"/>
        <w:spacing w:after="0" w:line="301" w:lineRule="auto"/>
        <w:rPr>
          <w:sz w:val="20"/>
          <w:szCs w:val="20"/>
          <w:color w:val="auto"/>
        </w:rPr>
      </w:pPr>
      <w:r>
        <w:rPr>
          <w:rFonts w:ascii="Arial" w:cs="Arial" w:eastAsia="Arial" w:hAnsi="Arial"/>
          <w:sz w:val="16"/>
          <w:szCs w:val="16"/>
          <w:color w:val="auto"/>
        </w:rPr>
        <w:t>In our Chandler facility, we perform magnetic BEOL manufacturing services for customers who want to add MRAM functionality to their memory or application base circuits. These services allow aerospace and satellite electronic system manufacturers to integrate our MRAM technology that is able to withstand exposure to the levels of radiation encountered in avionics and space applications by virtue of being magnetic rather than electrical charge based.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401"/>
        <w:spacing w:after="0" w:line="275" w:lineRule="auto"/>
        <w:rPr>
          <w:sz w:val="20"/>
          <w:szCs w:val="20"/>
          <w:color w:val="auto"/>
        </w:rPr>
      </w:pPr>
      <w:r>
        <w:rPr>
          <w:rFonts w:ascii="Arial" w:cs="Arial" w:eastAsia="Arial" w:hAnsi="Arial"/>
          <w:sz w:val="17"/>
          <w:szCs w:val="17"/>
          <w:color w:val="auto"/>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 manufacturers. We also maintain direct selling relationships with several strategic customers. Our direct sales representatives are located in North America, Germany, Italy, Japan, Hong Kong, and Taiwan.</w:t>
      </w:r>
    </w:p>
    <w:p>
      <w:pPr>
        <w:spacing w:after="0" w:line="176"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78" w:lineRule="exact"/>
        <w:rPr>
          <w:sz w:val="20"/>
          <w:szCs w:val="20"/>
          <w:color w:val="auto"/>
        </w:rPr>
      </w:pPr>
    </w:p>
    <w:p>
      <w:pPr>
        <w:ind w:left="60" w:right="399" w:firstLine="401"/>
        <w:spacing w:after="0" w:line="311" w:lineRule="auto"/>
        <w:rPr>
          <w:sz w:val="20"/>
          <w:szCs w:val="20"/>
          <w:color w:val="auto"/>
        </w:rPr>
      </w:pPr>
      <w:r>
        <w:rPr>
          <w:rFonts w:ascii="Arial" w:cs="Arial" w:eastAsia="Arial" w:hAnsi="Arial"/>
          <w:sz w:val="16"/>
          <w:szCs w:val="16"/>
          <w:color w:val="auto"/>
        </w:rPr>
        <w:t>We have established relationships with several storage controller and Field Programmable Gate Array (FPGA) companies, including Phison Electronics, Sage Micro, and Xilinx as well as IP core companies, including Cadence and Northwest Logic, to facilitate the integration of our MRAM solutions into our customers’ end products.</w:t>
      </w:r>
    </w:p>
    <w:p>
      <w:pPr>
        <w:spacing w:after="0" w:line="149" w:lineRule="exact"/>
        <w:rPr>
          <w:sz w:val="20"/>
          <w:szCs w:val="20"/>
          <w:color w:val="auto"/>
        </w:rPr>
      </w:pPr>
    </w:p>
    <w:p>
      <w:pPr>
        <w:ind w:left="60" w:right="239" w:firstLine="401"/>
        <w:spacing w:after="0" w:line="263" w:lineRule="auto"/>
        <w:rPr>
          <w:sz w:val="20"/>
          <w:szCs w:val="20"/>
          <w:color w:val="auto"/>
        </w:rPr>
      </w:pPr>
      <w:r>
        <w:rPr>
          <w:rFonts w:ascii="Arial" w:cs="Arial" w:eastAsia="Arial" w:hAnsi="Arial"/>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84" w:lineRule="exact"/>
        <w:rPr>
          <w:sz w:val="20"/>
          <w:szCs w:val="20"/>
          <w:color w:val="auto"/>
        </w:rPr>
      </w:pPr>
    </w:p>
    <w:p>
      <w:pPr>
        <w:ind w:left="60" w:right="159" w:firstLine="401"/>
        <w:spacing w:after="0" w:line="275" w:lineRule="auto"/>
        <w:rPr>
          <w:sz w:val="20"/>
          <w:szCs w:val="20"/>
          <w:color w:val="auto"/>
        </w:rPr>
      </w:pPr>
      <w:r>
        <w:rPr>
          <w:rFonts w:ascii="Arial" w:cs="Arial" w:eastAsia="Arial" w:hAnsi="Arial"/>
          <w:sz w:val="17"/>
          <w:szCs w:val="17"/>
          <w:color w:val="auto"/>
        </w:rPr>
        <w:t>We consider our customer to be an end customer purchasing either directly from a distributor, or a contract manufacturer, or a customer purchasing directly from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76" w:lineRule="exact"/>
        <w:rPr>
          <w:sz w:val="20"/>
          <w:szCs w:val="20"/>
          <w:color w:val="auto"/>
        </w:rPr>
      </w:pPr>
    </w:p>
    <w:p>
      <w:pPr>
        <w:ind w:left="60" w:right="739" w:firstLine="401"/>
        <w:spacing w:after="0" w:line="277" w:lineRule="auto"/>
        <w:rPr>
          <w:sz w:val="20"/>
          <w:szCs w:val="20"/>
          <w:color w:val="auto"/>
        </w:rPr>
      </w:pPr>
      <w:r>
        <w:rPr>
          <w:rFonts w:ascii="Arial" w:cs="Arial" w:eastAsia="Arial" w:hAnsi="Arial"/>
          <w:sz w:val="18"/>
          <w:szCs w:val="18"/>
          <w:color w:val="auto"/>
        </w:rPr>
        <w:t>During the year ended December 31, 2020, more than 1,100 end customers purchased our products. One end customer accounted for more than 10% of our revenue during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79" w:firstLine="401"/>
        <w:spacing w:after="0" w:line="277" w:lineRule="auto"/>
        <w:rPr>
          <w:sz w:val="20"/>
          <w:szCs w:val="20"/>
          <w:color w:val="auto"/>
        </w:rPr>
      </w:pPr>
      <w:r>
        <w:rPr>
          <w:rFonts w:ascii="Arial" w:cs="Arial" w:eastAsia="Arial" w:hAnsi="Arial"/>
          <w:sz w:val="18"/>
          <w:szCs w:val="18"/>
          <w:color w:val="auto"/>
        </w:rPr>
        <w:t>We rely on third-party suppliers for most phases of the manufacturing process, including initial fabrication, final test and assembly.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225" w:lineRule="exact"/>
        <w:rPr>
          <w:sz w:val="20"/>
          <w:szCs w:val="20"/>
          <w:color w:val="auto"/>
        </w:rPr>
      </w:pPr>
    </w:p>
    <w:p>
      <w:pPr>
        <w:ind w:left="60" w:right="139" w:firstLine="401"/>
        <w:spacing w:after="0" w:line="257" w:lineRule="auto"/>
        <w:rPr>
          <w:sz w:val="20"/>
          <w:szCs w:val="20"/>
          <w:color w:val="auto"/>
        </w:rPr>
      </w:pPr>
      <w:r>
        <w:rPr>
          <w:rFonts w:ascii="Arial" w:cs="Arial" w:eastAsia="Arial" w:hAnsi="Arial"/>
          <w:sz w:val="18"/>
          <w:szCs w:val="18"/>
          <w:color w:val="auto"/>
        </w:rPr>
        <w:t>We perform BEOL manufacturing for our Toggle MRAM products and provide foundry services for embedded MRAM, licensed MRAM products and Magnetic Tunnel Junction (MTJ)-based sensors in our 200mm manufacturing facility. Our facility is in an ISO-4 clean room and our manufacturing line is ISO 9001:2015 certified. We actively manage inventory, including automated process flows, process controls and recipe management, and we use standard equipment to manufacture our products.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STT-MRAM products are produced in 300mm fabrication facilities operated by GLOBALFOUNDRIES.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Assembly and Test</w:t>
      </w:r>
    </w:p>
    <w:p>
      <w:pPr>
        <w:spacing w:after="0" w:line="225" w:lineRule="exact"/>
        <w:rPr>
          <w:sz w:val="20"/>
          <w:szCs w:val="20"/>
          <w:color w:val="auto"/>
        </w:rPr>
      </w:pPr>
    </w:p>
    <w:p>
      <w:pPr>
        <w:ind w:left="60" w:right="919" w:firstLine="401"/>
        <w:spacing w:after="0" w:line="277" w:lineRule="auto"/>
        <w:rPr>
          <w:sz w:val="20"/>
          <w:szCs w:val="20"/>
          <w:color w:val="auto"/>
        </w:rPr>
      </w:pPr>
      <w:r>
        <w:rPr>
          <w:rFonts w:ascii="Arial" w:cs="Arial" w:eastAsia="Arial" w:hAnsi="Arial"/>
          <w:sz w:val="18"/>
          <w:szCs w:val="18"/>
          <w:color w:val="auto"/>
        </w:rPr>
        <w:t>Our product and test engineering teams develop and implement wafer-level and final test programs for the manufacture of our MRAM devices.</w:t>
      </w:r>
    </w:p>
    <w:p>
      <w:pPr>
        <w:spacing w:after="0" w:line="170"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We utilize third-party industry-leading assembly and test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9001:2015 and ISO 14001:2015 standards. Our foundry vendors and sub-contractors are also ISO 9001 and ISO 14001 certified.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Arrangements with GLOBALFOUNDRIES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Joint Development Agreement</w:t>
      </w:r>
    </w:p>
    <w:p>
      <w:pPr>
        <w:spacing w:after="0" w:line="225" w:lineRule="exact"/>
        <w:rPr>
          <w:sz w:val="20"/>
          <w:szCs w:val="20"/>
          <w:color w:val="auto"/>
        </w:rPr>
      </w:pPr>
    </w:p>
    <w:p>
      <w:pPr>
        <w:ind w:left="60" w:right="199" w:firstLine="401"/>
        <w:spacing w:after="0" w:line="275" w:lineRule="auto"/>
        <w:rPr>
          <w:sz w:val="20"/>
          <w:szCs w:val="20"/>
          <w:color w:val="auto"/>
        </w:rPr>
      </w:pPr>
      <w:r>
        <w:rPr>
          <w:rFonts w:ascii="Arial" w:cs="Arial" w:eastAsia="Arial" w:hAnsi="Arial"/>
          <w:sz w:val="17"/>
          <w:szCs w:val="17"/>
          <w:color w:val="auto"/>
        </w:rPr>
        <w:t>Since October 17, 2014, we have participated in a joint development agreement with GLOBALFOUNDRIES Inc.,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76"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“Manufacturing Agreement” below.</w:t>
      </w:r>
    </w:p>
    <w:p>
      <w:pPr>
        <w:spacing w:after="0" w:line="184" w:lineRule="exact"/>
        <w:rPr>
          <w:sz w:val="20"/>
          <w:szCs w:val="20"/>
          <w:color w:val="auto"/>
        </w:rPr>
      </w:pPr>
    </w:p>
    <w:p>
      <w:pPr>
        <w:ind w:left="60" w:right="99" w:firstLine="401"/>
        <w:spacing w:after="0" w:line="254" w:lineRule="auto"/>
        <w:rPr>
          <w:sz w:val="20"/>
          <w:szCs w:val="20"/>
          <w:color w:val="auto"/>
        </w:rPr>
      </w:pPr>
      <w:r>
        <w:rPr>
          <w:rFonts w:ascii="Arial" w:cs="Arial" w:eastAsia="Arial" w:hAnsi="Arial"/>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92" w:lineRule="exact"/>
        <w:rPr>
          <w:sz w:val="20"/>
          <w:szCs w:val="20"/>
          <w:color w:val="auto"/>
        </w:rPr>
      </w:pPr>
    </w:p>
    <w:p>
      <w:pPr>
        <w:ind w:left="60" w:right="159" w:firstLine="401"/>
        <w:spacing w:after="0" w:line="263" w:lineRule="auto"/>
        <w:rPr>
          <w:sz w:val="20"/>
          <w:szCs w:val="20"/>
          <w:color w:val="auto"/>
        </w:rPr>
      </w:pPr>
      <w:r>
        <w:rPr>
          <w:rFonts w:ascii="Arial" w:cs="Arial" w:eastAsia="Arial" w:hAnsi="Arial"/>
          <w:sz w:val="18"/>
          <w:szCs w:val="18"/>
          <w:color w:val="auto"/>
        </w:rPr>
        <w:t>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84" w:lineRule="exact"/>
        <w:rPr>
          <w:sz w:val="20"/>
          <w:szCs w:val="20"/>
          <w:color w:val="auto"/>
        </w:rPr>
      </w:pPr>
    </w:p>
    <w:p>
      <w:pPr>
        <w:jc w:val="both"/>
        <w:ind w:left="60" w:right="179" w:firstLine="401"/>
        <w:spacing w:after="0" w:line="296"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for further discussion of our agreements with GLOBALFOUNDRIES.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225" w:lineRule="exact"/>
        <w:rPr>
          <w:sz w:val="20"/>
          <w:szCs w:val="20"/>
          <w:color w:val="auto"/>
        </w:rPr>
      </w:pPr>
    </w:p>
    <w:p>
      <w:pPr>
        <w:ind w:left="60" w:right="159" w:firstLine="401"/>
        <w:spacing w:after="0" w:line="288"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STT-MRAM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68" w:lineRule="exact"/>
        <w:rPr>
          <w:sz w:val="20"/>
          <w:szCs w:val="20"/>
          <w:color w:val="auto"/>
        </w:rPr>
      </w:pPr>
    </w:p>
    <w:p>
      <w:pPr>
        <w:ind w:left="60" w:right="99" w:firstLine="401"/>
        <w:spacing w:after="0" w:line="254" w:lineRule="auto"/>
        <w:rPr>
          <w:sz w:val="20"/>
          <w:szCs w:val="20"/>
          <w:color w:val="auto"/>
        </w:rPr>
      </w:pPr>
      <w:r>
        <w:rPr>
          <w:rFonts w:ascii="Arial" w:cs="Arial" w:eastAsia="Arial" w:hAnsi="Arial"/>
          <w:sz w:val="18"/>
          <w:szCs w:val="18"/>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As of December 31, 2020, our backlog was $17.7 million, compared to $16.2 million as of December 31, 2019, and includes all purchase orders scheduled for delivery within the subsequent 12 months. Our business and, to a large extent, that of the entire semiconductor industry, is characterized by short-term orders and shipment schedules. Orders constituting our current backlog are subject to changes in delivery schedules, or to cancellation at the customer's option without significant penalty. Thus, while backlog is useful for scheduling production, backlog as of any particular date may not be a reliable measure of sales for any future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left="60" w:right="139" w:firstLine="401"/>
        <w:spacing w:after="0" w:line="271" w:lineRule="auto"/>
        <w:rPr>
          <w:sz w:val="20"/>
          <w:szCs w:val="20"/>
          <w:color w:val="auto"/>
        </w:rPr>
      </w:pPr>
      <w:r>
        <w:rPr>
          <w:rFonts w:ascii="Arial" w:cs="Arial" w:eastAsia="Arial" w:hAnsi="Arial"/>
          <w:sz w:val="17"/>
          <w:szCs w:val="17"/>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firstLine="401"/>
        <w:spacing w:after="0" w:line="277" w:lineRule="auto"/>
        <w:rPr>
          <w:sz w:val="20"/>
          <w:szCs w:val="20"/>
          <w:color w:val="auto"/>
        </w:rPr>
      </w:pPr>
      <w:r>
        <w:rPr>
          <w:rFonts w:ascii="Arial" w:cs="Arial" w:eastAsia="Arial" w:hAnsi="Arial"/>
          <w:sz w:val="18"/>
          <w:szCs w:val="18"/>
          <w:color w:val="auto"/>
        </w:rPr>
        <w:t>As an emerging specialty memory product supplier, we face intense competition from a wide variety of other memory technology manufacturers.</w:t>
      </w:r>
    </w:p>
    <w:p>
      <w:pPr>
        <w:spacing w:after="0" w:line="170" w:lineRule="exact"/>
        <w:rPr>
          <w:sz w:val="20"/>
          <w:szCs w:val="20"/>
          <w:color w:val="auto"/>
        </w:rPr>
      </w:pPr>
    </w:p>
    <w:p>
      <w:pPr>
        <w:ind w:left="60" w:right="119" w:firstLine="401"/>
        <w:spacing w:after="0" w:line="254" w:lineRule="auto"/>
        <w:rPr>
          <w:sz w:val="20"/>
          <w:szCs w:val="20"/>
          <w:color w:val="auto"/>
        </w:rPr>
      </w:pPr>
      <w:r>
        <w:rPr>
          <w:rFonts w:ascii="Arial" w:cs="Arial" w:eastAsia="Arial" w:hAnsi="Arial"/>
          <w:sz w:val="18"/>
          <w:szCs w:val="18"/>
          <w:color w:val="auto"/>
        </w:rPr>
        <w:t>Our principal competitors to our Toggle MRAM products include companies that offer nonvolatile SRAM (NVSRAM), SRAM, and FRAM products, such as Infineon, Fujitsu, Integrated Silicon Solution (ISSI), Macronix, Microchip, Micron, Renesas, Samsung and Toshiba. Our STT-MRAM products replace DRAM where persistence is required and thus compete with DRAM suppliers such as Hynix, Micron, Samsung, and several other smaller companies. In the future we may also face competition from companies developing MRAM technologies, such as Avalanche, Spin Memory (formerly Spin Transfer Technologies), Samsung and other larger and smaller semiconductor companies. We may also face indirect competition from RRAM, 3D XPoint, NOR and NAND Flash manufacturers in some market applications.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401"/>
        <w:spacing w:after="0" w:line="263" w:lineRule="auto"/>
        <w:rPr>
          <w:sz w:val="20"/>
          <w:szCs w:val="20"/>
          <w:color w:val="auto"/>
        </w:rPr>
      </w:pPr>
      <w:r>
        <w:rPr>
          <w:rFonts w:ascii="Arial" w:cs="Arial" w:eastAsia="Arial" w:hAnsi="Arial"/>
          <w:sz w:val="18"/>
          <w:szCs w:val="18"/>
          <w:color w:val="auto"/>
        </w:rPr>
        <w:t>Our sensor products compete with giant magnetoresistive (GMR), anisotropic magnetoresistive (AMR) and Hall effect sensors supplied by Alps, Asahi Kasei Microdevices, Crocus, Fairchild, Invensys (now Schneider), Kionix and Micronix and TMR sensors from TDK.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ability to compete successfully in the market for our products is based on a number of factors, including:</w:t>
      </w:r>
    </w:p>
    <w:p>
      <w:pPr>
        <w:spacing w:after="0" w:line="237" w:lineRule="exact"/>
        <w:rPr>
          <w:sz w:val="20"/>
          <w:szCs w:val="20"/>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attributes and specifications;</w:t>
      </w:r>
    </w:p>
    <w:p>
      <w:pPr>
        <w:spacing w:after="0" w:line="117" w:lineRule="exact"/>
        <w:rPr>
          <w:rFonts w:ascii="Arial" w:cs="Arial" w:eastAsia="Arial" w:hAnsi="Arial"/>
          <w:sz w:val="18"/>
          <w:szCs w:val="18"/>
          <w:color w:val="auto"/>
        </w:rPr>
      </w:pPr>
    </w:p>
    <w:p>
      <w:pPr>
        <w:ind w:left="800" w:right="359" w:hanging="33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adoption of MRAM technology despite the price per bit premium of our products versus competing technologies;</w:t>
      </w:r>
    </w:p>
    <w:p>
      <w:pPr>
        <w:spacing w:after="0" w:line="62"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controller supplier and customer engagements throughout the product life cycle;</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117" w:lineRule="exact"/>
        <w:rPr>
          <w:rFonts w:ascii="Arial" w:cs="Arial" w:eastAsia="Arial" w:hAnsi="Arial"/>
          <w:sz w:val="18"/>
          <w:szCs w:val="18"/>
          <w:color w:val="auto"/>
        </w:rPr>
      </w:pPr>
    </w:p>
    <w:p>
      <w:pPr>
        <w:ind w:left="800" w:hanging="331"/>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pricing in the market against the competition while maintaining our gross margin profile; and</w:t>
      </w:r>
    </w:p>
    <w:p>
      <w:pPr>
        <w:spacing w:after="0" w:line="128" w:lineRule="exact"/>
        <w:rPr>
          <w:rFonts w:ascii="Arial" w:cs="Arial" w:eastAsia="Arial" w:hAnsi="Arial"/>
          <w:sz w:val="17"/>
          <w:szCs w:val="17"/>
          <w:color w:val="auto"/>
        </w:rPr>
      </w:pPr>
    </w:p>
    <w:p>
      <w:pPr>
        <w:ind w:left="800" w:right="639" w:hanging="33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19" w:firstLine="401"/>
        <w:spacing w:after="0" w:line="254" w:lineRule="auto"/>
        <w:rPr>
          <w:sz w:val="20"/>
          <w:szCs w:val="20"/>
          <w:color w:val="auto"/>
        </w:rPr>
      </w:pPr>
      <w:r>
        <w:rPr>
          <w:rFonts w:ascii="Arial" w:cs="Arial" w:eastAsia="Arial" w:hAnsi="Arial"/>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2020, we held 508 issued patents that expire at various times between January 2021 and December 2038, and had 117 patent applications pending. Included in our issued patents and pending applications are patents/applications in the United States, China, Europe, France, Germany, Ireland, Italy, Japan, the Netherlands, the Republic of Korea, Singapore, Taiwan, and the United Kingdom.</w:t>
      </w:r>
    </w:p>
    <w:p>
      <w:pPr>
        <w:spacing w:after="0" w:line="195" w:lineRule="exact"/>
        <w:rPr>
          <w:sz w:val="20"/>
          <w:szCs w:val="20"/>
          <w:color w:val="auto"/>
        </w:rPr>
      </w:pPr>
    </w:p>
    <w:p>
      <w:pPr>
        <w:ind w:left="60" w:right="119" w:firstLine="401"/>
        <w:spacing w:after="0" w:line="291" w:lineRule="auto"/>
        <w:rPr>
          <w:sz w:val="20"/>
          <w:szCs w:val="20"/>
          <w:color w:val="auto"/>
        </w:rPr>
      </w:pPr>
      <w:r>
        <w:rPr>
          <w:rFonts w:ascii="Arial" w:cs="Arial" w:eastAsia="Arial" w:hAnsi="Arial"/>
          <w:sz w:val="16"/>
          <w:szCs w:val="16"/>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66" w:lineRule="exact"/>
        <w:rPr>
          <w:sz w:val="20"/>
          <w:szCs w:val="20"/>
          <w:color w:val="auto"/>
        </w:rPr>
      </w:pPr>
    </w:p>
    <w:p>
      <w:pPr>
        <w:ind w:left="60" w:right="379" w:firstLine="401"/>
        <w:spacing w:after="0" w:line="277" w:lineRule="auto"/>
        <w:rPr>
          <w:sz w:val="20"/>
          <w:szCs w:val="20"/>
          <w:color w:val="auto"/>
        </w:rPr>
      </w:pPr>
      <w:r>
        <w:rPr>
          <w:rFonts w:ascii="Arial" w:cs="Arial" w:eastAsia="Arial" w:hAnsi="Arial"/>
          <w:sz w:val="18"/>
          <w:szCs w:val="18"/>
          <w:color w:val="auto"/>
        </w:rPr>
        <w:t>We seek to enforce our IP and to monetize our patent portfolio through licensing of third parties in return for cash remuneration, patent cross licenses or both.</w:t>
      </w:r>
    </w:p>
    <w:p>
      <w:pPr>
        <w:spacing w:after="0" w:line="170"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intellectual property.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jc w:val="both"/>
        <w:ind w:left="60" w:right="399" w:firstLine="401"/>
        <w:spacing w:after="0" w:line="311" w:lineRule="auto"/>
        <w:rPr>
          <w:sz w:val="20"/>
          <w:szCs w:val="20"/>
          <w:color w:val="auto"/>
        </w:rPr>
      </w:pPr>
      <w:r>
        <w:rPr>
          <w:rFonts w:ascii="Arial" w:cs="Arial" w:eastAsia="Arial" w:hAnsi="Arial"/>
          <w:sz w:val="16"/>
          <w:szCs w:val="16"/>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99" w:firstLine="401"/>
        <w:spacing w:after="0" w:line="259" w:lineRule="auto"/>
        <w:rPr>
          <w:sz w:val="20"/>
          <w:szCs w:val="20"/>
          <w:color w:val="auto"/>
        </w:rPr>
      </w:pPr>
      <w:r>
        <w:rPr>
          <w:rFonts w:ascii="Arial" w:cs="Arial" w:eastAsia="Arial" w:hAnsi="Arial"/>
          <w:sz w:val="18"/>
          <w:szCs w:val="18"/>
          <w:color w:val="auto"/>
        </w:rPr>
        <w:t>At December 31, 2020, we had 76 employees in the United States and 13 full-time equivalent contractors and consultants in China, Germany, Italy, Japan, Singapore, and Taiwan. None of our employees are either represented by a labor union or subject to a collective bargaining agreement. We have not experienced any work stoppages, and we consider our relations with our employees and contractors to be good.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 xml:space="preserve">We were incorporated in Delaware in May 2008. In June 2008, Freescale Semiconductor, Inc. (now a wholly-owned subsidiary of NXP Semiconductors N.V.), spun-out its MRAM business as Everspin. Our offices are located at 5670 W. Chandler Boulevard, Suite 100, Chandler, Arizona 85226. Our telephone number is (480) 347-1111. Our corporate website is at </w:t>
      </w:r>
      <w:r>
        <w:rPr>
          <w:rFonts w:ascii="Arial" w:cs="Arial" w:eastAsia="Arial" w:hAnsi="Arial"/>
          <w:sz w:val="18"/>
          <w:szCs w:val="18"/>
          <w:i w:val="1"/>
          <w:iCs w:val="1"/>
          <w:color w:val="auto"/>
        </w:rPr>
        <w:t>www.Everspin.com</w:t>
      </w:r>
      <w:r>
        <w:rPr>
          <w:rFonts w:ascii="Arial" w:cs="Arial" w:eastAsia="Arial" w:hAnsi="Arial"/>
          <w:sz w:val="18"/>
          <w:szCs w:val="18"/>
          <w:color w:val="auto"/>
        </w:rPr>
        <w: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79" w:firstLine="401"/>
        <w:spacing w:after="0" w:line="296"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Securities Exchange Act of 1934, as amended (Exchange Act), are available free of charge on our website, as soon as reasonably practicable after we electronically file them with, or furnish them to, the SEC. The information contained on or that can be accessed through our website is not incorporated by reference into this report, and information on our website should not be considered to be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COVID-19 pandemic and any worsening of the global business and economic environment as a result.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60" w:right="239" w:firstLine="324"/>
        <w:spacing w:after="0" w:line="288" w:lineRule="auto"/>
        <w:rPr>
          <w:sz w:val="20"/>
          <w:szCs w:val="20"/>
          <w:color w:val="auto"/>
        </w:rPr>
      </w:pPr>
      <w:r>
        <w:rPr>
          <w:rFonts w:ascii="Arial" w:cs="Arial" w:eastAsia="Arial" w:hAnsi="Arial"/>
          <w:sz w:val="16"/>
          <w:szCs w:val="16"/>
          <w:color w:val="auto"/>
        </w:rPr>
        <w:t>Our total revenue was approximately $42.0 million for the year ended December 31, 2020, and $37.5 million for the year ended December 31, 2019. As of December 30, 2020, we had cash and cash equivalents of approximately $14.6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8"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We have incurred net losses since our inception. We incurred net losses of $8.5 million and $14.7 million for the years ended December 31, 2020 and 2019, respectively. As of December 31, 2020, we had an accumulated deficit of $157.2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spacing w:after="0" w:line="188" w:lineRule="exact"/>
        <w:rPr>
          <w:sz w:val="20"/>
          <w:szCs w:val="20"/>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60" w:right="5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60" w:right="499"/>
        <w:spacing w:after="0" w:line="259" w:lineRule="auto"/>
        <w:rPr>
          <w:sz w:val="20"/>
          <w:szCs w:val="20"/>
          <w:color w:val="auto"/>
        </w:rPr>
      </w:pPr>
      <w:r>
        <w:rPr>
          <w:rFonts w:ascii="Arial" w:cs="Arial" w:eastAsia="Arial" w:hAnsi="Arial"/>
          <w:sz w:val="18"/>
          <w:szCs w:val="18"/>
          <w:b w:val="1"/>
          <w:bCs w:val="1"/>
          <w:i w:val="1"/>
          <w:iCs w:val="1"/>
          <w:color w:val="auto"/>
        </w:rPr>
        <w:t>The recent novel coronavirus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87"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COVID-19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The COVID-19 pandemic has negatively impacted the global economy, disrupted global supply chains and workforce participation, and initially created significant volatility and disruption of financial markets.</w:t>
      </w:r>
    </w:p>
    <w:p>
      <w:pPr>
        <w:spacing w:after="0" w:line="16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As a result of the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Further, in an effort to protect the health and safety of our employees, we took the following actions: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yield improvement projects given delays in data gathering, analysis and inefficiencies of teams solving technical problems via remote-only means, which has impacted, and continues to impact, our cost of sales.</w:t>
      </w:r>
    </w:p>
    <w:p>
      <w:pPr>
        <w:spacing w:after="0" w:line="192"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3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183"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slowdowns or stoppages in the supply chain for our products, in addition to higher costs;</w:t>
      </w:r>
    </w:p>
    <w:p>
      <w:pPr>
        <w:spacing w:after="0" w:line="225" w:lineRule="exact"/>
        <w:rPr>
          <w:rFonts w:ascii="Arial" w:cs="Arial" w:eastAsia="Arial" w:hAnsi="Arial"/>
          <w:sz w:val="18"/>
          <w:szCs w:val="18"/>
          <w:color w:val="auto"/>
        </w:rPr>
      </w:pPr>
    </w:p>
    <w:p>
      <w:pPr>
        <w:ind w:left="1040" w:right="359" w:hanging="315"/>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limitations on employee resources and availability, including due to sickness, government restrictions, the desire of employees to avoid contact with large groups of people or mass transit disruptions;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248" w:lineRule="exact"/>
        <w:rPr>
          <w:rFonts w:ascii="Arial" w:cs="Arial" w:eastAsia="Arial" w:hAnsi="Arial"/>
          <w:sz w:val="16"/>
          <w:szCs w:val="16"/>
          <w:color w:val="auto"/>
        </w:rPr>
      </w:pPr>
    </w:p>
    <w:p>
      <w:pPr>
        <w:ind w:left="1040" w:right="1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actions to contain the virus or treat its impact and how quickly and to what extent normal economic and operating conditions can resume.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60" w:right="179" w:firstLine="324"/>
        <w:spacing w:after="0" w:line="308" w:lineRule="auto"/>
        <w:rPr>
          <w:sz w:val="20"/>
          <w:szCs w:val="20"/>
          <w:color w:val="auto"/>
        </w:rPr>
      </w:pPr>
      <w:r>
        <w:rPr>
          <w:rFonts w:ascii="Arial" w:cs="Arial" w:eastAsia="Arial" w:hAnsi="Arial"/>
          <w:sz w:val="17"/>
          <w:szCs w:val="17"/>
          <w:color w:val="auto"/>
        </w:rPr>
        <w:t>Our limited experience selling our STT-MRAM products, combined with the rapidly evolving and competitive nature of our market, makes it difficult to evaluate our current business and future prospects. In addition, we have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2" w:lineRule="auto"/>
        <w:rPr>
          <w:sz w:val="20"/>
          <w:szCs w:val="20"/>
          <w:color w:val="auto"/>
        </w:rPr>
      </w:pPr>
      <w:r>
        <w:rPr>
          <w:rFonts w:ascii="Arial" w:cs="Arial" w:eastAsia="Arial" w:hAnsi="Arial"/>
          <w:sz w:val="17"/>
          <w:szCs w:val="17"/>
          <w:color w:val="auto"/>
        </w:rPr>
        <w:t>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10"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4" w:lineRule="exact"/>
        <w:rPr>
          <w:sz w:val="20"/>
          <w:szCs w:val="20"/>
          <w:color w:val="auto"/>
        </w:rPr>
      </w:pPr>
    </w:p>
    <w:p>
      <w:pPr>
        <w:ind w:left="60" w:right="79"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4"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60" w:right="99" w:firstLine="401"/>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6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firstLine="324"/>
        <w:spacing w:after="0" w:line="308" w:lineRule="auto"/>
        <w:rPr>
          <w:sz w:val="20"/>
          <w:szCs w:val="20"/>
          <w:color w:val="auto"/>
        </w:rPr>
      </w:pPr>
      <w:r>
        <w:rPr>
          <w:rFonts w:ascii="Arial" w:cs="Arial" w:eastAsia="Arial" w:hAnsi="Arial"/>
          <w:sz w:val="17"/>
          <w:szCs w:val="17"/>
          <w:color w:val="auto"/>
        </w:rPr>
        <w:t>The post-COVID-19 upturn in the semiconductor industry has stretched the supply chain, and we are subject to potential supply shortages, as well as higher costs as suppliers opportunistically raise prices.</w:t>
      </w:r>
    </w:p>
    <w:p>
      <w:pPr>
        <w:spacing w:after="0" w:line="146"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40" w:right="219" w:hanging="266"/>
        <w:spacing w:after="0" w:line="263"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71" w:lineRule="exact"/>
        <w:rPr>
          <w:sz w:val="20"/>
          <w:szCs w:val="20"/>
          <w:color w:val="auto"/>
        </w:rPr>
      </w:pPr>
    </w:p>
    <w:p>
      <w:pPr>
        <w:ind w:left="640" w:right="219" w:hanging="266"/>
        <w:spacing w:after="0" w:line="263"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40" w:right="279" w:hanging="266"/>
        <w:spacing w:after="0" w:line="27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40" w:right="639" w:hanging="266"/>
        <w:spacing w:after="0" w:line="308" w:lineRule="auto"/>
        <w:tabs>
          <w:tab w:leader="none" w:pos="6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40" w:right="79" w:hanging="266"/>
        <w:spacing w:after="0" w:line="277"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6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2"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jc w:val="center"/>
        <w:ind w:left="60" w:right="499"/>
        <w:spacing w:after="0" w:line="342"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Our four largest end customers together accounted for 45% of our total revenue for the year ended December 31, 2020, and one of these customers accounted for more than 10% of our revenue during that period. Our four largest end customers together accounted for 22% of our total revenue for the year ended December 31, 2019,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40" w:right="539" w:hanging="266"/>
        <w:spacing w:after="0" w:line="277"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4"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6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5" w:lineRule="exact"/>
        <w:rPr>
          <w:sz w:val="20"/>
          <w:szCs w:val="20"/>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such event could have a material adverse effect on our business, financial condition and results of operations.</w:t>
      </w:r>
    </w:p>
    <w:p>
      <w:pPr>
        <w:spacing w:after="0" w:line="248"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88"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60" w:right="59" w:firstLine="369"/>
        <w:spacing w:after="0" w:line="296" w:lineRule="auto"/>
        <w:rPr>
          <w:sz w:val="20"/>
          <w:szCs w:val="20"/>
          <w:color w:val="auto"/>
        </w:rPr>
      </w:pPr>
      <w:r>
        <w:rPr>
          <w:rFonts w:ascii="Arial" w:cs="Arial" w:eastAsia="Arial" w:hAnsi="Arial"/>
          <w:sz w:val="16"/>
          <w:szCs w:val="16"/>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products, lower prices for our products or other adverse effects on our operating results. Among the risks we believe are most likely to affect us are:</w:t>
      </w:r>
    </w:p>
    <w:p>
      <w:pPr>
        <w:spacing w:after="0" w:line="170" w:lineRule="exact"/>
        <w:rPr>
          <w:sz w:val="20"/>
          <w:szCs w:val="20"/>
          <w:color w:val="auto"/>
        </w:rPr>
      </w:pPr>
    </w:p>
    <w:p>
      <w:pPr>
        <w:jc w:val="both"/>
        <w:ind w:left="640" w:right="599" w:hanging="266"/>
        <w:spacing w:after="0" w:line="263"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40" w:right="579" w:hanging="266"/>
        <w:spacing w:after="0" w:line="27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40" w:right="519" w:hanging="266"/>
        <w:spacing w:after="0" w:line="27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40" w:right="139" w:hanging="266"/>
        <w:spacing w:after="0" w:line="27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40" w:right="59" w:hanging="266"/>
        <w:spacing w:after="0" w:line="259"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57"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40" w:right="559" w:hanging="266"/>
        <w:spacing w:after="0" w:line="27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40" w:right="1059" w:hanging="266"/>
        <w:spacing w:after="0" w:line="27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40" w:right="239" w:hanging="266"/>
        <w:spacing w:after="0" w:line="27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40" w:right="359" w:hanging="266"/>
        <w:spacing w:after="0" w:line="27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4"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We have made and will continue to make significant investments in research and development of new technologies and products, including new and more technically advanced versions of our MRAM technology.</w:t>
      </w:r>
    </w:p>
    <w:p>
      <w:pPr>
        <w:spacing w:after="0" w:line="14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6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9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2020, we had gross federal net operating loss carryforwards of approximately $140.5 million, of which $99.7 million will expire in 2028 through 2037 if not utilized, and $40.8 million will carryover indefinitely. As of December 31, 2020, we had state net operating loss carryforwards of approximately $54.1 million, of which $51.5 million will expire in 2023 through 2040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40" w:right="119" w:hanging="266"/>
        <w:spacing w:after="0" w:line="277"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40" w:right="259" w:hanging="266"/>
        <w:spacing w:after="0" w:line="277"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8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40" w:right="559" w:hanging="266"/>
        <w:spacing w:after="0" w:line="263"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w:t>
      </w:r>
    </w:p>
    <w:p>
      <w:pPr>
        <w:spacing w:after="0" w:line="184"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6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40" w:right="119" w:hanging="266"/>
        <w:spacing w:after="0" w:line="263"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40" w:right="179" w:hanging="266"/>
        <w:spacing w:after="0" w:line="25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40" w:right="519" w:hanging="266"/>
        <w:spacing w:after="0" w:line="27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40" w:right="159" w:hanging="266"/>
        <w:spacing w:after="0" w:line="25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40" w:right="199" w:hanging="266"/>
        <w:spacing w:after="0" w:line="279" w:lineRule="auto"/>
        <w:tabs>
          <w:tab w:leader="none" w:pos="6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40" w:right="159" w:hanging="266"/>
        <w:spacing w:after="0" w:line="286" w:lineRule="auto"/>
        <w:tabs>
          <w:tab w:leader="none" w:pos="6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24"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derivative action or proceeding brought on our behalf;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right="19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spacing w:after="0" w:line="170" w:lineRule="exact"/>
        <w:rPr>
          <w:rFonts w:ascii="Arial" w:cs="Arial" w:eastAsia="Arial" w:hAnsi="Arial"/>
          <w:sz w:val="18"/>
          <w:szCs w:val="18"/>
          <w:color w:val="auto"/>
        </w:rPr>
      </w:pPr>
    </w:p>
    <w:p>
      <w:pPr>
        <w:ind w:left="640" w:right="399" w:hanging="266"/>
        <w:spacing w:after="0" w:line="27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70" w:lineRule="exact"/>
        <w:rPr>
          <w:rFonts w:ascii="Arial" w:cs="Arial" w:eastAsia="Arial" w:hAnsi="Arial"/>
          <w:sz w:val="18"/>
          <w:szCs w:val="18"/>
          <w:color w:val="auto"/>
        </w:rPr>
      </w:pPr>
    </w:p>
    <w:p>
      <w:pPr>
        <w:ind w:left="660" w:hanging="28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an unfavorable economy may adversely impact consumer spending, which may adversely impact our customers’ spending and demand for our products.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342" w:lineRule="auto"/>
        <w:rPr>
          <w:sz w:val="20"/>
          <w:szCs w:val="20"/>
          <w:color w:val="auto"/>
        </w:rPr>
      </w:pPr>
      <w:r>
        <w:rPr>
          <w:rFonts w:ascii="Arial" w:cs="Arial" w:eastAsia="Arial" w:hAnsi="Arial"/>
          <w:sz w:val="16"/>
          <w:szCs w:val="16"/>
          <w:b w:val="1"/>
          <w:bCs w:val="1"/>
          <w:i w:val="1"/>
          <w:iCs w:val="1"/>
          <w:color w:val="auto"/>
        </w:rPr>
        <w:t>We may not successfully manage the transition associated with our Interim Chief Executive Officer and the appointment of a new Chief Executive Officer, which could have an adverse impact on us.</w:t>
      </w:r>
    </w:p>
    <w:p>
      <w:pPr>
        <w:spacing w:after="0" w:line="16"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 xml:space="preserve">In December 2020, Kevin Conley notified our board of directors of his decision to resign as President and Chief Executive Officer of the Company. In connection with Mr. Conley’s resignation, our board of directors appointed </w:t>
      </w:r>
      <w:r>
        <w:rPr>
          <w:rFonts w:ascii="Arial" w:cs="Arial" w:eastAsia="Arial" w:hAnsi="Arial"/>
          <w:sz w:val="16"/>
          <w:szCs w:val="16"/>
          <w:color w:val="212529"/>
        </w:rPr>
        <w:t>Darin</w:t>
      </w:r>
      <w:r>
        <w:rPr>
          <w:rFonts w:ascii="Arial" w:cs="Arial" w:eastAsia="Arial" w:hAnsi="Arial"/>
          <w:sz w:val="16"/>
          <w:szCs w:val="16"/>
          <w:color w:val="auto"/>
        </w:rPr>
        <w:t xml:space="preserve"> </w:t>
      </w:r>
      <w:r>
        <w:rPr>
          <w:rFonts w:ascii="Arial" w:cs="Arial" w:eastAsia="Arial" w:hAnsi="Arial"/>
          <w:sz w:val="16"/>
          <w:szCs w:val="16"/>
          <w:color w:val="212529"/>
        </w:rPr>
        <w:t xml:space="preserve">Billerbeck </w:t>
      </w:r>
      <w:r>
        <w:rPr>
          <w:rFonts w:ascii="Arial" w:cs="Arial" w:eastAsia="Arial" w:hAnsi="Arial"/>
          <w:sz w:val="16"/>
          <w:szCs w:val="16"/>
          <w:color w:val="000000"/>
        </w:rPr>
        <w:t>to serve as Interim Chief Executive Officer of the Company until a permanent successor can be named. Our</w:t>
      </w:r>
      <w:r>
        <w:rPr>
          <w:rFonts w:ascii="Arial" w:cs="Arial" w:eastAsia="Arial" w:hAnsi="Arial"/>
          <w:sz w:val="16"/>
          <w:szCs w:val="16"/>
          <w:color w:val="212529"/>
        </w:rPr>
        <w:t xml:space="preserve"> </w:t>
      </w:r>
      <w:r>
        <w:rPr>
          <w:rFonts w:ascii="Arial" w:cs="Arial" w:eastAsia="Arial" w:hAnsi="Arial"/>
          <w:sz w:val="16"/>
          <w:szCs w:val="16"/>
          <w:color w:val="000000"/>
        </w:rPr>
        <w:t xml:space="preserve">board of directors intends to initiate a search process to select the Company’s next Chief Executive Officer. Although our board of directors is confident in the interim leadership of Mr. </w:t>
      </w:r>
      <w:r>
        <w:rPr>
          <w:rFonts w:ascii="Arial" w:cs="Arial" w:eastAsia="Arial" w:hAnsi="Arial"/>
          <w:sz w:val="16"/>
          <w:szCs w:val="16"/>
          <w:color w:val="212529"/>
        </w:rPr>
        <w:t>Billerbeck</w:t>
      </w:r>
      <w:r>
        <w:rPr>
          <w:rFonts w:ascii="Arial" w:cs="Arial" w:eastAsia="Arial" w:hAnsi="Arial"/>
          <w:sz w:val="16"/>
          <w:szCs w:val="16"/>
          <w:color w:val="000000"/>
        </w:rPr>
        <w:t>, leadership transitions can be inherently difficult to manage, and an inadequate transition to a permanent Chief Executive Officer may cause disruption within the Company. In addition, if we are unable to attract and retain a qualified candidate to become the permanent Chief Executive Officer in a timely manner, our financial performance and ability to meet operational goals and strategic plans may be adversely impacted. This may also impact our ability to retain and hire other key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199" w:firstLine="401"/>
        <w:spacing w:after="0" w:line="277" w:lineRule="auto"/>
        <w:rPr>
          <w:sz w:val="20"/>
          <w:szCs w:val="20"/>
          <w:color w:val="auto"/>
        </w:rPr>
      </w:pPr>
      <w:r>
        <w:rPr>
          <w:rFonts w:ascii="Arial" w:cs="Arial" w:eastAsia="Arial" w:hAnsi="Arial"/>
          <w:sz w:val="18"/>
          <w:szCs w:val="18"/>
          <w:color w:val="auto"/>
        </w:rPr>
        <w:t>We lease office space for our corporate headquarters located in Chandler, Arizona and for our design facility located in Austin, Texas. The leases expire in January 2022.</w:t>
      </w:r>
    </w:p>
    <w:p>
      <w:pPr>
        <w:spacing w:after="0" w:line="170" w:lineRule="exact"/>
        <w:rPr>
          <w:sz w:val="20"/>
          <w:szCs w:val="20"/>
          <w:color w:val="auto"/>
        </w:rPr>
      </w:pPr>
    </w:p>
    <w:p>
      <w:pPr>
        <w:ind w:left="60" w:right="379" w:firstLine="401"/>
        <w:spacing w:after="0" w:line="277" w:lineRule="auto"/>
        <w:rPr>
          <w:sz w:val="20"/>
          <w:szCs w:val="20"/>
          <w:color w:val="auto"/>
        </w:rPr>
      </w:pPr>
      <w:r>
        <w:rPr>
          <w:rFonts w:ascii="Arial" w:cs="Arial" w:eastAsia="Arial" w:hAnsi="Arial"/>
          <w:sz w:val="18"/>
          <w:szCs w:val="18"/>
          <w:color w:val="auto"/>
        </w:rPr>
        <w:t>We have an operating lease for our Arizona manufacturing facility, which includes a total of 18,327 square feet of office and fabrication space, which has a term through January 2022.</w:t>
      </w:r>
    </w:p>
    <w:p>
      <w:pPr>
        <w:spacing w:after="0" w:line="170" w:lineRule="exact"/>
        <w:rPr>
          <w:sz w:val="20"/>
          <w:szCs w:val="20"/>
          <w:color w:val="auto"/>
        </w:rPr>
      </w:pPr>
    </w:p>
    <w:p>
      <w:pPr>
        <w:ind w:left="60" w:right="199" w:firstLine="401"/>
        <w:spacing w:after="0" w:line="277" w:lineRule="auto"/>
        <w:rPr>
          <w:sz w:val="20"/>
          <w:szCs w:val="20"/>
          <w:color w:val="auto"/>
        </w:rPr>
      </w:pPr>
      <w:r>
        <w:rPr>
          <w:rFonts w:ascii="Arial" w:cs="Arial" w:eastAsia="Arial" w:hAnsi="Arial"/>
          <w:sz w:val="18"/>
          <w:szCs w:val="18"/>
          <w:color w:val="auto"/>
        </w:rPr>
        <w:t>We have an operating lease for 27,974 square feet of office and laboratory space in Arizona, with an initial term that ends on January 31, 2022 and an option to renew the lease through August 31, 2024.</w:t>
      </w:r>
    </w:p>
    <w:p>
      <w:pPr>
        <w:spacing w:after="0" w:line="170"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We believe our existing facilities are well maintained and in good operating condition and they are adequate for our foreseeable business needs.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Trading Market for our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has been listed on the Nasdaq Global Market under the symbol “MRAM” since October 7, 2016.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0" w:right="119" w:firstLine="405"/>
        <w:spacing w:after="0" w:line="259" w:lineRule="auto"/>
        <w:rPr>
          <w:sz w:val="20"/>
          <w:szCs w:val="20"/>
          <w:color w:val="auto"/>
        </w:rPr>
      </w:pPr>
      <w:r>
        <w:rPr>
          <w:rFonts w:ascii="Arial" w:cs="Arial" w:eastAsia="Arial" w:hAnsi="Arial"/>
          <w:sz w:val="18"/>
          <w:szCs w:val="18"/>
          <w:color w:val="auto"/>
        </w:rPr>
        <w:t>As of February 25, 2021, we had 26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79" w:firstLine="405"/>
        <w:spacing w:after="0" w:line="254"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existing credit facility prohibits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59" w:firstLine="40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an overview of our business, see “Part I – Item 1. Business.”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60" w:right="99" w:firstLine="401"/>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w:t>
      </w:r>
    </w:p>
    <w:p>
      <w:pPr>
        <w:spacing w:after="0" w:line="164" w:lineRule="exact"/>
        <w:rPr>
          <w:sz w:val="20"/>
          <w:szCs w:val="20"/>
          <w:color w:val="auto"/>
        </w:rPr>
      </w:pPr>
    </w:p>
    <w:p>
      <w:pPr>
        <w:ind w:left="60" w:right="99" w:firstLine="401"/>
        <w:spacing w:after="0" w:line="272"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Our management and board of directors use Adjusted EBITDA to understand and evaluate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loss, the most directly comparable GAAP measure, to Adjusted EBITDA for the periods indicated:</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reconciliation:</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(8,512)</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(14,669)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9"/>
        </w:trPr>
        <w:tc>
          <w:tcPr>
            <w:tcW w:w="516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i w:val="1"/>
          <w:iCs w:val="1"/>
          <w:color w:val="auto"/>
        </w:rPr>
        <w:t>Design wins</w:t>
      </w:r>
      <w:r>
        <w:rPr>
          <w:rFonts w:ascii="Arial" w:cs="Arial" w:eastAsia="Arial" w:hAnsi="Arial"/>
          <w:sz w:val="17"/>
          <w:szCs w:val="17"/>
          <w:color w:val="auto"/>
        </w:rPr>
        <w:t>. To continue to grow our revenue, we must continue to achieve design wins for our MRAM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New design wins in each successive quarter of 2020 were 37, 43, 52, and 43, respectively, compared to 14, 13, 22, and 34 in each successive quarter of 2019, respectively.</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The COVID-19 pandemic has negatively impacted the global economy, disrupted global supply chains and workforce participation, and initially created significant volatility and disruption of financial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Overall, our business remains operational in the midst of the pandemic. However, as a result of the COVID-19 outbreak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81"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yield improvement projects given delays in data gathering, analysis and inefficiencies of teams solving technical problems via remote-only means, which has impacted, and continues to impact, our cost of sales.</w:t>
      </w:r>
    </w:p>
    <w:p>
      <w:pPr>
        <w:spacing w:after="0" w:line="164"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Below are factors we want to highlight for understanding our 2020 annual results and year over year comparison with proper historical perspective:</w:t>
      </w:r>
    </w:p>
    <w:p>
      <w:pPr>
        <w:spacing w:after="0" w:line="170" w:lineRule="exact"/>
        <w:rPr>
          <w:sz w:val="20"/>
          <w:szCs w:val="20"/>
          <w:color w:val="auto"/>
        </w:rPr>
      </w:pPr>
    </w:p>
    <w:p>
      <w:pPr>
        <w:ind w:left="800" w:right="79" w:hanging="331"/>
        <w:spacing w:after="0" w:line="263"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2020 represented a year of broad semiconductor market demand challenges driven by factors that included challenges from the COVID-19 pandemic and international trade conflicts, which had a significant impact on our results;</w:t>
      </w:r>
    </w:p>
    <w:p>
      <w:pPr>
        <w:spacing w:after="0" w:line="75" w:lineRule="exact"/>
        <w:rPr>
          <w:rFonts w:ascii="Arial" w:cs="Arial" w:eastAsia="Arial" w:hAnsi="Arial"/>
          <w:sz w:val="18"/>
          <w:szCs w:val="18"/>
          <w:color w:val="auto"/>
        </w:rPr>
      </w:pPr>
    </w:p>
    <w:p>
      <w:pPr>
        <w:ind w:left="800" w:right="119" w:hanging="331"/>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manufacturing yields improved throughout 2020 resulting in significantly higher product margins compared to 2019 before reserve charges for excess and obsolete inventory.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128"/>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right"/>
              <w:ind w:right="272"/>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(As a percentage</w:t>
            </w: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of revenue)</w:t>
            </w:r>
          </w:p>
        </w:tc>
        <w:tc>
          <w:tcPr>
            <w:tcW w:w="160" w:type="dxa"/>
            <w:vAlign w:val="bottom"/>
          </w:tcPr>
          <w:p>
            <w:pPr>
              <w:spacing w:after="0"/>
              <w:rPr>
                <w:sz w:val="11"/>
                <w:szCs w:val="1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92 %</w:t>
            </w: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r>
      <w:tr>
        <w:trPr>
          <w:trHeight w:val="210"/>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8"/>
                <w:szCs w:val="18"/>
                <w:color w:val="auto"/>
              </w:rPr>
            </w:pPr>
          </w:p>
        </w:tc>
      </w:tr>
      <w:tr>
        <w:trPr>
          <w:trHeight w:val="210"/>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12,414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r>
      <w:tr>
        <w:trPr>
          <w:trHeight w:val="209"/>
        </w:trPr>
        <w:tc>
          <w:tcPr>
            <w:tcW w:w="3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(14,412)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We generated 62% and 66% of our revenue from products sold through distributors for the years ended December 31, 2020 and 2019, respectively.</w:t>
      </w:r>
    </w:p>
    <w:p>
      <w:pPr>
        <w:spacing w:after="0" w:line="170" w:lineRule="exact"/>
        <w:rPr>
          <w:sz w:val="20"/>
          <w:szCs w:val="20"/>
          <w:color w:val="auto"/>
        </w:rPr>
      </w:pPr>
    </w:p>
    <w:p>
      <w:pPr>
        <w:ind w:left="60" w:right="279" w:firstLine="401"/>
        <w:spacing w:after="0" w:line="257" w:lineRule="auto"/>
        <w:rPr>
          <w:sz w:val="20"/>
          <w:szCs w:val="20"/>
          <w:color w:val="auto"/>
        </w:rPr>
      </w:pPr>
      <w:r>
        <w:rPr>
          <w:rFonts w:ascii="Arial" w:cs="Arial" w:eastAsia="Arial" w:hAnsi="Arial"/>
          <w:sz w:val="18"/>
          <w:szCs w:val="18"/>
          <w:color w:val="auto"/>
        </w:rPr>
        <w:t>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products are sold, and not to where the end products in which they are assembled are shipped. Our revenue by region for the periods indicated was as follows (in thousands):</w:t>
      </w: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96"/>
        </w:trPr>
        <w:tc>
          <w:tcPr>
            <w:tcW w:w="2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8,690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8,720</w:t>
            </w:r>
          </w:p>
        </w:tc>
      </w:tr>
      <w:tr>
        <w:trPr>
          <w:trHeight w:val="210"/>
        </w:trPr>
        <w:tc>
          <w:tcPr>
            <w:tcW w:w="27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37,503</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574"/>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jc w:val="right"/>
              <w:ind w:right="7"/>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(Dollars in</w:t>
            </w:r>
          </w:p>
        </w:tc>
        <w:tc>
          <w:tcPr>
            <w:tcW w:w="140" w:type="dxa"/>
            <w:vAlign w:val="bottom"/>
            <w:gridSpan w:val="2"/>
          </w:tcPr>
          <w:p>
            <w:pPr>
              <w:spacing w:after="0"/>
              <w:rPr>
                <w:sz w:val="11"/>
                <w:szCs w:val="11"/>
                <w:color w:val="auto"/>
              </w:rPr>
            </w:pPr>
          </w:p>
        </w:tc>
        <w:tc>
          <w:tcPr>
            <w:tcW w:w="10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15.2 %</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w w:val="93"/>
              </w:rPr>
              <w:t>Licensing, royalty, and other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1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12.1 %</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401"/>
        <w:spacing w:after="0" w:line="311" w:lineRule="auto"/>
        <w:rPr>
          <w:sz w:val="20"/>
          <w:szCs w:val="20"/>
          <w:color w:val="auto"/>
        </w:rPr>
      </w:pPr>
      <w:r>
        <w:rPr>
          <w:rFonts w:ascii="Arial" w:cs="Arial" w:eastAsia="Arial" w:hAnsi="Arial"/>
          <w:sz w:val="16"/>
          <w:szCs w:val="16"/>
          <w:color w:val="auto"/>
        </w:rPr>
        <w:t>Total revenue increased by $4.5 million, or 12.1%, from $37.5 million during the year ended December 31, 2019, to $42.0 million during the year ended December 31, 2020. Product sales increased by $5.2 million or 15.2%, from $34.6 million to $39.8 million. The increase was primarily driven by a higher volume of new STT-MRAM product sales.</w:t>
      </w:r>
    </w:p>
    <w:p>
      <w:pPr>
        <w:spacing w:after="0" w:line="149" w:lineRule="exact"/>
        <w:rPr>
          <w:sz w:val="20"/>
          <w:szCs w:val="20"/>
          <w:color w:val="auto"/>
        </w:rPr>
      </w:pPr>
    </w:p>
    <w:p>
      <w:pPr>
        <w:ind w:left="60" w:right="399" w:firstLine="401"/>
        <w:spacing w:after="0" w:line="259"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 Licensing, royalty, and other revenue decreased by $0.7 million, from $2.9 million in 2019 to $2.2 million in 2020. The decrease was primarily due to a $0.7 million decrease in sales of our backend foundry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Sales and Gross Margin</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Pr>
          <w:p>
            <w:pPr>
              <w:spacing w:after="0"/>
              <w:rPr>
                <w:sz w:val="14"/>
                <w:szCs w:val="14"/>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28"/>
        </w:trPr>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20" w:type="dxa"/>
            <w:vAlign w:val="bottom"/>
            <w:gridSpan w:val="4"/>
          </w:tcPr>
          <w:p>
            <w:pPr>
              <w:jc w:val="right"/>
              <w:ind w:right="268"/>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$ 23,942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$ 19,172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$ 4,770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24.9 %</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Gross margin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43.0 %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48.9 %</w:t>
            </w: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bl>
    <w:p>
      <w:pPr>
        <w:spacing w:after="0" w:line="187" w:lineRule="exact"/>
        <w:rPr>
          <w:sz w:val="20"/>
          <w:szCs w:val="20"/>
          <w:color w:val="auto"/>
        </w:rPr>
      </w:pPr>
    </w:p>
    <w:p>
      <w:pPr>
        <w:ind w:left="60" w:right="79" w:firstLine="401"/>
        <w:spacing w:after="0" w:line="259" w:lineRule="auto"/>
        <w:rPr>
          <w:sz w:val="20"/>
          <w:szCs w:val="20"/>
          <w:color w:val="auto"/>
        </w:rPr>
      </w:pPr>
      <w:r>
        <w:rPr>
          <w:rFonts w:ascii="Arial" w:cs="Arial" w:eastAsia="Arial" w:hAnsi="Arial"/>
          <w:sz w:val="18"/>
          <w:szCs w:val="18"/>
          <w:color w:val="auto"/>
        </w:rPr>
        <w:t>Cost of sales increased by $4.8 million, or 24.9%, from $19.2 million during the year ended December 31, 2019, to $23.9 million during the year ended December 31, 2020. The increase was due to a higher volume of wafers produced and sold as well as a $1.9 million reserve charge for excess and obsolete inventory in 2020, partly offset by higher yields on our MRAM products.</w:t>
      </w:r>
    </w:p>
    <w:p>
      <w:pPr>
        <w:spacing w:after="0" w:line="187" w:lineRule="exact"/>
        <w:rPr>
          <w:sz w:val="20"/>
          <w:szCs w:val="20"/>
          <w:color w:val="auto"/>
        </w:rPr>
      </w:pPr>
    </w:p>
    <w:p>
      <w:pPr>
        <w:ind w:left="60" w:right="279" w:firstLine="401"/>
        <w:spacing w:after="0" w:line="263" w:lineRule="auto"/>
        <w:rPr>
          <w:sz w:val="20"/>
          <w:szCs w:val="20"/>
          <w:color w:val="auto"/>
        </w:rPr>
      </w:pPr>
      <w:r>
        <w:rPr>
          <w:rFonts w:ascii="Arial" w:cs="Arial" w:eastAsia="Arial" w:hAnsi="Arial"/>
          <w:sz w:val="18"/>
          <w:szCs w:val="18"/>
          <w:color w:val="auto"/>
        </w:rPr>
        <w:t>Our gross margin decreased from 48.9% during the year ended December 31, 2019 to 43.0% during the year ended December 31, 2020. Our product margins decreased as a result of charges for excess and obsolete inventory offsetting improvement of manufacturing yields throughout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0" w:right="239" w:firstLine="401"/>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60" w:right="139" w:firstLine="401"/>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83"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Pr>
          <w:p>
            <w:pPr>
              <w:ind w:left="4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42"/>
              <w:spacing w:after="0" w:line="142"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1"/>
              </w:rPr>
              <w:t>$ 10,896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$ 14,183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94"/>
              </w:rPr>
              <w:t>$ (3,287)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(23.2)%</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Research and development as a % of</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38 %</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left="60" w:right="119" w:firstLine="401"/>
        <w:spacing w:after="0" w:line="272" w:lineRule="auto"/>
        <w:rPr>
          <w:sz w:val="20"/>
          <w:szCs w:val="20"/>
          <w:color w:val="auto"/>
        </w:rPr>
      </w:pPr>
      <w:r>
        <w:rPr>
          <w:rFonts w:ascii="Arial" w:cs="Arial" w:eastAsia="Arial" w:hAnsi="Arial"/>
          <w:sz w:val="17"/>
          <w:szCs w:val="17"/>
          <w:color w:val="auto"/>
        </w:rPr>
        <w:t>Research and development expenses decreased by $3.3 million, or 23.2%, from $14.2 million during the year ended December 31, 2019, to $10.9 million during the year ended December 31, 2020. The decrease was primarily due to a $1.8 million decrease in expenses with GLOBALFOUNDRIES under our joint development agreement, as well as a decrease in employee and contract labor related costs from a reduction in headcount as a result of our corporate restructuring plan completed in January 2020 as discussed further below, a decrease in spending on direct materials and supplies used in research and development activities due to the timing of purchases, and a decrease in costs to repair equipment. The decreases were partly offset by an increase in software costs.</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Pr>
          <w:p>
            <w:pPr>
              <w:ind w:left="4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42"/>
              <w:spacing w:after="0" w:line="142"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1"/>
              </w:rPr>
              <w:t>$ 10,773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$ 12,414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94"/>
              </w:rPr>
              <w:t>$ (1,641)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General and administrative as a % of</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left="60" w:right="179" w:firstLine="401"/>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by $1.6 million, or 13.2%,</w:t>
      </w:r>
      <w:r>
        <w:rPr>
          <w:rFonts w:ascii="Arial" w:cs="Arial" w:eastAsia="Arial" w:hAnsi="Arial"/>
          <w:sz w:val="16"/>
          <w:szCs w:val="16"/>
          <w:i w:val="1"/>
          <w:iCs w:val="1"/>
          <w:color w:val="auto"/>
        </w:rPr>
        <w:t xml:space="preserve"> </w:t>
      </w:r>
      <w:r>
        <w:rPr>
          <w:rFonts w:ascii="Arial" w:cs="Arial" w:eastAsia="Arial" w:hAnsi="Arial"/>
          <w:sz w:val="16"/>
          <w:szCs w:val="16"/>
          <w:color w:val="auto"/>
        </w:rPr>
        <w:t>from $12.4 million during the year ended December 31, 2019, to $10.8 million during the year ended December 31, 2020. The decrease was primarily due to a $0.9 million decrease in employee costs due to a reduction in headcount as a result of our corporate restructuring plan as discussed further below, as well as a decrease in professional services expense.</w:t>
      </w:r>
    </w:p>
    <w:p>
      <w:pPr>
        <w:spacing w:after="0" w:line="16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Pr>
          <w:p>
            <w:pPr>
              <w:spacing w:after="0"/>
              <w:rPr>
                <w:sz w:val="14"/>
                <w:szCs w:val="14"/>
                <w:color w:val="auto"/>
              </w:rPr>
            </w:pP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168"/>
              <w:spacing w:after="0" w:line="142"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42"/>
        </w:trPr>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3,983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5,364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9"/>
              </w:rPr>
              <w:t>$ (1,381)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(25.7)%</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w w:val="96"/>
              </w:rPr>
              <w:t>Sales and marketing as a % of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14 %</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$1.4 million, or 25.7%, from $5.4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2019, to $4.0 million during the year ended December 31, 2020. The decrease was partially due to a $0.9 million decrease in employee and contract labor related costs from reduction in headcount as a result of our corporate restructuring plan as discussed further below, as well as a decrease in travel costs due to COVID-19 related travel restrictions.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3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(782)</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Restructuring as a % of revenue</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
        </w:trPr>
        <w:tc>
          <w:tcPr>
            <w:tcW w:w="10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left="60" w:right="59" w:firstLine="401"/>
        <w:spacing w:after="0" w:line="296" w:lineRule="auto"/>
        <w:rPr>
          <w:sz w:val="20"/>
          <w:szCs w:val="20"/>
          <w:color w:val="auto"/>
        </w:rPr>
      </w:pPr>
      <w:r>
        <w:rPr>
          <w:rFonts w:ascii="Arial" w:cs="Arial" w:eastAsia="Arial" w:hAnsi="Arial"/>
          <w:sz w:val="16"/>
          <w:szCs w:val="16"/>
          <w:i w:val="1"/>
          <w:iCs w:val="1"/>
          <w:color w:val="auto"/>
        </w:rPr>
        <w:t xml:space="preserve">Restructuring expenses. </w:t>
      </w:r>
      <w:r>
        <w:rPr>
          <w:rFonts w:ascii="Arial" w:cs="Arial" w:eastAsia="Arial" w:hAnsi="Arial"/>
          <w:sz w:val="16"/>
          <w:szCs w:val="16"/>
          <w:color w:val="auto"/>
        </w:rPr>
        <w:t>There were no restructuring costs during the year ended December 31, 2020. There were $0.8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restructuring expenses during the year ended December 31, 2019. During 2019, we implemented a corporate restructuring to further align strategy and long-term sustainability, which was completed in January 2020. As part of the restructuring, we reduced our workforce by approximately 15 positions across all functions. Restructuring expenses are costs associated with a formal restructuring plan and are related primarily to employee severance and benefit arrangements.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42"/>
        </w:trPr>
        <w:tc>
          <w:tcPr>
            <w:tcW w:w="2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4"/>
          </w:tcPr>
          <w:p>
            <w:pPr>
              <w:jc w:val="center"/>
              <w:ind w:right="202"/>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(82)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ind w:left="60" w:right="99" w:firstLine="401"/>
        <w:spacing w:after="0" w:line="259" w:lineRule="auto"/>
        <w:rPr>
          <w:sz w:val="20"/>
          <w:szCs w:val="20"/>
          <w:color w:val="auto"/>
        </w:rPr>
      </w:pPr>
      <w:r>
        <w:rPr>
          <w:rFonts w:ascii="Arial" w:cs="Arial" w:eastAsia="Arial" w:hAnsi="Arial"/>
          <w:sz w:val="18"/>
          <w:szCs w:val="18"/>
          <w:color w:val="auto"/>
        </w:rPr>
        <w:t>Interest expense decreased by $0.1 million, or 11.0%, from $0.7 million during the year ended December 31, 2019, to $0.6 million during the year ended December 31, 2020. The slight decrease was due in part to a decrease in non-cash interest related to the amortization of debt discounts derived from the issuance of a warrant, no end of term fee paid in 2020, and a decrease in floor interest rates charged on our credit facilities.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Net</w:t>
      </w:r>
    </w:p>
    <w:p>
      <w:pPr>
        <w:spacing w:after="0" w:line="29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Pr>
          <w:p>
            <w:pPr>
              <w:spacing w:after="0"/>
              <w:rPr>
                <w:sz w:val="14"/>
                <w:szCs w:val="14"/>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Change</w:t>
            </w:r>
          </w:p>
        </w:tc>
      </w:tr>
      <w:tr>
        <w:trPr>
          <w:trHeight w:val="196"/>
        </w:trPr>
        <w:tc>
          <w:tcPr>
            <w:tcW w:w="2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142"/>
        </w:trPr>
        <w:tc>
          <w:tcPr>
            <w:tcW w:w="2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2"/>
                <w:szCs w:val="12"/>
                <w:color w:val="auto"/>
              </w:rPr>
            </w:pPr>
          </w:p>
        </w:tc>
        <w:tc>
          <w:tcPr>
            <w:tcW w:w="68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74"/>
              </w:rPr>
              <w:t>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 (514)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w:t>
            </w:r>
          </w:p>
        </w:tc>
      </w:tr>
    </w:tbl>
    <w:p>
      <w:pPr>
        <w:spacing w:after="0" w:line="202" w:lineRule="exact"/>
        <w:rPr>
          <w:sz w:val="20"/>
          <w:szCs w:val="20"/>
          <w:color w:val="auto"/>
        </w:rPr>
      </w:pPr>
    </w:p>
    <w:p>
      <w:pPr>
        <w:ind w:left="60" w:right="299" w:firstLine="405"/>
        <w:spacing w:after="0" w:line="263" w:lineRule="auto"/>
        <w:rPr>
          <w:sz w:val="20"/>
          <w:szCs w:val="20"/>
          <w:color w:val="auto"/>
        </w:rPr>
      </w:pPr>
      <w:r>
        <w:rPr>
          <w:rFonts w:ascii="Arial" w:cs="Arial" w:eastAsia="Arial" w:hAnsi="Arial"/>
          <w:sz w:val="18"/>
          <w:szCs w:val="18"/>
          <w:color w:val="auto"/>
        </w:rPr>
        <w:t>Other income, net decreased by $0.5 million , or 104.9%, from income of $0.5 million during the year ended December 31, 2019 to expense of $24,000 during the year ended December 31, 2020 due to lower interest earned on our investments.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79" w:firstLine="401"/>
        <w:spacing w:after="0" w:line="296" w:lineRule="auto"/>
        <w:rPr>
          <w:sz w:val="20"/>
          <w:szCs w:val="20"/>
          <w:color w:val="auto"/>
        </w:rPr>
      </w:pPr>
      <w:r>
        <w:rPr>
          <w:rFonts w:ascii="Arial" w:cs="Arial" w:eastAsia="Arial" w:hAnsi="Arial"/>
          <w:sz w:val="16"/>
          <w:szCs w:val="16"/>
          <w:color w:val="auto"/>
        </w:rPr>
        <w:t>As of December 31, 2020, and as of March 4, 2021, we believe that our existing cash and cash equivalents, coupled with the amount available under our credit facility and our anticipated growth and sales levels,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w:t>
      </w:r>
    </w:p>
    <w:p>
      <w:pPr>
        <w:spacing w:after="0" w:line="161" w:lineRule="exact"/>
        <w:rPr>
          <w:sz w:val="20"/>
          <w:szCs w:val="20"/>
          <w:color w:val="auto"/>
        </w:rPr>
      </w:pPr>
    </w:p>
    <w:p>
      <w:pPr>
        <w:ind w:left="60" w:right="279" w:firstLine="401"/>
        <w:spacing w:after="0" w:line="255" w:lineRule="auto"/>
        <w:rPr>
          <w:sz w:val="20"/>
          <w:szCs w:val="20"/>
          <w:color w:val="auto"/>
        </w:rPr>
      </w:pPr>
      <w:r>
        <w:rPr>
          <w:rFonts w:ascii="Arial" w:cs="Arial" w:eastAsia="Arial" w:hAnsi="Arial"/>
          <w:sz w:val="18"/>
          <w:szCs w:val="18"/>
          <w:color w:val="auto"/>
        </w:rPr>
        <w:t>We have generated significant losses since our inception and had an accumulated deficit of $157.2 million as of December 31, 2020. We have historically financed our operations primarily through the sale of our common stock in our initial public offering (IPO) and follow-on public offering, sales of our common stock under our at-the-market sales agreement, sales of our redeemable convertible preferred stock, debt financing and the sale of our products. As of December 31, 2020, we had $14.6 million of cash and cash equivalents, compared to $14.5 million as of December 31, 2019.</w:t>
      </w:r>
    </w:p>
    <w:p>
      <w:pPr>
        <w:spacing w:after="0" w:line="192" w:lineRule="exact"/>
        <w:rPr>
          <w:sz w:val="20"/>
          <w:szCs w:val="20"/>
          <w:color w:val="auto"/>
        </w:rPr>
      </w:pPr>
    </w:p>
    <w:p>
      <w:pPr>
        <w:ind w:left="60" w:right="79" w:firstLine="405"/>
        <w:spacing w:after="0" w:line="25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$24.5 million, net of $1.9 million of underwriting discounts and commissions and other offering costs.</w:t>
      </w:r>
    </w:p>
    <w:p>
      <w:pPr>
        <w:spacing w:after="0" w:line="187" w:lineRule="exact"/>
        <w:rPr>
          <w:sz w:val="20"/>
          <w:szCs w:val="20"/>
          <w:color w:val="auto"/>
        </w:rPr>
      </w:pPr>
    </w:p>
    <w:p>
      <w:pPr>
        <w:ind w:left="60" w:right="99" w:firstLine="401"/>
        <w:spacing w:after="0" w:line="296" w:lineRule="auto"/>
        <w:rPr>
          <w:sz w:val="20"/>
          <w:szCs w:val="20"/>
          <w:color w:val="auto"/>
        </w:rPr>
      </w:pPr>
      <w:r>
        <w:rPr>
          <w:rFonts w:ascii="Arial" w:cs="Arial" w:eastAsia="Arial" w:hAnsi="Arial"/>
          <w:sz w:val="16"/>
          <w:szCs w:val="16"/>
          <w:color w:val="auto"/>
        </w:rPr>
        <w:t>In August 2019, we entered into an open market sale agreement (2019 Sales Agreement) with Jefferies, LLC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(ATM) offering under the Securities Act of 1933, as amended. Under the 2019 Sales Agreement, we agreed to pay Jefferies a commission of up to 3% of the gross proceeds of any sales made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pursuant to the 2019 Sales Agreement. During the year ended December 31, 2020, we received net proceeds of $2.1 million after deducting commissions and expenses payable by us, from the sale of 468,427 shares of common stock pursuant to the 2019 Sales Agreement. We suspended sales under the 2019 Sales Agreement in March 2020 and terminated the ATM program in November 2020.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see “Credit Facilities” below for information regarding our debt financing.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Year Ended</w:t>
      </w:r>
    </w:p>
    <w:p>
      <w:pP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80" w:type="dxa"/>
        <w:tblCellMar>
          <w:top w:w="0" w:type="dxa"/>
          <w:left w:w="0" w:type="dxa"/>
          <w:bottom w:w="0" w:type="dxa"/>
          <w:right w:w="0" w:type="dxa"/>
        </w:tblCellMar>
      </w:tblPr>
      <w:tr>
        <w:trPr>
          <w:trHeight w:val="142"/>
        </w:trPr>
        <w:tc>
          <w:tcPr>
            <w:tcW w:w="49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28"/>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tcPr>
          <w:p>
            <w:pPr>
              <w:jc w:val="right"/>
              <w:ind w:right="4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60" w:right="139" w:firstLine="401"/>
        <w:spacing w:after="0" w:line="290" w:lineRule="auto"/>
        <w:rPr>
          <w:sz w:val="20"/>
          <w:szCs w:val="20"/>
          <w:color w:val="auto"/>
        </w:rPr>
      </w:pPr>
      <w:r>
        <w:rPr>
          <w:rFonts w:ascii="Arial" w:cs="Arial" w:eastAsia="Arial" w:hAnsi="Arial"/>
          <w:sz w:val="16"/>
          <w:szCs w:val="16"/>
          <w:color w:val="auto"/>
        </w:rPr>
        <w:t>During the year ended December 31, 2020, cash used in operating activities was $2.9 million, which consisted of a net loss of $8.5 million, adjusted by non-cash charges of $6.3 million and a change of $0.7 million in our net operating assets and liabilities. The non-cash charges consisted of stock-based compensation of $4.0 million, depreciation and amortization of $2.0 million, and non-cash interest expense of $0.3 million. The change in our net operating assets and liabilities was primarily due to an increase of $1.8 million in accounts receivable due to increased sales volume and timing of cash receipts for outstanding balances, an increase of $2.1 million in inventory to meet demand of future sales and growing backlog, a decrease of $0.8 million in accounts payable due to the timing of payments, and a decrease of $0.3 million in accrued liabilities primarily due to timing of payments on inventory purchases.</w:t>
      </w:r>
    </w:p>
    <w:p>
      <w:pPr>
        <w:spacing w:after="0" w:line="165" w:lineRule="exact"/>
        <w:rPr>
          <w:sz w:val="20"/>
          <w:szCs w:val="20"/>
          <w:color w:val="auto"/>
        </w:rPr>
      </w:pPr>
    </w:p>
    <w:p>
      <w:pPr>
        <w:ind w:left="60" w:right="179" w:firstLine="401"/>
        <w:spacing w:after="0" w:line="270" w:lineRule="auto"/>
        <w:rPr>
          <w:sz w:val="20"/>
          <w:szCs w:val="20"/>
          <w:color w:val="auto"/>
        </w:rPr>
      </w:pPr>
      <w:r>
        <w:rPr>
          <w:rFonts w:ascii="Arial" w:cs="Arial" w:eastAsia="Arial" w:hAnsi="Arial"/>
          <w:sz w:val="17"/>
          <w:szCs w:val="17"/>
          <w:color w:val="auto"/>
        </w:rPr>
        <w:t>During the year ended December 31, 2019, cash used in operating activities was $8.1 million, which consisted of a net loss of $14.7 million, adjusted by non-cash charges of $5.6 million and a change of $1.0 million in our net operating assets and liabilities. The non-cash charges consisted of stock-based compensation of $3.6 million, depreciation and amortization of $1.7 million, and non-cash interest expense of $0.3 million. The change in our net operating assets and liabilities was primarily due to a decrease of $1.7 million in accounts receivable due to decreased sales volume and timing of cash receipts for outstanding balances, a decrease of $1.2 million in inventory due to adjusting purchasing practices to meet expected sales volumes, and an increase of $0.2 million in accounts payable due to the timing of payments. These were partially offset by a decrease of $2.2 million in accrued liabilities primarily due to timing of payments on inventory purchases.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Cash used in investing activities during the years ended December 31, 2020 and 2019 was $0.3 million and $0.9 million, respectively, which consisted of capital expenditures primarily for the purchase of manufacturing equipment and purchased software.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0" w:right="79" w:firstLine="401"/>
        <w:spacing w:after="0" w:line="259" w:lineRule="auto"/>
        <w:rPr>
          <w:sz w:val="20"/>
          <w:szCs w:val="20"/>
          <w:color w:val="auto"/>
        </w:rPr>
      </w:pPr>
      <w:r>
        <w:rPr>
          <w:rFonts w:ascii="Arial" w:cs="Arial" w:eastAsia="Arial" w:hAnsi="Arial"/>
          <w:sz w:val="18"/>
          <w:szCs w:val="18"/>
          <w:color w:val="auto"/>
        </w:rPr>
        <w:t>During the year ended December 31, 2020, cash provided by financing activities was $3.4 million, which consisted of $2.1 million in net proceeds from the sale of our common stock in our at-the-market offering under our 2019 Sales Agreement with Jefferies, and $1.3 million in proceeds from stock option exercises and purchases of shares in our employee stock purchase plan.</w:t>
      </w:r>
    </w:p>
    <w:p>
      <w:pPr>
        <w:spacing w:after="0" w:line="187" w:lineRule="exact"/>
        <w:rPr>
          <w:sz w:val="20"/>
          <w:szCs w:val="20"/>
          <w:color w:val="auto"/>
        </w:rPr>
      </w:pPr>
    </w:p>
    <w:p>
      <w:pPr>
        <w:ind w:left="60" w:right="79" w:firstLine="401"/>
        <w:spacing w:after="0" w:line="257" w:lineRule="auto"/>
        <w:rPr>
          <w:sz w:val="20"/>
          <w:szCs w:val="20"/>
          <w:color w:val="auto"/>
        </w:rPr>
      </w:pPr>
      <w:r>
        <w:rPr>
          <w:rFonts w:ascii="Arial" w:cs="Arial" w:eastAsia="Arial" w:hAnsi="Arial"/>
          <w:sz w:val="18"/>
          <w:szCs w:val="18"/>
          <w:color w:val="auto"/>
        </w:rPr>
        <w:t>During the year ended December 31, 2019, cash provided by financing activities was $0.1 million, which consisted of $4.7 million in net proceeds from the sale of our common stock in our at-the-market offering under our 2019 Sales Agreement with Jefferies, and $0.3 million in proceeds from stock option exercises and purchases of shares in our employee stock purchase plan, partially offset by payments on long-term debt of $4.8 million and payment of debt issuance costs of $0.1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639" w:firstLine="401"/>
        <w:spacing w:after="0" w:line="277" w:lineRule="auto"/>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Facilities</w:t>
      </w:r>
    </w:p>
    <w:p>
      <w:pPr>
        <w:spacing w:after="0" w:line="229"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In May 2017, we executed a Loan and Security Agreement (2017 Credit Facility) with Silicon Valley Bank (SVB) for a $12.0 million term loan, which we subsequently amended in January 2019 and June 2019. In August 2019, we executed an Amended and Restated Loan and Security Agreement (2019 Credit Facility), which amended and restated the 2017 Credit Facility, providing for a formula revolving line of credit (Line of Credit) and a term loan (2019 Term Loan) with SVB to refinance in full the outstanding principal balance of $8.0 million under the 2017 Credit Facility.</w:t>
      </w:r>
    </w:p>
    <w:p>
      <w:pPr>
        <w:spacing w:after="0" w:line="161" w:lineRule="exact"/>
        <w:rPr>
          <w:sz w:val="20"/>
          <w:szCs w:val="20"/>
          <w:color w:val="auto"/>
        </w:rPr>
      </w:pPr>
    </w:p>
    <w:p>
      <w:pPr>
        <w:jc w:val="both"/>
        <w:ind w:left="60" w:right="99" w:firstLine="401"/>
        <w:spacing w:after="0" w:line="259" w:lineRule="auto"/>
        <w:rPr>
          <w:sz w:val="20"/>
          <w:szCs w:val="20"/>
          <w:color w:val="auto"/>
        </w:rPr>
      </w:pPr>
      <w:r>
        <w:rPr>
          <w:rFonts w:ascii="Arial" w:cs="Arial" w:eastAsia="Arial" w:hAnsi="Arial"/>
          <w:sz w:val="18"/>
          <w:szCs w:val="18"/>
          <w:color w:val="auto"/>
        </w:rPr>
        <w:t>In July 2020, we executed the first amendment to the 2019 Credit Facility with SVB. The amendment, among other things, extended the initial 12-month interest-only period for the term loan to a 16-month interest-only period and lowered the floor interest rate. The floor interest rates for 2019 Term Loan and the Line of Credit Facility were reduced from 4.75% and 6.75% to 3.75% and 4.75%, respectively.</w:t>
      </w:r>
    </w:p>
    <w:p>
      <w:pPr>
        <w:spacing w:after="0" w:line="187"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The amended Line of Credit allows for a maximum draw of $5.0 million, subject to a formula borrowing base, has a two-year term and bears interest at a floating rate equal to the Wall Street Journal (WSJ) prime rate plus 1.5%, per annum, subject to a floor of 4.75%. At execution, $2.0 million from the Line of Credit was used to refinance a portion of the outstanding balance of the 2017 Credit Facility, and $3.0 million remains available under the Line of Credit, subject to borrowing base availability. As of December 31, 2020, the effective interest rate under the Line of Credit was 10.18% and the outstanding balance was $2.0 million. The Line of Credit matures on August 5, 2021.</w:t>
      </w:r>
    </w:p>
    <w:p>
      <w:pPr>
        <w:spacing w:after="0" w:line="178"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amended 2019 Term Loan provides for a $6.0 million term loan, which was used to refinance the remaining balance of the 2017 Credit Facility. The amended 2019 Term Loan has a term of 46 months, and a 16-month interest-only period followed by 30 months of equal principal payments, plus accrued interest. The 2019 Term Loan bears interest at a floating rate equal to the WSJ prime rate minus 0.75%, subject to a floor of 3.75%. As of December 31, 2020, the effective interest rate under the 2019 Term Loan was 7.85% and the outstanding balance was $6.0 million. The 2019 Term Loan matures on June 1, 2023.</w:t>
      </w:r>
    </w:p>
    <w:p>
      <w:pPr>
        <w:spacing w:after="0" w:line="192" w:lineRule="exact"/>
        <w:rPr>
          <w:sz w:val="20"/>
          <w:szCs w:val="20"/>
          <w:color w:val="auto"/>
        </w:rPr>
      </w:pPr>
    </w:p>
    <w:p>
      <w:pPr>
        <w:jc w:val="both"/>
        <w:ind w:left="60" w:right="99" w:firstLine="401"/>
        <w:spacing w:after="0" w:line="272" w:lineRule="auto"/>
        <w:rPr>
          <w:sz w:val="20"/>
          <w:szCs w:val="20"/>
          <w:color w:val="auto"/>
        </w:rPr>
      </w:pPr>
      <w:r>
        <w:rPr>
          <w:rFonts w:ascii="Arial" w:cs="Arial" w:eastAsia="Arial" w:hAnsi="Arial"/>
          <w:sz w:val="17"/>
          <w:szCs w:val="17"/>
          <w:color w:val="auto"/>
        </w:rPr>
        <w:t>In conjunction with entering into the 2019 Credit Facility, on August 5, 2019, we and SVB amended and restated the warrant issued to SVB in connection with the first amendment to the 2017 Credit Facility, which was a warrant to purchase 9,375 shares of our common stock at an exercise price of $8.91 per share, to add an option by SVB to put the warrant back to us for $50,000 upon expiration or a liquidity event, to be prorated if SVB exercises a portion of the warrant. The warrant expires on July 6, 2023. Additionally, in conjunction with entering into the first amendment to the 2019 Credit Facility, on July 15, 2020, we issued an additional warrant to SVB to purchase 21,500 shares of our common stock at an exercise price of $0.01 per share which expires on July 15, 2025.</w:t>
      </w:r>
    </w:p>
    <w:p>
      <w:pPr>
        <w:spacing w:after="0" w:line="177" w:lineRule="exact"/>
        <w:rPr>
          <w:sz w:val="20"/>
          <w:szCs w:val="20"/>
          <w:color w:val="auto"/>
        </w:rPr>
      </w:pPr>
    </w:p>
    <w:p>
      <w:pPr>
        <w:ind w:left="60" w:right="99" w:firstLine="401"/>
        <w:spacing w:after="0" w:line="288" w:lineRule="auto"/>
        <w:rPr>
          <w:sz w:val="20"/>
          <w:szCs w:val="20"/>
          <w:color w:val="auto"/>
        </w:rPr>
      </w:pPr>
      <w:r>
        <w:rPr>
          <w:rFonts w:ascii="Arial" w:cs="Arial" w:eastAsia="Arial" w:hAnsi="Arial"/>
          <w:sz w:val="16"/>
          <w:szCs w:val="16"/>
          <w:color w:val="auto"/>
        </w:rPr>
        <w:t>Collateral for the 2019 Credit Facility includes all of our assets except for intellectual property. We are required to comply with certain covenants under the 2019 Credit Facility, including requirements to maintain a minimum cash balance and availability under the Line of Credit, and restrictions on certain actions without the consent of the lender, such as limitations on our ability to engage in mergers or acquisitions, sell assets, incur indebtedness or grant liens or negative pledges on our assets, make loans or make other investments. Under these covenants, we are prohibited from paying cash dividends with respect to our capital stock. We were in compliance with all covenants at December 31, 2020. The 2019 Credit Facility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2019 Term Loan. As of December 31, 2020, we do not believe that it is probable that the clause will be triggered within the next 12 months.</w:t>
      </w:r>
    </w:p>
    <w:p>
      <w:pPr>
        <w:spacing w:after="0" w:line="168" w:lineRule="exact"/>
        <w:rPr>
          <w:sz w:val="20"/>
          <w:szCs w:val="20"/>
          <w:color w:val="auto"/>
        </w:rPr>
      </w:pPr>
    </w:p>
    <w:p>
      <w:pPr>
        <w:ind w:left="60" w:right="239" w:firstLine="401"/>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financial statements in Part II, Item 8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60" w:right="99" w:firstLine="401"/>
        <w:spacing w:after="0" w:line="271"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219" w:firstLine="401"/>
        <w:spacing w:after="0" w:line="25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collected from customers, which are subsequently remitted to governmental authorities.</w:t>
      </w:r>
    </w:p>
    <w:p>
      <w:pPr>
        <w:spacing w:after="0" w:line="187" w:lineRule="exact"/>
        <w:rPr>
          <w:sz w:val="20"/>
          <w:szCs w:val="20"/>
          <w:color w:val="auto"/>
        </w:rPr>
      </w:pPr>
    </w:p>
    <w:p>
      <w:pPr>
        <w:jc w:val="both"/>
        <w:ind w:left="60" w:right="179" w:firstLine="401"/>
        <w:spacing w:after="0" w:line="311" w:lineRule="auto"/>
        <w:rPr>
          <w:sz w:val="20"/>
          <w:szCs w:val="20"/>
          <w:color w:val="auto"/>
        </w:rPr>
      </w:pPr>
      <w:r>
        <w:rPr>
          <w:rFonts w:ascii="Arial" w:cs="Arial" w:eastAsia="Arial" w:hAnsi="Arial"/>
          <w:sz w:val="16"/>
          <w:szCs w:val="16"/>
          <w:color w:val="auto"/>
        </w:rPr>
        <w:t>Our billing practices approximate our performance as measured by an output method, where each output represents the completion of a performance obligation. We utilize the invoice practical expedient as defined in Accounting Standards Codification (ASC) Topic 606, resulting in recognition of revenue in the amount that we have the right to invoice.</w:t>
      </w:r>
    </w:p>
    <w:p>
      <w:pPr>
        <w:spacing w:after="0" w:line="149" w:lineRule="exact"/>
        <w:rPr>
          <w:sz w:val="20"/>
          <w:szCs w:val="20"/>
          <w:color w:val="auto"/>
        </w:rPr>
      </w:pPr>
    </w:p>
    <w:p>
      <w:pPr>
        <w:ind w:left="60" w:right="439" w:firstLine="401"/>
        <w:spacing w:after="0" w:line="277" w:lineRule="auto"/>
        <w:rPr>
          <w:sz w:val="20"/>
          <w:szCs w:val="20"/>
          <w:color w:val="auto"/>
        </w:rPr>
      </w:pPr>
      <w:r>
        <w:rPr>
          <w:rFonts w:ascii="Arial" w:cs="Arial" w:eastAsia="Arial" w:hAnsi="Arial"/>
          <w:sz w:val="18"/>
          <w:szCs w:val="18"/>
          <w:color w:val="auto"/>
        </w:rPr>
        <w:t>We incur direct and incremental costs of obtaining contracts and expense such costs as incurred, as the life of the underlying contract is less than one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99" w:firstLine="401"/>
        <w:spacing w:after="0" w:line="273" w:lineRule="auto"/>
        <w:rPr>
          <w:sz w:val="20"/>
          <w:szCs w:val="20"/>
          <w:color w:val="auto"/>
        </w:rPr>
      </w:pPr>
      <w:r>
        <w:rPr>
          <w:rFonts w:ascii="Arial" w:cs="Arial" w:eastAsia="Arial" w:hAnsi="Arial"/>
          <w:sz w:val="17"/>
          <w:szCs w:val="17"/>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left="60" w:right="139" w:firstLine="401"/>
        <w:spacing w:after="0" w:line="259" w:lineRule="auto"/>
        <w:rPr>
          <w:sz w:val="20"/>
          <w:szCs w:val="20"/>
          <w:color w:val="auto"/>
        </w:rPr>
      </w:pPr>
      <w:r>
        <w:rPr>
          <w:rFonts w:ascii="Arial" w:cs="Arial" w:eastAsia="Arial" w:hAnsi="Arial"/>
          <w:sz w:val="18"/>
          <w:szCs w:val="18"/>
          <w:color w:val="auto"/>
        </w:rPr>
        <w:t>For products sold in their discrete form, we either sell our products directly to OEMs,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187" w:lineRule="exact"/>
        <w:rPr>
          <w:sz w:val="20"/>
          <w:szCs w:val="20"/>
          <w:color w:val="auto"/>
        </w:rPr>
      </w:pPr>
    </w:p>
    <w:p>
      <w:pPr>
        <w:ind w:left="60" w:right="99" w:firstLine="401"/>
        <w:spacing w:after="0" w:line="268" w:lineRule="auto"/>
        <w:rPr>
          <w:sz w:val="20"/>
          <w:szCs w:val="20"/>
          <w:color w:val="auto"/>
        </w:rPr>
      </w:pPr>
      <w:r>
        <w:rPr>
          <w:rFonts w:ascii="Arial" w:cs="Arial" w:eastAsia="Arial" w:hAnsi="Arial"/>
          <w:sz w:val="17"/>
          <w:szCs w:val="17"/>
          <w:color w:val="auto"/>
        </w:rPr>
        <w:t>We sell a majority of our products to our distributors at a uniform list price. However, distributors may resell our products to end customers at a very broad range of individually negotiated price points. We provide distributors with price concessions subsequent to the delivery of product to them and such amounts are dependent on the end customer and product sales price. We base the price concessions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concessions for amounts due to distributors. We estimate credits to distributors based on the historical rate of credits provided to distributors relative to sales. Revenue on shipments to distributors is recorded when control of the products has been transferred to the distributor.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401"/>
        <w:spacing w:after="0" w:line="301"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7" w:lineRule="exact"/>
        <w:rPr>
          <w:sz w:val="20"/>
          <w:szCs w:val="20"/>
          <w:color w:val="auto"/>
        </w:rPr>
      </w:pPr>
    </w:p>
    <w:p>
      <w:pPr>
        <w:ind w:left="60" w:right="199" w:firstLine="401"/>
        <w:spacing w:after="0" w:line="259" w:lineRule="auto"/>
        <w:rPr>
          <w:sz w:val="20"/>
          <w:szCs w:val="20"/>
          <w:color w:val="auto"/>
        </w:rPr>
      </w:pPr>
      <w:r>
        <w:rPr>
          <w:rFonts w:ascii="Arial" w:cs="Arial" w:eastAsia="Arial" w:hAnsi="Arial"/>
          <w:sz w:val="18"/>
          <w:szCs w:val="18"/>
          <w:color w:val="auto"/>
        </w:rPr>
        <w:t>At the time of shipment to distributors, we record a trade receivable for the selling price as there is a legally enforceable obligation of the distributor to pay for the product delivered. We establish an allowance for estimated price concessions related to our distributor agreements. We estimate credits to distributors based on the historical rate of credits provided to distributors relative to sales.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259" w:firstLine="401"/>
        <w:spacing w:after="0" w:line="273" w:lineRule="auto"/>
        <w:rPr>
          <w:sz w:val="20"/>
          <w:szCs w:val="20"/>
          <w:color w:val="auto"/>
        </w:rPr>
      </w:pPr>
      <w:r>
        <w:rPr>
          <w:rFonts w:ascii="Arial" w:cs="Arial" w:eastAsia="Arial" w:hAnsi="Arial"/>
          <w:sz w:val="17"/>
          <w:szCs w:val="17"/>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78" w:lineRule="exact"/>
        <w:rPr>
          <w:sz w:val="20"/>
          <w:szCs w:val="20"/>
          <w:color w:val="auto"/>
        </w:rPr>
      </w:pPr>
    </w:p>
    <w:p>
      <w:pPr>
        <w:ind w:left="60" w:right="179" w:firstLine="401"/>
        <w:spacing w:after="0" w:line="277" w:lineRule="auto"/>
        <w:rPr>
          <w:sz w:val="20"/>
          <w:szCs w:val="20"/>
          <w:color w:val="auto"/>
        </w:rPr>
      </w:pPr>
      <w:r>
        <w:rPr>
          <w:rFonts w:ascii="Arial" w:cs="Arial" w:eastAsia="Arial" w:hAnsi="Arial"/>
          <w:sz w:val="18"/>
          <w:szCs w:val="18"/>
          <w:color w:val="auto"/>
        </w:rPr>
        <w:t>We recognize revenue from non-refundable upfront payments when the license is transferred to the customer and we have no other performance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left="60" w:right="99" w:firstLine="401"/>
        <w:spacing w:after="0" w:line="259" w:lineRule="auto"/>
        <w:rPr>
          <w:sz w:val="20"/>
          <w:szCs w:val="20"/>
          <w:color w:val="auto"/>
        </w:rPr>
      </w:pPr>
      <w:r>
        <w:rPr>
          <w:rFonts w:ascii="Arial" w:cs="Arial" w:eastAsia="Arial" w:hAnsi="Arial"/>
          <w:sz w:val="18"/>
          <w:szCs w:val="18"/>
          <w:color w:val="auto"/>
        </w:rPr>
        <w:t>We recognize revenue from sales-based royalties from licenses of our technology at the later of when (1) the sale occurs or (2) the performance obligation to which some or all of the sales-based royalty has been allocated is satisfied (in whole or in part). We record an unbilled receivable (within accounts receivable, net) for the portion of sales-based royalties that have been earned, but not invoiced at the end of each reporting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219" w:firstLine="401"/>
        <w:spacing w:after="0" w:line="301" w:lineRule="auto"/>
        <w:rPr>
          <w:sz w:val="20"/>
          <w:szCs w:val="20"/>
          <w:color w:val="auto"/>
        </w:rPr>
      </w:pPr>
      <w:r>
        <w:rPr>
          <w:rFonts w:ascii="Arial" w:cs="Arial" w:eastAsia="Arial" w:hAnsi="Arial"/>
          <w:sz w:val="16"/>
          <w:szCs w:val="16"/>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57" w:lineRule="exact"/>
        <w:rPr>
          <w:sz w:val="20"/>
          <w:szCs w:val="20"/>
          <w:color w:val="auto"/>
        </w:rPr>
      </w:pPr>
    </w:p>
    <w:p>
      <w:pPr>
        <w:ind w:left="60" w:right="179" w:firstLine="401"/>
        <w:spacing w:after="0" w:line="272" w:lineRule="auto"/>
        <w:rPr>
          <w:sz w:val="20"/>
          <w:szCs w:val="20"/>
          <w:color w:val="auto"/>
        </w:rPr>
      </w:pPr>
      <w:r>
        <w:rPr>
          <w:rFonts w:ascii="Arial" w:cs="Arial" w:eastAsia="Arial" w:hAnsi="Arial"/>
          <w:sz w:val="17"/>
          <w:szCs w:val="17"/>
          <w:color w:val="auto"/>
        </w:rPr>
        <w:t>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59" w:firstLine="405"/>
        <w:spacing w:after="0" w:line="271" w:lineRule="auto"/>
        <w:rPr>
          <w:sz w:val="20"/>
          <w:szCs w:val="20"/>
          <w:color w:val="auto"/>
        </w:rPr>
      </w:pPr>
      <w:r>
        <w:rPr>
          <w:rFonts w:ascii="Arial" w:cs="Arial" w:eastAsia="Arial" w:hAnsi="Arial"/>
          <w:sz w:val="17"/>
          <w:szCs w:val="17"/>
          <w:color w:val="auto"/>
        </w:rPr>
        <w:t>We record inventories at the lower of cost, determined on a first-in, first-out basis or specific identification method, or market. We write down inventory for estimated excess or obsolete inventory equal to the difference between cost and estimated net realizable value. Inventory write downs establish a new cost basis for inventory and charges are not subsequently reversed even if circumstances subsequently indicate that increased carrying amounts are recoverable. In estimating these reserves, our evaluation takes into consideration historical and expected future demand considering current market conditions and trends, the effect new products may have on the sale of existing products, technological obsolescence and other factors. We record inventory write-downs for the valuation of inventory when required based on our analyses and any write-downs result in a new cost basis for the affected item.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left="60" w:right="79" w:firstLine="401"/>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(the JOBS Act) and therefore we may take advantage of certain exemptions from various public company reporting requirements, including not being required to have our internal control over financial reporting audited by our independent registered public accounting firm pursuant to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we are no longer an emerging growth company. We will cease to be an emerging growth company upon the earliest of: (1) December 31, 2021, (2) the last day of the first fiscal year in which our annual gross revenues are $1.07 billion or more, (3) the date on which we have, during the previous rolling three-year period, issued more than $1.0 billion in non-convertible debt securities, or (4) the date on which we are deemed to be a “large accelerated filer” as defined in the Exchange Act. Even after we no longer qualify as an emerging growth company, we may still qualify as a “smaller reporting company,” which would allow us to take advantage of certain of the same exemptions from disclosure requirements discussed above.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color w:val="auto"/>
        </w:rPr>
        <w:t>See Note 2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00" w:type="dxa"/>
            <w:vAlign w:val="bottom"/>
            <w:vMerge w:val="restart"/>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8500" w:type="dxa"/>
            <w:vAlign w:val="bottom"/>
            <w:vMerge w:val="continue"/>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5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5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Balance Sheets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500" w:type="dxa"/>
            <w:vAlign w:val="bottom"/>
          </w:tcPr>
          <w:p>
            <w:pPr>
              <w:ind w:left="5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Statements of Operations and Comprehensive Loss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500" w:type="dxa"/>
            <w:vAlign w:val="bottom"/>
          </w:tcPr>
          <w:p>
            <w:pPr>
              <w:ind w:left="5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Statements of Stockholders’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500" w:type="dxa"/>
            <w:vAlign w:val="bottom"/>
          </w:tcPr>
          <w:p>
            <w:pPr>
              <w:ind w:left="5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Statements of Cash Flows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8500" w:type="dxa"/>
            <w:vAlign w:val="bottom"/>
          </w:tcPr>
          <w:p>
            <w:pPr>
              <w:ind w:left="5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Everspin Technologies,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We have audited the accompanying balance sheets of Everspin Technologies, Inc. (the Company) as of December 31, 2020 and 2019, and the related statements of operations and comprehensive loss,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4,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income tax liability</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issued and outstanding as of December 31, 2020 and 2019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8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w w:val="91"/>
              </w:rPr>
              <w:t>19,031,556 and 18,081,753 shares issued and outstanding as of December 31, 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and 2019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(157,174)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(148,662)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25,652</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26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7"/>
              </w:rPr>
              <w:t>Weighted-average shares used to compute net loss per common share,</w:t>
            </w: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18,782,287</w:t>
            </w: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17,317,042</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Operating expenses include stock-based compensation as follows: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c>
          <w:tcPr>
            <w:tcW w:w="5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3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226"/>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040" w:type="dxa"/>
            <w:vAlign w:val="bottom"/>
          </w:tcPr>
          <w:p>
            <w:pPr>
              <w:jc w:val="right"/>
              <w:ind w:right="246"/>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86"/>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426"/>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17,095,456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158,912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(133,993)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24,921</w:t>
            </w: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tcPr>
          <w:p>
            <w:pPr>
              <w:jc w:val="right"/>
              <w:spacing w:after="0"/>
              <w:rPr>
                <w:sz w:val="20"/>
                <w:szCs w:val="20"/>
                <w:color w:val="auto"/>
              </w:rPr>
            </w:pPr>
            <w:r>
              <w:rPr>
                <w:rFonts w:ascii="Arial" w:cs="Arial" w:eastAsia="Arial" w:hAnsi="Arial"/>
                <w:sz w:val="14"/>
                <w:szCs w:val="14"/>
                <w:color w:val="auto"/>
              </w:rPr>
              <w:t>97,310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Issuance of common stock in at-the- market</w:t>
            </w: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offering, net of issuance costs (Note 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888,987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Modification of warrant in connection with</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2019 Credit Facility</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(14,669)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(14,669)</w:t>
            </w: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28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3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0" w:type="dxa"/>
            <w:vAlign w:val="bottom"/>
          </w:tcPr>
          <w:p>
            <w:pPr>
              <w:spacing w:after="0"/>
              <w:rPr>
                <w:sz w:val="1"/>
                <w:szCs w:val="1"/>
                <w:color w:val="auto"/>
              </w:rPr>
            </w:pPr>
          </w:p>
        </w:tc>
      </w:tr>
      <w:tr>
        <w:trPr>
          <w:trHeight w:val="130"/>
        </w:trPr>
        <w:tc>
          <w:tcPr>
            <w:tcW w:w="294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under stock</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481,376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1,595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1,595</w:t>
            </w:r>
          </w:p>
        </w:tc>
        <w:tc>
          <w:tcPr>
            <w:tcW w:w="0" w:type="dxa"/>
            <w:vAlign w:val="bottom"/>
          </w:tcPr>
          <w:p>
            <w:pPr>
              <w:spacing w:after="0"/>
              <w:rPr>
                <w:sz w:val="1"/>
                <w:szCs w:val="1"/>
                <w:color w:val="auto"/>
              </w:rPr>
            </w:pPr>
          </w:p>
        </w:tc>
      </w:tr>
      <w:tr>
        <w:trPr>
          <w:trHeight w:val="167"/>
        </w:trPr>
        <w:tc>
          <w:tcPr>
            <w:tcW w:w="294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Issuance of common stock in at-the- market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468,427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2,084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2,084</w:t>
            </w: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offering, net of issuance costs (Note 7)</w:t>
            </w:r>
          </w:p>
        </w:tc>
        <w:tc>
          <w:tcPr>
            <w:tcW w:w="10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20"/>
              <w:spacing w:after="0"/>
              <w:rPr>
                <w:sz w:val="20"/>
                <w:szCs w:val="20"/>
                <w:color w:val="auto"/>
              </w:rPr>
            </w:pPr>
            <w:r>
              <w:rPr>
                <w:rFonts w:ascii="Arial" w:cs="Arial" w:eastAsia="Arial" w:hAnsi="Arial"/>
                <w:sz w:val="14"/>
                <w:szCs w:val="14"/>
                <w:color w:val="auto"/>
              </w:rPr>
              <w:t>Issuance of warrant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3,604</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(8,512)</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19,031,556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174,584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304"/>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62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56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(8,512)</w:t>
            </w:r>
          </w:p>
        </w:tc>
        <w:tc>
          <w:tcPr>
            <w:tcW w:w="240" w:type="dxa"/>
            <w:vAlign w:val="bottom"/>
          </w:tcPr>
          <w:p>
            <w:pPr>
              <w:spacing w:after="0"/>
              <w:rPr>
                <w:sz w:val="14"/>
                <w:szCs w:val="14"/>
                <w:color w:val="auto"/>
              </w:rPr>
            </w:pPr>
          </w:p>
        </w:tc>
        <w:tc>
          <w:tcPr>
            <w:tcW w:w="220" w:type="dxa"/>
            <w:vAlign w:val="bottom"/>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(14,669)</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00"/>
              <w:spacing w:after="0" w:line="162" w:lineRule="exact"/>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1,982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1,694</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6240" w:type="dxa"/>
            <w:vAlign w:val="bottom"/>
          </w:tcPr>
          <w:p>
            <w:pPr>
              <w:ind w:left="100"/>
              <w:spacing w:after="0" w:line="162" w:lineRule="exact"/>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3,968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3,554</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Non-cash gain on warrant revaluation</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6240" w:type="dxa"/>
            <w:vAlign w:val="bottom"/>
          </w:tcPr>
          <w:p>
            <w:pPr>
              <w:ind w:left="100"/>
              <w:spacing w:after="0" w:line="162" w:lineRule="exact"/>
              <w:rPr>
                <w:sz w:val="20"/>
                <w:szCs w:val="20"/>
                <w:color w:val="auto"/>
              </w:rPr>
            </w:pPr>
            <w:r>
              <w:rPr>
                <w:rFonts w:ascii="Arial" w:cs="Arial" w:eastAsia="Arial" w:hAnsi="Arial"/>
                <w:sz w:val="15"/>
                <w:szCs w:val="15"/>
                <w:color w:val="auto"/>
              </w:rPr>
              <w:t>Non-cash interest expense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323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00"/>
              <w:spacing w:after="0" w:line="162" w:lineRule="exact"/>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(1,808)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1,723</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Inventory</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2,142</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1,234</w:t>
            </w:r>
          </w:p>
        </w:tc>
        <w:tc>
          <w:tcPr>
            <w:tcW w:w="0" w:type="dxa"/>
            <w:vAlign w:val="bottom"/>
          </w:tcPr>
          <w:p>
            <w:pPr>
              <w:spacing w:after="0"/>
              <w:rPr>
                <w:sz w:val="1"/>
                <w:szCs w:val="1"/>
                <w:color w:val="auto"/>
              </w:rPr>
            </w:pPr>
          </w:p>
        </w:tc>
      </w:tr>
      <w:tr>
        <w:trPr>
          <w:trHeight w:val="162"/>
        </w:trPr>
        <w:tc>
          <w:tcPr>
            <w:tcW w:w="6240" w:type="dxa"/>
            <w:vAlign w:val="bottom"/>
          </w:tcPr>
          <w:p>
            <w:pPr>
              <w:ind w:left="1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269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62"/>
        </w:trPr>
        <w:tc>
          <w:tcPr>
            <w:tcW w:w="6240" w:type="dxa"/>
            <w:vAlign w:val="bottom"/>
          </w:tcPr>
          <w:p>
            <w:pPr>
              <w:ind w:left="100"/>
              <w:spacing w:after="0" w:line="162" w:lineRule="exact"/>
              <w:rPr>
                <w:sz w:val="20"/>
                <w:szCs w:val="20"/>
                <w:color w:val="auto"/>
              </w:rPr>
            </w:pPr>
            <w:r>
              <w:rPr>
                <w:rFonts w:ascii="Arial" w:cs="Arial" w:eastAsia="Arial" w:hAnsi="Arial"/>
                <w:sz w:val="15"/>
                <w:szCs w:val="15"/>
                <w:color w:val="auto"/>
              </w:rPr>
              <w:t>Accrued liabilities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(303)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(2,210)</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Lease liabilities</w:t>
            </w:r>
          </w:p>
        </w:tc>
        <w:tc>
          <w:tcPr>
            <w:tcW w:w="3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(192)</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Net cash used in operating activities</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(2,923)</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(8,116)</w:t>
            </w:r>
          </w:p>
        </w:tc>
        <w:tc>
          <w:tcPr>
            <w:tcW w:w="0" w:type="dxa"/>
            <w:vAlign w:val="bottom"/>
          </w:tcPr>
          <w:p>
            <w:pPr>
              <w:spacing w:after="0"/>
              <w:rPr>
                <w:sz w:val="1"/>
                <w:szCs w:val="1"/>
                <w:color w:val="auto"/>
              </w:rPr>
            </w:pPr>
          </w:p>
        </w:tc>
      </w:tr>
      <w:tr>
        <w:trPr>
          <w:trHeight w:val="156"/>
        </w:trPr>
        <w:tc>
          <w:tcPr>
            <w:tcW w:w="62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(320)</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156"/>
        </w:trPr>
        <w:tc>
          <w:tcPr>
            <w:tcW w:w="6240" w:type="dxa"/>
            <w:vAlign w:val="bottom"/>
            <w:shd w:val="clear" w:color="auto" w:fill="CCEEFF"/>
          </w:tcPr>
          <w:p>
            <w:pPr>
              <w:ind w:left="100"/>
              <w:spacing w:after="0" w:line="156" w:lineRule="exact"/>
              <w:rPr>
                <w:sz w:val="20"/>
                <w:szCs w:val="20"/>
                <w:color w:val="auto"/>
              </w:rPr>
            </w:pPr>
            <w:r>
              <w:rPr>
                <w:rFonts w:ascii="Arial" w:cs="Arial" w:eastAsia="Arial" w:hAnsi="Arial"/>
                <w:sz w:val="15"/>
                <w:szCs w:val="15"/>
                <w:color w:val="auto"/>
              </w:rPr>
              <w:t>Net cash used in investing activities</w:t>
            </w:r>
          </w:p>
        </w:tc>
        <w:tc>
          <w:tcPr>
            <w:tcW w:w="3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(320)</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155"/>
        </w:trPr>
        <w:tc>
          <w:tcPr>
            <w:tcW w:w="624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debt</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(4,840)</w:t>
            </w:r>
          </w:p>
        </w:tc>
        <w:tc>
          <w:tcPr>
            <w:tcW w:w="0" w:type="dxa"/>
            <w:vAlign w:val="bottom"/>
          </w:tcPr>
          <w:p>
            <w:pPr>
              <w:spacing w:after="0"/>
              <w:rPr>
                <w:sz w:val="1"/>
                <w:szCs w:val="1"/>
                <w:color w:val="auto"/>
              </w:rPr>
            </w:pPr>
          </w:p>
        </w:tc>
      </w:tr>
      <w:tr>
        <w:trPr>
          <w:trHeight w:val="162"/>
        </w:trPr>
        <w:tc>
          <w:tcPr>
            <w:tcW w:w="6240" w:type="dxa"/>
            <w:vAlign w:val="bottom"/>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2"/>
        </w:trPr>
        <w:tc>
          <w:tcPr>
            <w:tcW w:w="6240" w:type="dxa"/>
            <w:vAlign w:val="bottom"/>
          </w:tcPr>
          <w:p>
            <w:pPr>
              <w:spacing w:after="0" w:line="162" w:lineRule="exact"/>
              <w:rPr>
                <w:sz w:val="20"/>
                <w:szCs w:val="20"/>
                <w:color w:val="auto"/>
              </w:rPr>
            </w:pPr>
            <w:r>
              <w:rPr>
                <w:rFonts w:ascii="Arial" w:cs="Arial" w:eastAsia="Arial" w:hAnsi="Arial"/>
                <w:sz w:val="15"/>
                <w:szCs w:val="15"/>
                <w:color w:val="auto"/>
                <w:w w:val="95"/>
              </w:rPr>
              <w:t>Proceeds from exercise of stock options and purchase of shares in employee stock purchase plan</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1,280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issuance of common stock in at-the-market offering, net of issuance costs</w:t>
            </w:r>
          </w:p>
        </w:tc>
        <w:tc>
          <w:tcPr>
            <w:tcW w:w="3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2,084</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4,734</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3,355</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55"/>
        </w:trPr>
        <w:tc>
          <w:tcPr>
            <w:tcW w:w="62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112</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(8,892)</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14,487</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23,379</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3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14,599</w:t>
            </w: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14,487</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5"/>
                <w:szCs w:val="15"/>
                <w:b w:val="1"/>
                <w:bCs w:val="1"/>
                <w:color w:val="auto"/>
              </w:rPr>
              <w:t>Supplementary cash flow information:</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paid</w:t>
            </w:r>
          </w:p>
        </w:tc>
        <w:tc>
          <w:tcPr>
            <w:tcW w:w="560" w:type="dxa"/>
            <w:vAlign w:val="bottom"/>
            <w:gridSpan w:val="2"/>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342</w:t>
            </w: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Cash paid for taxes</w:t>
            </w: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43"/>
        </w:trPr>
        <w:tc>
          <w:tcPr>
            <w:tcW w:w="62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1,736</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1,693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9</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43"/>
        </w:trPr>
        <w:tc>
          <w:tcPr>
            <w:tcW w:w="624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240" w:type="dxa"/>
            <w:vAlign w:val="bottom"/>
          </w:tcPr>
          <w:p>
            <w:pPr>
              <w:spacing w:after="0" w:line="162" w:lineRule="exact"/>
              <w:rPr>
                <w:sz w:val="20"/>
                <w:szCs w:val="20"/>
                <w:color w:val="auto"/>
              </w:rPr>
            </w:pPr>
            <w:r>
              <w:rPr>
                <w:rFonts w:ascii="Arial" w:cs="Arial" w:eastAsia="Arial" w:hAnsi="Arial"/>
                <w:sz w:val="15"/>
                <w:szCs w:val="15"/>
                <w:color w:val="auto"/>
              </w:rPr>
              <w:t>Right-of-use assets obtained in exchange for new operating leases</w:t>
            </w:r>
          </w:p>
        </w:tc>
        <w:tc>
          <w:tcPr>
            <w:tcW w:w="56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tcPr>
          <w:p>
            <w:pPr>
              <w:jc w:val="right"/>
              <w:ind w:right="91"/>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43"/>
        </w:trPr>
        <w:tc>
          <w:tcPr>
            <w:tcW w:w="624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Increase of right-of-use asset and lease liability due to lease modification</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545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216</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43"/>
        </w:trPr>
        <w:tc>
          <w:tcPr>
            <w:tcW w:w="624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Modification of warrant</w:t>
            </w:r>
          </w:p>
        </w:tc>
        <w:tc>
          <w:tcPr>
            <w:tcW w:w="3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5"/>
                <w:szCs w:val="15"/>
                <w:color w:val="auto"/>
              </w:rPr>
              <w:t>Issuance of warrant with debt</w:t>
            </w: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4"/>
              <w:spacing w:after="0" w:line="14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152</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99" w:firstLine="401"/>
        <w:spacing w:after="0" w:line="273" w:lineRule="auto"/>
        <w:rPr>
          <w:sz w:val="20"/>
          <w:szCs w:val="20"/>
          <w:color w:val="auto"/>
        </w:rPr>
      </w:pPr>
      <w:r>
        <w:rPr>
          <w:rFonts w:ascii="Arial" w:cs="Arial" w:eastAsia="Arial" w:hAnsi="Arial"/>
          <w:sz w:val="17"/>
          <w:szCs w:val="17"/>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left="60" w:right="119" w:firstLine="401"/>
        <w:spacing w:after="0" w:line="269" w:lineRule="auto"/>
        <w:rPr>
          <w:sz w:val="20"/>
          <w:szCs w:val="20"/>
          <w:color w:val="auto"/>
        </w:rPr>
      </w:pPr>
      <w:r>
        <w:rPr>
          <w:rFonts w:ascii="Arial" w:cs="Arial" w:eastAsia="Arial" w:hAnsi="Arial"/>
          <w:sz w:val="17"/>
          <w:szCs w:val="17"/>
          <w:color w:val="auto"/>
        </w:rPr>
        <w:t>The Company believes that its existing cash and cash equivalents as of December 31, 2020, coupled with its anticipated growth and sales levels and availability under its credit facility, will be sufficient to meet its anticipated cash requirements for at least the next 12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(U.S. GAAP). The preparation of the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The Company believes its estimates and assumptions are reasonable; however, actual results may differ from the Company’s estimates.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60" w:right="259" w:firstLine="401"/>
        <w:spacing w:after="0" w:line="263" w:lineRule="auto"/>
        <w:rPr>
          <w:sz w:val="20"/>
          <w:szCs w:val="20"/>
          <w:color w:val="auto"/>
        </w:rPr>
      </w:pPr>
      <w:r>
        <w:rPr>
          <w:rFonts w:ascii="Arial" w:cs="Arial" w:eastAsia="Arial" w:hAnsi="Arial"/>
          <w:sz w:val="18"/>
          <w:szCs w:val="18"/>
          <w:color w:val="auto"/>
        </w:rPr>
        <w:t>The Company’s chief operating decision maker is its Chief Executive Officer who reviews financial information presented on a consolidated basis for purposes of allocating resources and evaluating financial performance for the entire Company. As a result, the Company has single operating and reportable segment.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159" w:firstLine="401"/>
        <w:spacing w:after="0" w:line="308" w:lineRule="auto"/>
        <w:rPr>
          <w:sz w:val="20"/>
          <w:szCs w:val="20"/>
          <w:color w:val="auto"/>
        </w:rPr>
      </w:pPr>
      <w:r>
        <w:rPr>
          <w:rFonts w:ascii="Arial" w:cs="Arial" w:eastAsia="Arial" w:hAnsi="Arial"/>
          <w:sz w:val="17"/>
          <w:szCs w:val="17"/>
          <w:color w:val="auto"/>
        </w:rPr>
        <w:t>The Company considers all highly liquid, short-term investments with maturity dates of 90 days or less at the date of purchase to be cash equivalents. The Company’s cash equivalents consist solely of money market funds.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60" w:right="139" w:firstLine="401"/>
        <w:spacing w:after="0" w:line="296"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Company also considers a number of factors in evaluating the sufficiency of its allowance for doubtful accounts, including the length of time receivables are past due, significant one-time events, creditworthiness of customers and historical experience. Account balances would be charged off against the allowance after all means of collection have been exhausted and the potential for recovery is considered remote. The Company’s evaluation determined that no material allowance for doubtful accounts was necessary at December 31, 2020 and 2019.</w:t>
      </w:r>
    </w:p>
    <w:p>
      <w:pPr>
        <w:spacing w:after="0" w:line="188" w:lineRule="exact"/>
        <w:rPr>
          <w:sz w:val="20"/>
          <w:szCs w:val="20"/>
          <w:color w:val="auto"/>
        </w:rPr>
      </w:pPr>
    </w:p>
    <w:p>
      <w:pPr>
        <w:ind w:left="60" w:right="139" w:firstLine="401"/>
        <w:spacing w:after="0" w:line="272" w:lineRule="auto"/>
        <w:rPr>
          <w:sz w:val="20"/>
          <w:szCs w:val="20"/>
          <w:color w:val="auto"/>
        </w:rPr>
      </w:pPr>
      <w:r>
        <w:rPr>
          <w:rFonts w:ascii="Arial" w:cs="Arial" w:eastAsia="Arial" w:hAnsi="Arial"/>
          <w:sz w:val="17"/>
          <w:szCs w:val="17"/>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establishes an allowance for estimated price concessions related to its distributer agreements. The Company estimates credits to distributors based on the historical rate of credits provided to distributors relative to sales. At December 31, 2020 and 2019, the allowance for product returns and price concessions was $238,000 and $231,000, respectively.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9"/>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60" w:right="99" w:firstLine="401"/>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2"/>
              </w:rPr>
              <w:t>Revenue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0"/>
              </w:rPr>
              <w:t>Accounts Receivable</w:t>
            </w:r>
          </w:p>
        </w:tc>
        <w:tc>
          <w:tcPr>
            <w:tcW w:w="0" w:type="dxa"/>
            <w:vAlign w:val="bottom"/>
          </w:tcPr>
          <w:p>
            <w:pPr>
              <w:spacing w:after="0"/>
              <w:rPr>
                <w:sz w:val="1"/>
                <w:szCs w:val="1"/>
                <w:color w:val="auto"/>
              </w:rPr>
            </w:pPr>
          </w:p>
        </w:tc>
      </w:tr>
      <w:tr>
        <w:trPr>
          <w:trHeight w:val="142"/>
        </w:trPr>
        <w:tc>
          <w:tcPr>
            <w:tcW w:w="390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Customers</w:t>
            </w:r>
          </w:p>
        </w:tc>
        <w:tc>
          <w:tcPr>
            <w:tcW w:w="184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Pr>
          <w:p>
            <w:pPr>
              <w:spacing w:after="0"/>
              <w:rPr>
                <w:sz w:val="12"/>
                <w:szCs w:val="12"/>
                <w:color w:val="auto"/>
              </w:rPr>
            </w:pPr>
          </w:p>
        </w:tc>
        <w:tc>
          <w:tcPr>
            <w:tcW w:w="186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4"/>
            <w:vMerge w:val="continue"/>
          </w:tcPr>
          <w:p>
            <w:pPr>
              <w:spacing w:after="0"/>
              <w:rPr>
                <w:sz w:val="12"/>
                <w:szCs w:val="12"/>
                <w:color w:val="auto"/>
              </w:rPr>
            </w:pPr>
          </w:p>
        </w:tc>
        <w:tc>
          <w:tcPr>
            <w:tcW w:w="82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Celestica Shared Service Centre</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Customer 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99" w:firstLine="401"/>
        <w:spacing w:after="0" w:line="273" w:lineRule="auto"/>
        <w:rPr>
          <w:sz w:val="20"/>
          <w:szCs w:val="20"/>
          <w:color w:val="auto"/>
        </w:rPr>
      </w:pPr>
      <w:r>
        <w:rPr>
          <w:rFonts w:ascii="Arial" w:cs="Arial" w:eastAsia="Arial" w:hAnsi="Arial"/>
          <w:sz w:val="17"/>
          <w:szCs w:val="17"/>
          <w:color w:val="auto"/>
        </w:rPr>
        <w:t>Inventory is valued at the lower of cost, using the first-in, first-out or specific identification method, or market. The carrying value of inventory is adjusted for excess and obsolescence based on the Company’s evaluation which takes into consideration historical and expected future demand, the effect new products may have on the sale of existing products, technological obsolescence, and other factors including inventory age and shipment. At the point of loss recognition, a new lower cost basis for that inventory is established and subsequent changes in facts and circumstances do not result in the restoration or increase in that new cost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39" w:firstLine="405"/>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for identical assets or liabilities in active markets;</w:t>
      </w:r>
    </w:p>
    <w:p>
      <w:pPr>
        <w:spacing w:after="0" w:line="225" w:lineRule="exact"/>
        <w:rPr>
          <w:sz w:val="20"/>
          <w:szCs w:val="20"/>
          <w:color w:val="auto"/>
        </w:rPr>
      </w:pPr>
    </w:p>
    <w:p>
      <w:pPr>
        <w:ind w:left="460" w:right="359"/>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quoted prices for identical assets or liabilities in active markets,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and</w:t>
      </w:r>
    </w:p>
    <w:p>
      <w:pPr>
        <w:spacing w:after="0" w:line="170" w:lineRule="exact"/>
        <w:rPr>
          <w:sz w:val="20"/>
          <w:szCs w:val="20"/>
          <w:color w:val="auto"/>
        </w:rPr>
      </w:pPr>
    </w:p>
    <w:p>
      <w:pPr>
        <w:ind w:left="460" w:right="259"/>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in which there is little or no market data requiring the reporting entity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w:t>
      </w:r>
    </w:p>
    <w:p>
      <w:pPr>
        <w:spacing w:after="0" w:line="170" w:lineRule="exact"/>
        <w:rPr>
          <w:sz w:val="20"/>
          <w:szCs w:val="20"/>
          <w:color w:val="auto"/>
        </w:rPr>
      </w:pPr>
    </w:p>
    <w:p>
      <w:pPr>
        <w:ind w:left="60" w:right="219" w:firstLine="401"/>
        <w:spacing w:after="0" w:line="270" w:lineRule="auto"/>
        <w:rPr>
          <w:sz w:val="20"/>
          <w:szCs w:val="20"/>
          <w:color w:val="auto"/>
        </w:rPr>
      </w:pPr>
      <w:r>
        <w:rPr>
          <w:rFonts w:ascii="Arial" w:cs="Arial" w:eastAsia="Arial" w:hAnsi="Arial"/>
          <w:sz w:val="17"/>
          <w:szCs w:val="17"/>
          <w:color w:val="auto"/>
        </w:rPr>
        <w:t>The carrying value of accounts receivable, accounts payable, and other accruals readily convertible into cash approximate fair value because of the short-term nature of the instruments. As of December 31, 2020,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warrants issued in connection with the 2019 Credit Facility (Note 6). The change in the fair value of the warrant liability during the year ended December 31, 2020 was immaterial.</w:t>
      </w:r>
    </w:p>
    <w:p>
      <w:pPr>
        <w:spacing w:after="0" w:line="181" w:lineRule="exact"/>
        <w:rPr>
          <w:sz w:val="20"/>
          <w:szCs w:val="20"/>
          <w:color w:val="auto"/>
        </w:rPr>
      </w:pPr>
    </w:p>
    <w:p>
      <w:pPr>
        <w:ind w:left="60" w:right="259" w:firstLine="401"/>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Warrant liability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Warrant liability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13"/>
              <w:spacing w:after="0"/>
              <w:rPr>
                <w:sz w:val="20"/>
                <w:szCs w:val="20"/>
                <w:color w:val="auto"/>
              </w:rPr>
            </w:pPr>
            <w:r>
              <w:rPr>
                <w:rFonts w:ascii="Arial" w:cs="Arial" w:eastAsia="Arial" w:hAnsi="Arial"/>
                <w:sz w:val="18"/>
                <w:szCs w:val="18"/>
                <w:color w:val="auto"/>
                <w:w w:val="99"/>
              </w:rPr>
              <w:t>49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79" w:firstLine="401"/>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Useful Lives</w:t>
            </w: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 equipment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320" w:type="dxa"/>
            <w:vAlign w:val="bottom"/>
          </w:tcPr>
          <w:p>
            <w:pPr>
              <w:jc w:val="right"/>
              <w:spacing w:after="0"/>
              <w:rPr>
                <w:sz w:val="20"/>
                <w:szCs w:val="20"/>
                <w:color w:val="auto"/>
              </w:rPr>
            </w:pPr>
            <w:r>
              <w:rPr>
                <w:rFonts w:ascii="Arial" w:cs="Arial" w:eastAsia="Arial" w:hAnsi="Arial"/>
                <w:sz w:val="18"/>
                <w:szCs w:val="18"/>
                <w:color w:val="auto"/>
              </w:rPr>
              <w:t>2 – 7 years</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 years</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to exceed</w:t>
            </w: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the lease life)</w:t>
            </w:r>
          </w:p>
        </w:tc>
      </w:tr>
    </w:tbl>
    <w:p>
      <w:pPr>
        <w:spacing w:after="0" w:line="202" w:lineRule="exact"/>
        <w:rPr>
          <w:sz w:val="20"/>
          <w:szCs w:val="20"/>
          <w:color w:val="auto"/>
        </w:rPr>
      </w:pPr>
    </w:p>
    <w:p>
      <w:pPr>
        <w:ind w:left="60" w:right="59" w:firstLine="401"/>
        <w:spacing w:after="0" w:line="254" w:lineRule="auto"/>
        <w:rPr>
          <w:sz w:val="20"/>
          <w:szCs w:val="20"/>
          <w:color w:val="auto"/>
        </w:rPr>
      </w:pPr>
      <w:r>
        <w:rPr>
          <w:rFonts w:ascii="Arial" w:cs="Arial" w:eastAsia="Arial" w:hAnsi="Arial"/>
          <w:sz w:val="18"/>
          <w:szCs w:val="18"/>
          <w:color w:val="auto"/>
        </w:rPr>
        <w:t>Costs incurred to develop software for internal use during the application development phase are capitalized and amortized over such software’s estimated useful life. Costs related to the design or maintenance of internal-use software are included in operating expenses as incurred. During 2020, no such costs were capitalized to property and equipment, compared to $238,000 capitalized to property and equipment during 2019. Upon sale or retirement of assets, the cost and related accumulated depreciation are removed from the balance sheet and any resulting gain or loss is reflected in operations. Amortization expense of assets acquired through finance leases is included in the statements of operations and comprehensive loss.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60" w:right="79" w:firstLine="401"/>
        <w:spacing w:after="0" w:line="270" w:lineRule="auto"/>
        <w:rPr>
          <w:sz w:val="20"/>
          <w:szCs w:val="20"/>
          <w:color w:val="auto"/>
        </w:rPr>
      </w:pPr>
      <w:r>
        <w:rPr>
          <w:rFonts w:ascii="Arial" w:cs="Arial" w:eastAsia="Arial" w:hAnsi="Arial"/>
          <w:sz w:val="17"/>
          <w:szCs w:val="17"/>
          <w:color w:val="auto"/>
        </w:rPr>
        <w:t>The Company evaluates its long-lived assets, including property and equipment, at the asset group level, for impairment whenever events or changes in circumstances indicate that the carrying value of these assets may not be recoverable. If such events or changes in circumstances occur, for purposes of this assessment, long-lived assets are grouped with other assets and liabilities at the lowest level for which identifiable cash flows are largely independent of the cash flows of other assets and liabilities. Recoverability of these assets is measured by comparison of the carrying amount of each asset group to the future undiscounted cash flows the asset group is expected to generate over its remaining life. If the asset group is considered to be impaired, the amount of any impairment is measured as the difference between the carrying value and the fair value of the impaired asset. There have been no impairments of the Company’s long-lived assets during either of the periods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79" w:firstLine="401"/>
        <w:spacing w:after="0" w:line="255" w:lineRule="auto"/>
        <w:rPr>
          <w:sz w:val="20"/>
          <w:szCs w:val="20"/>
          <w:color w:val="auto"/>
        </w:rPr>
      </w:pPr>
      <w:r>
        <w:rPr>
          <w:rFonts w:ascii="Arial" w:cs="Arial" w:eastAsia="Arial" w:hAnsi="Arial"/>
          <w:sz w:val="18"/>
          <w:szCs w:val="18"/>
          <w:color w:val="auto"/>
        </w:rPr>
        <w:t>The Company leases office, lab, manufacturing space and equipment in various locations with initial lease terms of up to five years. These leases require monthly lease payments that may be subject to annual increases throughout the lease 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92" w:lineRule="exact"/>
        <w:rPr>
          <w:sz w:val="20"/>
          <w:szCs w:val="20"/>
          <w:color w:val="auto"/>
        </w:rPr>
      </w:pPr>
    </w:p>
    <w:p>
      <w:pPr>
        <w:ind w:left="60" w:right="159" w:firstLine="401"/>
        <w:spacing w:after="0" w:line="287" w:lineRule="auto"/>
        <w:rPr>
          <w:sz w:val="20"/>
          <w:szCs w:val="20"/>
          <w:color w:val="auto"/>
        </w:rPr>
      </w:pPr>
      <w:r>
        <w:rPr>
          <w:rFonts w:ascii="Arial" w:cs="Arial" w:eastAsia="Arial" w:hAnsi="Arial"/>
          <w:sz w:val="16"/>
          <w:szCs w:val="16"/>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recognized on the balance of the lease liability using the effective interest method based on the estimated incremental borrowing rate.</w:t>
      </w:r>
    </w:p>
    <w:p>
      <w:pPr>
        <w:spacing w:after="0" w:line="170" w:lineRule="exact"/>
        <w:rPr>
          <w:sz w:val="20"/>
          <w:szCs w:val="20"/>
          <w:color w:val="auto"/>
        </w:rPr>
      </w:pPr>
    </w:p>
    <w:p>
      <w:pPr>
        <w:ind w:left="60" w:right="139" w:firstLine="401"/>
        <w:spacing w:after="0" w:line="272" w:lineRule="auto"/>
        <w:rPr>
          <w:sz w:val="20"/>
          <w:szCs w:val="20"/>
          <w:color w:val="auto"/>
        </w:rPr>
      </w:pPr>
      <w:r>
        <w:rPr>
          <w:rFonts w:ascii="Arial" w:cs="Arial" w:eastAsia="Arial" w:hAnsi="Arial"/>
          <w:sz w:val="17"/>
          <w:szCs w:val="17"/>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December 31, 2020, the Company did not have any short-term leases.</w:t>
      </w:r>
    </w:p>
    <w:p>
      <w:pPr>
        <w:spacing w:after="0" w:line="177" w:lineRule="exact"/>
        <w:rPr>
          <w:sz w:val="20"/>
          <w:szCs w:val="20"/>
          <w:color w:val="auto"/>
        </w:rPr>
      </w:pPr>
    </w:p>
    <w:p>
      <w:pPr>
        <w:ind w:left="60" w:right="319" w:firstLine="401"/>
        <w:spacing w:after="0" w:line="263" w:lineRule="auto"/>
        <w:rPr>
          <w:sz w:val="20"/>
          <w:szCs w:val="20"/>
          <w:color w:val="auto"/>
        </w:rPr>
      </w:pPr>
      <w:r>
        <w:rPr>
          <w:rFonts w:ascii="Arial" w:cs="Arial" w:eastAsia="Arial" w:hAnsi="Arial"/>
          <w:sz w:val="18"/>
          <w:szCs w:val="18"/>
          <w:color w:val="auto"/>
        </w:rPr>
        <w:t>Operating leases are included in right-of-use assets, operating lease liabilities, and operating lease liabilities, net of current portion in the Company’s balance sheet. Finance leases are included in property and equipment, net, other liabilities, and other long-term liabilities in the Company’s balance sheet.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left="60" w:right="359" w:firstLine="405"/>
        <w:spacing w:after="0" w:line="259" w:lineRule="auto"/>
        <w:rPr>
          <w:sz w:val="20"/>
          <w:szCs w:val="20"/>
          <w:color w:val="auto"/>
        </w:rPr>
      </w:pPr>
      <w:r>
        <w:rPr>
          <w:rFonts w:ascii="Arial" w:cs="Arial" w:eastAsia="Arial" w:hAnsi="Arial"/>
          <w:sz w:val="18"/>
          <w:szCs w:val="18"/>
          <w:color w:val="auto"/>
        </w:rPr>
        <w:t>The Company defers and amortizes issuance costs, underwriting fees, end of term payments, and related expenses incurred in connection with the issuance of debt instruments using the effective interest method over the terms of the respective instruments. Debt issuance costs are reflected as a direct reduction of the carrying amount of the related debt liability.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19" w:firstLine="401"/>
        <w:spacing w:after="0" w:line="25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right="99" w:firstLine="401"/>
        <w:spacing w:after="0" w:line="272" w:lineRule="auto"/>
        <w:rPr>
          <w:sz w:val="20"/>
          <w:szCs w:val="20"/>
          <w:color w:val="auto"/>
        </w:rPr>
      </w:pPr>
      <w:r>
        <w:rPr>
          <w:rFonts w:ascii="Arial" w:cs="Arial" w:eastAsia="Arial" w:hAnsi="Arial"/>
          <w:sz w:val="17"/>
          <w:szCs w:val="17"/>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88" w:lineRule="exact"/>
        <w:rPr>
          <w:sz w:val="20"/>
          <w:szCs w:val="20"/>
          <w:color w:val="auto"/>
        </w:rPr>
      </w:pPr>
    </w:p>
    <w:p>
      <w:pPr>
        <w:ind w:left="60" w:right="99" w:firstLine="401"/>
        <w:spacing w:after="0" w:line="288"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may resell the Company’s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records such estimates in the same period the related revenue is recognized,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resulting in a reduction of product revenue and the establishment of an allowance for price concessions due to distributors. The Company estimates credits to distributors based on the historical rate of credits provided to distributors relative to sales. Revenue on shipments to distributors is recorded when control of the products has been transferred to the distributor.</w:t>
      </w:r>
    </w:p>
    <w:p>
      <w:pPr>
        <w:spacing w:after="0" w:line="149" w:lineRule="exact"/>
        <w:rPr>
          <w:sz w:val="20"/>
          <w:szCs w:val="20"/>
          <w:color w:val="auto"/>
        </w:rPr>
      </w:pPr>
    </w:p>
    <w:p>
      <w:pPr>
        <w:ind w:left="60" w:right="339" w:firstLine="401"/>
        <w:spacing w:after="0" w:line="257" w:lineRule="auto"/>
        <w:rPr>
          <w:sz w:val="20"/>
          <w:szCs w:val="20"/>
          <w:color w:val="auto"/>
        </w:rPr>
      </w:pPr>
      <w:r>
        <w:rPr>
          <w:rFonts w:ascii="Arial" w:cs="Arial" w:eastAsia="Arial" w:hAnsi="Arial"/>
          <w:sz w:val="18"/>
          <w:szCs w:val="18"/>
          <w:color w:val="auto"/>
        </w:rPr>
        <w:t>The Company estimates the amount of its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88" w:lineRule="exact"/>
        <w:rPr>
          <w:sz w:val="20"/>
          <w:szCs w:val="20"/>
          <w:color w:val="auto"/>
        </w:rPr>
      </w:pPr>
    </w:p>
    <w:p>
      <w:pPr>
        <w:ind w:left="60" w:right="159" w:firstLine="401"/>
        <w:spacing w:after="0" w:line="259" w:lineRule="auto"/>
        <w:rPr>
          <w:sz w:val="20"/>
          <w:szCs w:val="20"/>
          <w:color w:val="auto"/>
        </w:rPr>
      </w:pPr>
      <w:r>
        <w:rPr>
          <w:rFonts w:ascii="Arial" w:cs="Arial" w:eastAsia="Arial" w:hAnsi="Arial"/>
          <w:sz w:val="18"/>
          <w:szCs w:val="18"/>
          <w:color w:val="auto"/>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left="60" w:right="59" w:firstLine="401"/>
        <w:spacing w:after="0" w:line="293" w:lineRule="auto"/>
        <w:rPr>
          <w:sz w:val="20"/>
          <w:szCs w:val="20"/>
          <w:color w:val="auto"/>
        </w:rPr>
      </w:pPr>
      <w:r>
        <w:rPr>
          <w:rFonts w:ascii="Arial" w:cs="Arial" w:eastAsia="Arial" w:hAnsi="Arial"/>
          <w:sz w:val="16"/>
          <w:szCs w:val="16"/>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64"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sales-based royalties from licenses of the Company’s technology are recognized at the later of when</w:t>
      </w:r>
    </w:p>
    <w:p>
      <w:pPr>
        <w:spacing w:after="0" w:line="46" w:lineRule="exact"/>
        <w:rPr>
          <w:sz w:val="20"/>
          <w:szCs w:val="20"/>
          <w:color w:val="auto"/>
        </w:rPr>
      </w:pPr>
    </w:p>
    <w:p>
      <w:pPr>
        <w:ind w:left="60" w:right="299" w:hanging="10"/>
        <w:spacing w:after="0" w:line="302" w:lineRule="auto"/>
        <w:tabs>
          <w:tab w:leader="none" w:pos="3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60" w:right="59" w:firstLine="401"/>
        <w:spacing w:after="0" w:line="257"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8" w:lineRule="exact"/>
        <w:rPr>
          <w:sz w:val="20"/>
          <w:szCs w:val="20"/>
          <w:color w:val="auto"/>
        </w:rPr>
      </w:pPr>
    </w:p>
    <w:p>
      <w:pPr>
        <w:ind w:left="60" w:right="59" w:firstLine="401"/>
        <w:spacing w:after="0" w:line="272" w:lineRule="auto"/>
        <w:rPr>
          <w:sz w:val="20"/>
          <w:szCs w:val="20"/>
          <w:color w:val="auto"/>
        </w:rPr>
      </w:pPr>
      <w:r>
        <w:rPr>
          <w:rFonts w:ascii="Arial" w:cs="Arial" w:eastAsia="Arial" w:hAnsi="Arial"/>
          <w:sz w:val="17"/>
          <w:szCs w:val="17"/>
          <w:color w:val="auto"/>
        </w:rPr>
        <w:t>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left="60" w:right="99" w:firstLine="401"/>
        <w:spacing w:after="0" w:line="301" w:lineRule="auto"/>
        <w:rPr>
          <w:sz w:val="20"/>
          <w:szCs w:val="20"/>
          <w:color w:val="auto"/>
        </w:rPr>
      </w:pPr>
      <w:r>
        <w:rPr>
          <w:rFonts w:ascii="Arial" w:cs="Arial" w:eastAsia="Arial" w:hAnsi="Arial"/>
          <w:sz w:val="16"/>
          <w:szCs w:val="16"/>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December 31, 2020 and 2019, as the estimated future warranty costs were not material based on the Company’s historical experience.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60" w:right="79" w:firstLine="401"/>
        <w:spacing w:after="0" w:line="255" w:lineRule="auto"/>
        <w:rPr>
          <w:sz w:val="20"/>
          <w:szCs w:val="20"/>
          <w:color w:val="auto"/>
        </w:rPr>
      </w:pPr>
      <w:r>
        <w:rPr>
          <w:rFonts w:ascii="Arial" w:cs="Arial" w:eastAsia="Arial" w:hAnsi="Arial"/>
          <w:sz w:val="18"/>
          <w:szCs w:val="18"/>
          <w:color w:val="auto"/>
        </w:rPr>
        <w:t>Research and development expenses are incurred in support of internal development programs or as part of the Company’s joint development agreement with GLOBALFOUNDRIES and joint collaboration agreement with Silterra Malaysia Sdn. Bhd. (see Note 10).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79" w:firstLine="401"/>
        <w:spacing w:after="0" w:line="311"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9" w:lineRule="exact"/>
        <w:rPr>
          <w:sz w:val="20"/>
          <w:szCs w:val="20"/>
          <w:color w:val="auto"/>
        </w:rPr>
      </w:pPr>
    </w:p>
    <w:p>
      <w:pPr>
        <w:ind w:left="60" w:right="179" w:firstLine="401"/>
        <w:spacing w:after="0" w:line="286" w:lineRule="auto"/>
        <w:rPr>
          <w:sz w:val="20"/>
          <w:szCs w:val="20"/>
          <w:color w:val="auto"/>
        </w:rPr>
      </w:pPr>
      <w:r>
        <w:rPr>
          <w:rFonts w:ascii="Arial" w:cs="Arial" w:eastAsia="Arial" w:hAnsi="Arial"/>
          <w:sz w:val="17"/>
          <w:szCs w:val="17"/>
          <w:color w:val="auto"/>
        </w:rPr>
        <w:t>The Company measures its stock option grants based on the estimated fair value of the options as of the grant date using the Black-Scholes option-pricing model. Stock-based compensation expense is recognized over the requisite service period using the straight-line method. The Company accounts for forfeitures as they occur.</w:t>
      </w:r>
    </w:p>
    <w:p>
      <w:pPr>
        <w:spacing w:after="0" w:line="165" w:lineRule="exact"/>
        <w:rPr>
          <w:sz w:val="20"/>
          <w:szCs w:val="20"/>
          <w:color w:val="auto"/>
        </w:rPr>
      </w:pPr>
    </w:p>
    <w:p>
      <w:pPr>
        <w:ind w:left="60" w:right="199" w:firstLine="401"/>
        <w:spacing w:after="0" w:line="27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Company determines the expected stock price volatility based on the historical volatility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common stock and the historical volatilities of a peer group. Industry peers consist of several public companies in the technology industry similar in size, stage of life cycle and financial leverage. The Company intends to continue to consistently apply this process using the same or similar public companies until a sufficient trading history of its common stock becomes available. If circumstances change such that the identified companies are no longer similar, the Company will revise its peer group to substitute more suitable companies in this calculation.</w:t>
      </w:r>
    </w:p>
    <w:p>
      <w:pPr>
        <w:spacing w:after="0" w:line="178" w:lineRule="exact"/>
        <w:rPr>
          <w:sz w:val="20"/>
          <w:szCs w:val="20"/>
          <w:color w:val="auto"/>
        </w:rPr>
      </w:pPr>
    </w:p>
    <w:p>
      <w:pPr>
        <w:ind w:left="60" w:right="519" w:firstLine="40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70" w:lineRule="exact"/>
        <w:rPr>
          <w:sz w:val="20"/>
          <w:szCs w:val="20"/>
          <w:color w:val="auto"/>
        </w:rPr>
      </w:pPr>
    </w:p>
    <w:p>
      <w:pPr>
        <w:ind w:left="60" w:right="139" w:firstLine="401"/>
        <w:spacing w:after="0" w:line="263"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the simplified method to determine the expected term, which is calculated as the average of the time to vesting and the contractual life of the options.</w:t>
      </w:r>
    </w:p>
    <w:p>
      <w:pPr>
        <w:spacing w:after="0" w:line="184"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the Company used an expected dividend yield of zero.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59" w:firstLine="401"/>
        <w:spacing w:after="0" w:line="296"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61" w:lineRule="exact"/>
        <w:rPr>
          <w:sz w:val="20"/>
          <w:szCs w:val="20"/>
          <w:color w:val="auto"/>
        </w:rPr>
      </w:pPr>
    </w:p>
    <w:p>
      <w:pPr>
        <w:ind w:left="60" w:right="179" w:firstLine="401"/>
        <w:spacing w:after="0" w:line="279"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left="60" w:right="239" w:firstLine="401"/>
        <w:spacing w:after="0" w:line="342"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shares of common stock outstanding for the period less shares subject to repurchase, without consideration of potentially dilutive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securities. Diluted net loss per common share is the same as basic net loss per common share since the effect of potentially dilutive securities is anti-dilutive.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60" w:right="79" w:firstLine="401"/>
        <w:spacing w:after="0" w:line="254" w:lineRule="auto"/>
        <w:rPr>
          <w:sz w:val="20"/>
          <w:szCs w:val="20"/>
          <w:color w:val="auto"/>
        </w:rPr>
      </w:pPr>
      <w:r>
        <w:rPr>
          <w:rFonts w:ascii="Arial" w:cs="Arial" w:eastAsia="Arial" w:hAnsi="Arial"/>
          <w:sz w:val="18"/>
          <w:szCs w:val="18"/>
          <w:color w:val="auto"/>
        </w:rPr>
        <w:t>In December 2019, the FASB issued Accounting Standards Update (ASU) 2019-12, Income Taxes (Topic 740). Simplifying the Accounting for Income Taxes. The new guidance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fiscal years, and interim periods within those fiscal years, beginning after December 15, 2020. Early adoption is permitted. The adoption of ASU 2019-12 is not expected to have a material effect on the Company’s financial statements and related disclosures.</w:t>
      </w:r>
    </w:p>
    <w:p>
      <w:pPr>
        <w:spacing w:after="0" w:line="195" w:lineRule="exact"/>
        <w:rPr>
          <w:sz w:val="20"/>
          <w:szCs w:val="20"/>
          <w:color w:val="auto"/>
        </w:rPr>
      </w:pPr>
    </w:p>
    <w:p>
      <w:pPr>
        <w:ind w:left="60" w:right="139" w:firstLine="401"/>
        <w:spacing w:after="0" w:line="289"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Codification Improvements Financial Instruments-Credit Losses (Topic 326). The new ASU provides narrow-scope amendments to help apply ASU No. 2016-13. The Company is evaluating the impact of the adoption of ASU 2016-13 on its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right="299" w:firstLine="401"/>
        <w:spacing w:after="0" w:line="263" w:lineRule="auto"/>
        <w:rPr>
          <w:sz w:val="20"/>
          <w:szCs w:val="20"/>
          <w:color w:val="auto"/>
        </w:rPr>
      </w:pPr>
      <w:r>
        <w:rPr>
          <w:rFonts w:ascii="Arial" w:cs="Arial" w:eastAsia="Arial" w:hAnsi="Arial"/>
          <w:sz w:val="18"/>
          <w:szCs w:val="18"/>
          <w:color w:val="auto"/>
        </w:rPr>
        <w:t>The Company sells the majority of its products to its distributors, but also to OEMs. The Company also recognizes revenue under licensing and royalty agreements with some customers. The following table presents the Company’s revenues disaggregated by sales channel (in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w:t>
            </w:r>
          </w:p>
        </w:tc>
        <w:tc>
          <w:tcPr>
            <w:tcW w:w="1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Royalties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01"/>
        <w:spacing w:after="0" w:line="263" w:lineRule="auto"/>
        <w:rPr>
          <w:sz w:val="20"/>
          <w:szCs w:val="20"/>
          <w:color w:val="auto"/>
        </w:rPr>
      </w:pPr>
      <w:r>
        <w:rPr>
          <w:rFonts w:ascii="Arial" w:cs="Arial" w:eastAsia="Arial" w:hAnsi="Arial"/>
          <w:sz w:val="18"/>
          <w:szCs w:val="18"/>
          <w:color w:val="auto"/>
        </w:rPr>
        <w:t>The Company recognizes revenue in three geographic regions: North America; Europe, Middle East and Africa (EMEA); and Asia-Pacific (APAC). The following table presents the Company’s revenues disaggregated by the geographic region to which the product is delivered or licensee is located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1"/>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5"/>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APAC</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20,093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9,253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ind w:left="6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42,031</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37,503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gridSpan w:val="3"/>
          </w:tcPr>
          <w:p>
            <w:pPr>
              <w:ind w:left="400"/>
              <w:spacing w:after="0"/>
              <w:rPr>
                <w:sz w:val="20"/>
                <w:szCs w:val="20"/>
                <w:color w:val="auto"/>
              </w:rPr>
            </w:pPr>
            <w:r>
              <w:rPr>
                <w:rFonts w:ascii="Arial" w:cs="Arial" w:eastAsia="Arial" w:hAnsi="Arial"/>
                <w:sz w:val="18"/>
                <w:szCs w:val="18"/>
                <w:color w:val="auto"/>
              </w:rPr>
              <w:t>Inventory consisted of the following (in thousands):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24"/>
                <w:szCs w:val="24"/>
                <w:color w:val="auto"/>
              </w:rPr>
            </w:pPr>
          </w:p>
        </w:tc>
        <w:tc>
          <w:tcPr>
            <w:tcW w:w="92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9"/>
          </w:tcPr>
          <w:p>
            <w:pPr>
              <w:ind w:left="4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9"/>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07"/>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12,296</w:t>
            </w:r>
          </w:p>
        </w:tc>
        <w:tc>
          <w:tcPr>
            <w:tcW w:w="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917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Software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property and equipment, gross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15,694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1,946</w:t>
            </w:r>
          </w:p>
        </w:tc>
        <w:tc>
          <w:tcPr>
            <w:tcW w:w="16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01"/>
        <w:spacing w:after="0" w:line="277" w:lineRule="auto"/>
        <w:rPr>
          <w:sz w:val="20"/>
          <w:szCs w:val="20"/>
          <w:color w:val="auto"/>
        </w:rPr>
      </w:pPr>
      <w:r>
        <w:rPr>
          <w:rFonts w:ascii="Arial" w:cs="Arial" w:eastAsia="Arial" w:hAnsi="Arial"/>
          <w:sz w:val="18"/>
          <w:szCs w:val="18"/>
          <w:color w:val="auto"/>
        </w:rPr>
        <w:t>Depreciation and amortization expense during the years ended December 31, 2020 and 2019 was $2.0 million and $1.7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40" w:type="dxa"/>
            <w:vAlign w:val="bottom"/>
            <w:gridSpan w:val="4"/>
          </w:tcPr>
          <w:p>
            <w:pPr>
              <w:ind w:left="1200"/>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Joint development agreement expenses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10"/>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1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leases consist primarily of office space expiring at various dates through 2022.</w:t>
      </w:r>
    </w:p>
    <w:p>
      <w:pPr>
        <w:spacing w:after="0" w:line="225" w:lineRule="exact"/>
        <w:rPr>
          <w:sz w:val="20"/>
          <w:szCs w:val="20"/>
          <w:color w:val="auto"/>
        </w:rPr>
      </w:pPr>
    </w:p>
    <w:p>
      <w:pPr>
        <w:ind w:left="60" w:right="279" w:firstLine="401"/>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 undiscounted lease payments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present value adjustment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portion of operating lease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 operating lease liabilities, net of current portion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information related to the Company's operating lease liabilities was as follows:</w:t>
      </w:r>
    </w:p>
    <w:p>
      <w:pPr>
        <w:spacing w:after="0" w:line="29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12941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ind w:left="6360"/>
        <w:spacing w:after="0"/>
        <w:tabs>
          <w:tab w:leader="none" w:pos="7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2.06</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6.00 %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6.00 %</w:t>
            </w:r>
          </w:p>
        </w:tc>
      </w:tr>
    </w:tbl>
    <w:p>
      <w:pPr>
        <w:spacing w:after="0" w:line="187" w:lineRule="exact"/>
        <w:rPr>
          <w:sz w:val="20"/>
          <w:szCs w:val="20"/>
          <w:color w:val="auto"/>
        </w:rPr>
      </w:pPr>
    </w:p>
    <w:p>
      <w:pPr>
        <w:ind w:left="60" w:right="219" w:firstLine="401"/>
        <w:spacing w:after="0" w:line="259" w:lineRule="auto"/>
        <w:rPr>
          <w:sz w:val="20"/>
          <w:szCs w:val="20"/>
          <w:color w:val="auto"/>
        </w:rPr>
      </w:pPr>
      <w:r>
        <w:rPr>
          <w:rFonts w:ascii="Arial" w:cs="Arial" w:eastAsia="Arial" w:hAnsi="Arial"/>
          <w:sz w:val="18"/>
          <w:szCs w:val="18"/>
          <w:color w:val="auto"/>
        </w:rPr>
        <w:t>Lease costs for the Company’s operating leases were $1.5 and $1.6 million for the years ended December 31, 2020 and 2019, respectively. Variable lease payments for operating leases were immaterial for the years ended December 31, 2020 and 2019. Lease costs for the Company’s finance lease were immaterial for the years ended December 31, 2020 and 2019.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0" w:right="299" w:firstLine="401"/>
        <w:spacing w:after="0" w:line="263"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60" w:right="139" w:firstLine="401"/>
        <w:spacing w:after="0" w:line="269"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60" w:right="599" w:firstLine="405"/>
        <w:spacing w:after="0" w:line="342"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pacing w:after="0" w:line="149"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 months interest-only period for the 2019 Term Loan to a 16 months interest-only period and lowered the floor interest rate. The floor interest rates for 2019 Term Loan and the Line of Credit were reduced from 4.75% and 6.75% to 3.75% and 4.75%, respectively.</w:t>
      </w:r>
    </w:p>
    <w:p>
      <w:pPr>
        <w:spacing w:after="0" w:line="187" w:lineRule="exact"/>
        <w:rPr>
          <w:sz w:val="20"/>
          <w:szCs w:val="20"/>
          <w:color w:val="auto"/>
        </w:rPr>
      </w:pPr>
    </w:p>
    <w:p>
      <w:pPr>
        <w:ind w:left="60" w:right="79" w:firstLine="405"/>
        <w:spacing w:after="0" w:line="287" w:lineRule="auto"/>
        <w:rPr>
          <w:sz w:val="20"/>
          <w:szCs w:val="20"/>
          <w:color w:val="auto"/>
        </w:rPr>
      </w:pPr>
      <w:r>
        <w:rPr>
          <w:rFonts w:ascii="Arial" w:cs="Arial" w:eastAsia="Arial" w:hAnsi="Arial"/>
          <w:sz w:val="16"/>
          <w:szCs w:val="16"/>
          <w:color w:val="auto"/>
        </w:rPr>
        <w:t>The Line of Credit under the amended 2019 Credit Facility allows for a maximum draw of $5.0 million, subject to a formula borrowing base, has a two-year term and bears interest at a floating rate equal to the Wall Street Journal (WSJ) prime rate plus 1.5%, per annum, subject to a floor of 4.75%. As of December 31, 2020, the interest rate was 4.75%.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December 31, 2020, the effective interest rate under the Line of Credit was 10.18% and the outstanding balance was $2.0 million. The Line of Credit matures on August 5, 2021.</w:t>
      </w:r>
    </w:p>
    <w:p>
      <w:pPr>
        <w:spacing w:after="0" w:line="17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The Term Loan under the amended 2019 Credit Facility provides for a $6.0 million term loan, which was used to refinance the remaining balance of the 2017 Credit Facility. The 2019 Term Loan has a term of 46 months, and a 16-month interest only period followed by 30 months of equal principal payments, plus accrued interest. The 2019 Term Loan bears interest at a floating rate equal to the WSJ prime rate minus 0.75%, subject to a floor of 3.75%. As of December 31, 2020, the interest rate was 3.75%.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December 31, 2020, the effective interest rate under the 2019 Term Loan was 7.85% and the outstanding balance was $6.0 million. The 2019 Term Loan matures on June 1, 2023.</w:t>
      </w:r>
    </w:p>
    <w:p>
      <w:pPr>
        <w:spacing w:after="0" w:line="182"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In conjunction with entering into the 2019 Credit Facility, on August 5, 2019, the Company and SVB amended and restated the warrant issued to SVB in connection with the first amendment to the 2017 Credit Facility. See Note 7 for more information.</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conjunction with entering into the first amendment to the 2019 Credit Facility, on July 15, 2020, the Company issued a warrant to SVB to purchase 21,500 shares of the Company’s common stock at an exercise price of $0.01 per share. See Note 7 for more information.</w:t>
      </w:r>
    </w:p>
    <w:p>
      <w:pPr>
        <w:spacing w:after="0" w:line="184"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December 31, 2020.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December 31, 2020, management does not believe that it is probable that the clause will be triggered within the next 12 months, and therefore the term loan is classified as long-term debt.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carrying value of the Company’s 2019 Credit Facility at December 31, 2020,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carrying value of the Company’s 2019 Credit Facility at December 31, 2019, was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Long-Term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Portion</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debt discounts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401"/>
        <w:spacing w:after="0" w:line="277" w:lineRule="auto"/>
        <w:rPr>
          <w:sz w:val="20"/>
          <w:szCs w:val="20"/>
          <w:color w:val="auto"/>
        </w:rPr>
      </w:pPr>
      <w:r>
        <w:rPr>
          <w:rFonts w:ascii="Arial" w:cs="Arial" w:eastAsia="Arial" w:hAnsi="Arial"/>
          <w:sz w:val="18"/>
          <w:szCs w:val="18"/>
          <w:color w:val="auto"/>
        </w:rPr>
        <w:t>The table below includes the principal repayments due under the 2019 Credit Facility as of December 31, 2020 (in thousands):</w:t>
      </w:r>
    </w:p>
    <w:p>
      <w:pPr>
        <w:spacing w:after="0" w:line="31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Principal Repayment</w:t>
            </w: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2020</w:t>
            </w: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09"/>
        </w:trPr>
        <w:tc>
          <w:tcPr>
            <w:tcW w:w="5820" w:type="dxa"/>
            <w:vAlign w:val="bottom"/>
            <w:gridSpan w:val="2"/>
          </w:tcPr>
          <w:p>
            <w:pPr>
              <w:spacing w:after="0"/>
              <w:rPr>
                <w:sz w:val="20"/>
                <w:szCs w:val="20"/>
                <w:color w:val="auto"/>
              </w:rPr>
            </w:pPr>
            <w:r>
              <w:rPr>
                <w:rFonts w:ascii="Arial" w:cs="Arial" w:eastAsia="Arial" w:hAnsi="Arial"/>
                <w:sz w:val="18"/>
                <w:szCs w:val="18"/>
                <w:color w:val="auto"/>
              </w:rPr>
              <w:t>Total principal repayments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259" w:firstLine="401"/>
        <w:spacing w:after="0" w:line="277" w:lineRule="auto"/>
        <w:rPr>
          <w:sz w:val="20"/>
          <w:szCs w:val="20"/>
          <w:color w:val="auto"/>
        </w:rPr>
      </w:pPr>
      <w:r>
        <w:rPr>
          <w:rFonts w:ascii="Arial" w:cs="Arial" w:eastAsia="Arial" w:hAnsi="Arial"/>
          <w:sz w:val="18"/>
          <w:szCs w:val="18"/>
          <w:color w:val="auto"/>
        </w:rPr>
        <w:t>Common stockholders are entitled to dividends if and when declared by the board of directors. As of December 31, 2020, no dividends on common stock had been declared by the board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60" w:right="79" w:firstLine="401"/>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(ATM) offering under the Securities Act of 1933, as amended. Under the 2019 Sales Agreement, the Company agreed to pay Jefferies a commission of up to 3% of the gross proceeds of any sales made pursuant to the 2019 Sales Agreement. During the year ended December 31,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Reserved Shares of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230"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2,272,905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1,931,903</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available for future option grants</w:t>
            </w:r>
          </w:p>
        </w:tc>
        <w:tc>
          <w:tcPr>
            <w:tcW w:w="840" w:type="dxa"/>
            <w:vAlign w:val="bottom"/>
          </w:tcPr>
          <w:p>
            <w:pPr>
              <w:jc w:val="right"/>
              <w:spacing w:after="0"/>
              <w:rPr>
                <w:sz w:val="20"/>
                <w:szCs w:val="20"/>
                <w:color w:val="auto"/>
              </w:rPr>
            </w:pPr>
            <w:r>
              <w:rPr>
                <w:rFonts w:ascii="Arial" w:cs="Arial" w:eastAsia="Arial" w:hAnsi="Arial"/>
                <w:sz w:val="18"/>
                <w:szCs w:val="18"/>
                <w:color w:val="auto"/>
              </w:rPr>
              <w:t>179,219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638,227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RSUs subject to future vesting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416,742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211,962</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49,336</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2,918,202</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2,809,928</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right="99" w:firstLine="405"/>
        <w:spacing w:after="0" w:line="271" w:lineRule="auto"/>
        <w:rPr>
          <w:sz w:val="20"/>
          <w:szCs w:val="20"/>
          <w:color w:val="auto"/>
        </w:rPr>
      </w:pPr>
      <w:r>
        <w:rPr>
          <w:rFonts w:ascii="Arial" w:cs="Arial" w:eastAsia="Arial" w:hAnsi="Arial"/>
          <w:sz w:val="17"/>
          <w:szCs w:val="17"/>
          <w:color w:val="auto"/>
        </w:rPr>
        <w:t>In conjunction with the credit facility, Silicon Valley Bank held warrants to purchase 9,229 shares of the Company’s common stock at an exercise price of $26.00 per share. These warrants were cancelled when the Company entered into the first amendment to the 2017 Credit Facility (see Note 6) and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is classified within equity and was recorded as a discount to the debt to be amortized into interest expense over the remaining term of the loan using the effective interest method.</w:t>
      </w:r>
    </w:p>
    <w:p>
      <w:pPr>
        <w:spacing w:after="0" w:line="178" w:lineRule="exact"/>
        <w:rPr>
          <w:sz w:val="20"/>
          <w:szCs w:val="20"/>
          <w:color w:val="auto"/>
        </w:rPr>
      </w:pPr>
    </w:p>
    <w:p>
      <w:pPr>
        <w:ind w:left="60" w:right="99" w:firstLine="401"/>
        <w:spacing w:after="0" w:line="289" w:lineRule="auto"/>
        <w:rPr>
          <w:sz w:val="20"/>
          <w:szCs w:val="20"/>
          <w:color w:val="auto"/>
        </w:rPr>
      </w:pPr>
      <w:r>
        <w:rPr>
          <w:rFonts w:ascii="Arial" w:cs="Arial" w:eastAsia="Arial" w:hAnsi="Arial"/>
          <w:sz w:val="16"/>
          <w:szCs w:val="16"/>
          <w:color w:val="auto"/>
        </w:rPr>
        <w:t>In conjunction with entering into the 2019 Credit Facility, on August 5, 2019, the Company and SVB amended and restated the warrant issued to SVB in connection with the first amendment to the 2017 Credit Facility, to add an option by SVB to put the warrant back to the Company for $50,000 upon expiration or a liquidity event, to be prorated if SVB exercises a portion of the warrant. The warrant expires on July 6, 2023. As of August 5, 2019, the warrant was classified as a liability and recorded at fair value within other liabilities in the Company’s balance sheet. Due to the put right, the warrant is subject to fair value remeasurement at each subsequent reporting date until the exercise or expiration of the warrant. The fair value of the warrant is estimated using a Black-Scholes valuation model. Any resulting change in the fair value of the warrant will be recorded as other income, net in the Company’s statements of operations and comprehensive loss. The fair value adjustment was not material in the years ended December 31, 2020 and 2019.</w:t>
      </w:r>
    </w:p>
    <w:p>
      <w:pPr>
        <w:spacing w:after="0" w:line="166" w:lineRule="exact"/>
        <w:rPr>
          <w:sz w:val="20"/>
          <w:szCs w:val="20"/>
          <w:color w:val="auto"/>
        </w:rPr>
      </w:pPr>
    </w:p>
    <w:p>
      <w:pPr>
        <w:ind w:left="60" w:right="79" w:firstLine="405"/>
        <w:spacing w:after="0" w:line="257" w:lineRule="auto"/>
        <w:rPr>
          <w:sz w:val="20"/>
          <w:szCs w:val="20"/>
          <w:color w:val="auto"/>
        </w:rPr>
      </w:pPr>
      <w:r>
        <w:rPr>
          <w:rFonts w:ascii="Arial" w:cs="Arial" w:eastAsia="Arial" w:hAnsi="Arial"/>
          <w:sz w:val="18"/>
          <w:szCs w:val="18"/>
          <w:color w:val="auto"/>
        </w:rPr>
        <w:t>In conjunction with entering into the first amendment to the 2019 Credit Facility, on July 15, 2020, the Company issued a warrant to SVB to purchase 21,500 shares of the Company’s common stock at an exercise price of $0.01 per share. The warrant expires on July 15, 2025. The warrant is classified as equity and was recorded as a debt discount that will be amortized to interest expense using the effective interest method. The fair value of the warrant was $152,000 on the date of issuance using the Black-Scholes option-pricing model.</w:t>
      </w:r>
    </w:p>
    <w:p>
      <w:pPr>
        <w:spacing w:after="0" w:line="188" w:lineRule="exact"/>
        <w:rPr>
          <w:sz w:val="20"/>
          <w:szCs w:val="20"/>
          <w:color w:val="auto"/>
        </w:rPr>
      </w:pPr>
    </w:p>
    <w:p>
      <w:pPr>
        <w:ind w:left="60" w:right="99" w:firstLine="401"/>
        <w:spacing w:after="0" w:line="286" w:lineRule="auto"/>
        <w:rPr>
          <w:sz w:val="20"/>
          <w:szCs w:val="20"/>
          <w:color w:val="auto"/>
        </w:rPr>
      </w:pPr>
      <w:r>
        <w:rPr>
          <w:rFonts w:ascii="Arial" w:cs="Arial" w:eastAsia="Arial" w:hAnsi="Arial"/>
          <w:sz w:val="17"/>
          <w:szCs w:val="17"/>
          <w:color w:val="auto"/>
        </w:rPr>
        <w:t>In connection with the Company’s prior credit facility with Ares Venture Finance entered into in June 2015, the Company issued Ares Venture Finance a warrant to purchase 18,461 shares of the Company’s common stock at an exercise price of $26.00 per share. The warrant can be exercised at any time and expires on June 5, 2025.</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225" w:lineRule="exact"/>
        <w:rPr>
          <w:sz w:val="20"/>
          <w:szCs w:val="20"/>
          <w:color w:val="auto"/>
        </w:rPr>
      </w:pPr>
    </w:p>
    <w:p>
      <w:pPr>
        <w:ind w:left="60" w:right="179" w:firstLine="401"/>
        <w:spacing w:after="0" w:line="259" w:lineRule="auto"/>
        <w:rPr>
          <w:sz w:val="20"/>
          <w:szCs w:val="20"/>
          <w:color w:val="auto"/>
        </w:rPr>
      </w:pPr>
      <w:r>
        <w:rPr>
          <w:rFonts w:ascii="Arial" w:cs="Arial" w:eastAsia="Arial" w:hAnsi="Arial"/>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S-8 registration statement relating to the 2016 Plan was declared effective by the SEC.</w:t>
      </w:r>
    </w:p>
    <w:p>
      <w:pPr>
        <w:spacing w:after="0" w:line="187" w:lineRule="exact"/>
        <w:rPr>
          <w:sz w:val="20"/>
          <w:szCs w:val="20"/>
          <w:color w:val="auto"/>
        </w:rPr>
      </w:pPr>
    </w:p>
    <w:p>
      <w:pPr>
        <w:ind w:left="60" w:right="139" w:firstLine="401"/>
        <w:spacing w:after="0" w:line="279" w:lineRule="auto"/>
        <w:rPr>
          <w:sz w:val="20"/>
          <w:szCs w:val="20"/>
          <w:color w:val="auto"/>
        </w:rPr>
      </w:pPr>
      <w:r>
        <w:rPr>
          <w:rFonts w:ascii="Arial" w:cs="Arial" w:eastAsia="Arial" w:hAnsi="Arial"/>
          <w:sz w:val="17"/>
          <w:szCs w:val="17"/>
          <w:color w:val="auto"/>
        </w:rPr>
        <w:t>The Company’s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401"/>
        <w:spacing w:after="0" w:line="301" w:lineRule="auto"/>
        <w:rPr>
          <w:sz w:val="20"/>
          <w:szCs w:val="20"/>
          <w:color w:val="auto"/>
        </w:rPr>
      </w:pPr>
      <w:r>
        <w:rPr>
          <w:rFonts w:ascii="Arial" w:cs="Arial" w:eastAsia="Arial" w:hAnsi="Arial"/>
          <w:sz w:val="16"/>
          <w:szCs w:val="16"/>
          <w:color w:val="auto"/>
        </w:rPr>
        <w:t>The maximum number of shares of common stock that may be issued under the Company’s 2016 Plan is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225" w:lineRule="exact"/>
        <w:rPr>
          <w:sz w:val="20"/>
          <w:szCs w:val="20"/>
          <w:color w:val="auto"/>
        </w:rPr>
      </w:pPr>
    </w:p>
    <w:p>
      <w:pPr>
        <w:ind w:left="60" w:right="259" w:firstLine="401"/>
        <w:spacing w:after="0" w:line="279" w:lineRule="auto"/>
        <w:rPr>
          <w:sz w:val="20"/>
          <w:szCs w:val="20"/>
          <w:color w:val="auto"/>
        </w:rPr>
      </w:pPr>
      <w:r>
        <w:rPr>
          <w:rFonts w:ascii="Arial" w:cs="Arial" w:eastAsia="Arial" w:hAnsi="Arial"/>
          <w:sz w:val="17"/>
          <w:szCs w:val="17"/>
          <w:color w:val="auto"/>
        </w:rPr>
        <w:t>The 2008 Equity Incentive Plan (the 2008 Plan) provided for the issuance of incentive stock options (ISO), nonqualified stock options, and other stock compensation awards. Under the terms of the 2008 Plan, the exercise price of an ISO shall be not less than 100% of the fair value of the stock at the date of grant, as determined by the board of directors, or in the case of certain ISOs, at 110% of the fair market value at the date of grant.</w:t>
      </w:r>
    </w:p>
    <w:p>
      <w:pPr>
        <w:spacing w:after="0" w:line="171" w:lineRule="exact"/>
        <w:rPr>
          <w:sz w:val="20"/>
          <w:szCs w:val="20"/>
          <w:color w:val="auto"/>
        </w:rPr>
      </w:pPr>
    </w:p>
    <w:p>
      <w:pPr>
        <w:ind w:left="60" w:right="119" w:firstLine="401"/>
        <w:spacing w:after="0" w:line="263" w:lineRule="auto"/>
        <w:rPr>
          <w:sz w:val="20"/>
          <w:szCs w:val="20"/>
          <w:color w:val="auto"/>
        </w:rPr>
      </w:pPr>
      <w:r>
        <w:rPr>
          <w:rFonts w:ascii="Arial" w:cs="Arial" w:eastAsia="Arial" w:hAnsi="Arial"/>
          <w:sz w:val="18"/>
          <w:szCs w:val="18"/>
          <w:color w:val="auto"/>
        </w:rPr>
        <w:t>The term and vesting periods for options granted under the 2008 Plan were determined by the Company’s board of directors. Options granted generally vest over four years. Options must be exercised within a 10-year period or sooner if so specified within the option agreement.</w:t>
      </w:r>
    </w:p>
    <w:p>
      <w:pPr>
        <w:spacing w:after="0" w:line="184"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2020, 157,329 options under the 2008 Plan remained outstanding.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stock option and award activity for all grants under the 2008 Plan and 2016 Plan:</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Options and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Price Per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638,227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Arial" w:cs="Arial" w:eastAsia="Arial" w:hAnsi="Arial"/>
                <w:sz w:val="18"/>
                <w:szCs w:val="18"/>
                <w:color w:val="auto"/>
              </w:rPr>
              <w:t>Authorized</w:t>
            </w:r>
          </w:p>
        </w:tc>
        <w:tc>
          <w:tcPr>
            <w:tcW w:w="860" w:type="dxa"/>
            <w:vAlign w:val="bottom"/>
          </w:tcPr>
          <w:p>
            <w:pPr>
              <w:jc w:val="right"/>
              <w:spacing w:after="0"/>
              <w:rPr>
                <w:sz w:val="20"/>
                <w:szCs w:val="20"/>
                <w:color w:val="auto"/>
              </w:rPr>
            </w:pPr>
            <w:r>
              <w:rPr>
                <w:rFonts w:ascii="Arial" w:cs="Arial" w:eastAsia="Arial" w:hAnsi="Arial"/>
                <w:sz w:val="18"/>
                <w:szCs w:val="18"/>
                <w:color w:val="auto"/>
              </w:rPr>
              <w:t>542,452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RSUs 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(469,304)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Arial" w:cs="Arial" w:eastAsia="Arial" w:hAnsi="Arial"/>
                <w:sz w:val="18"/>
                <w:szCs w:val="18"/>
                <w:color w:val="auto"/>
              </w:rPr>
              <w:t>RSUs cancelled/forfeited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56,562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(894,955)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00"/>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(223,463)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cancelled/forfeited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306,237</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Balance—December 31, 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179,219</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2,272,905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exercisable—December 31, 2020</w:t>
            </w: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1,048,021</w:t>
            </w: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7.28</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firstLine="401"/>
        <w:spacing w:after="0" w:line="277" w:lineRule="auto"/>
        <w:rPr>
          <w:sz w:val="20"/>
          <w:szCs w:val="20"/>
          <w:color w:val="auto"/>
        </w:rPr>
      </w:pPr>
      <w:r>
        <w:rPr>
          <w:rFonts w:ascii="Arial" w:cs="Arial" w:eastAsia="Arial" w:hAnsi="Arial"/>
          <w:sz w:val="18"/>
          <w:szCs w:val="18"/>
          <w:color w:val="auto"/>
        </w:rPr>
        <w:t>During the years ended December 31, 2020 and 2019, the Company granted options with a weighted-average grant date fair value of $1.81 and $4.06 per share, respectively.</w:t>
      </w:r>
    </w:p>
    <w:p>
      <w:pPr>
        <w:spacing w:after="0" w:line="170" w:lineRule="exact"/>
        <w:rPr>
          <w:sz w:val="20"/>
          <w:szCs w:val="20"/>
          <w:color w:val="auto"/>
        </w:rPr>
      </w:pPr>
    </w:p>
    <w:p>
      <w:pPr>
        <w:ind w:left="60" w:right="839" w:firstLine="401"/>
        <w:spacing w:after="0" w:line="277" w:lineRule="auto"/>
        <w:rPr>
          <w:sz w:val="20"/>
          <w:szCs w:val="20"/>
          <w:color w:val="auto"/>
        </w:rPr>
      </w:pPr>
      <w:r>
        <w:rPr>
          <w:rFonts w:ascii="Arial" w:cs="Arial" w:eastAsia="Arial" w:hAnsi="Arial"/>
          <w:sz w:val="18"/>
          <w:szCs w:val="18"/>
          <w:color w:val="auto"/>
        </w:rPr>
        <w:t>The total fair value of options vested during the year was $2.2 million and $2.3 million, for the years ended December 31, 2020, and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60" w:right="79" w:firstLine="401"/>
        <w:spacing w:after="0" w:line="257" w:lineRule="auto"/>
        <w:rPr>
          <w:sz w:val="20"/>
          <w:szCs w:val="20"/>
          <w:color w:val="auto"/>
        </w:rPr>
      </w:pPr>
      <w:r>
        <w:rPr>
          <w:rFonts w:ascii="Arial" w:cs="Arial" w:eastAsia="Arial" w:hAnsi="Arial"/>
          <w:sz w:val="18"/>
          <w:szCs w:val="18"/>
          <w:color w:val="auto"/>
        </w:rPr>
        <w:t>The Company’s board of directors adopted the 2016 Employee Stock Purchase Plan (the ESPP) on April 25, 2016, which was subsequently approved on September 20, 2016 by the Company’s stockholders. The Company had 526,863 shares available for issuance under the Company’s ESPP as of December 31, 2020. Employees purchased 49,951 shares for $112,000 during the year ended December 31, 2020 and 44,344 shares for $232,000 during the year ended December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401"/>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issued under the ESPP:</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18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40" w:type="dxa"/>
            <w:vAlign w:val="bottom"/>
          </w:tcPr>
          <w:p>
            <w:pPr>
              <w:spacing w:after="0"/>
              <w:rPr>
                <w:sz w:val="14"/>
                <w:szCs w:val="14"/>
                <w:color w:val="auto"/>
              </w:rPr>
            </w:pPr>
          </w:p>
        </w:tc>
        <w:tc>
          <w:tcPr>
            <w:tcW w:w="218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44.7 - 100.7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39.6 - 74.2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0.12 - 1.68 %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1"/>
              </w:rPr>
              <w:t>1.67 - 2.66 %</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16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RSU activity for the year ended December 31, 2020:</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469,304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401"/>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December 31, 2020, there was $1.4 million of unrecognized stock-based compensation expense related to RSUs to be recognized over a weighted-average period of 2.1 years.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60" w:right="359" w:firstLine="401"/>
        <w:spacing w:after="0" w:line="263" w:lineRule="auto"/>
        <w:rPr>
          <w:sz w:val="20"/>
          <w:szCs w:val="20"/>
          <w:color w:val="auto"/>
        </w:rPr>
      </w:pPr>
      <w:r>
        <w:rPr>
          <w:rFonts w:ascii="Arial" w:cs="Arial" w:eastAsia="Arial" w:hAnsi="Arial"/>
          <w:sz w:val="18"/>
          <w:szCs w:val="18"/>
          <w:color w:val="auto"/>
        </w:rPr>
        <w:t>As of December 31, 2020, there was $3.2 million of total unrecognized compensation expense related to unvested options which is expected to be recognized over a weighted-average period of 2.7 years. Compensation cost capitalized within inventory at December 31, 2020 and 2019 was not material.</w:t>
      </w:r>
    </w:p>
    <w:p>
      <w:pPr>
        <w:spacing w:after="0" w:line="184" w:lineRule="exact"/>
        <w:rPr>
          <w:sz w:val="20"/>
          <w:szCs w:val="20"/>
          <w:color w:val="auto"/>
        </w:rPr>
      </w:pPr>
    </w:p>
    <w:p>
      <w:pPr>
        <w:ind w:left="60" w:right="179" w:firstLine="401"/>
        <w:spacing w:after="0" w:line="263" w:lineRule="auto"/>
        <w:rPr>
          <w:sz w:val="20"/>
          <w:szCs w:val="20"/>
          <w:color w:val="auto"/>
        </w:rPr>
      </w:pPr>
      <w:r>
        <w:rPr>
          <w:rFonts w:ascii="Arial" w:cs="Arial" w:eastAsia="Arial" w:hAnsi="Arial"/>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w:t>
      </w:r>
    </w:p>
    <w:p>
      <w:pPr>
        <w:spacing w:after="0" w:line="18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w:t>
      </w:r>
    </w:p>
    <w:p>
      <w:pPr>
        <w:ind w:left="6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84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65.1 - 74.4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0.22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2"/>
              </w:rPr>
              <w:t>- 1.63 %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1"/>
              </w:rPr>
              <w:t>1.46 - 2.52 %</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5.3 - 6.1</w:t>
            </w:r>
          </w:p>
        </w:tc>
        <w:tc>
          <w:tcPr>
            <w:tcW w:w="18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401(k) Plan</w:t>
      </w:r>
    </w:p>
    <w:p>
      <w:pPr>
        <w:spacing w:after="0" w:line="229" w:lineRule="exact"/>
        <w:rPr>
          <w:sz w:val="20"/>
          <w:szCs w:val="20"/>
          <w:color w:val="auto"/>
        </w:rPr>
      </w:pPr>
    </w:p>
    <w:p>
      <w:pPr>
        <w:ind w:left="60" w:right="79" w:firstLine="401"/>
        <w:spacing w:after="0" w:line="311" w:lineRule="auto"/>
        <w:rPr>
          <w:sz w:val="20"/>
          <w:szCs w:val="20"/>
          <w:color w:val="auto"/>
        </w:rPr>
      </w:pPr>
      <w:r>
        <w:rPr>
          <w:rFonts w:ascii="Arial" w:cs="Arial" w:eastAsia="Arial" w:hAnsi="Arial"/>
          <w:sz w:val="16"/>
          <w:szCs w:val="16"/>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Significant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60" w:right="159" w:firstLine="401"/>
        <w:spacing w:after="0" w:line="255" w:lineRule="auto"/>
        <w:rPr>
          <w:sz w:val="20"/>
          <w:szCs w:val="20"/>
          <w:color w:val="auto"/>
        </w:rPr>
      </w:pPr>
      <w:r>
        <w:rPr>
          <w:rFonts w:ascii="Arial" w:cs="Arial" w:eastAsia="Arial" w:hAnsi="Arial"/>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92" w:lineRule="exact"/>
        <w:rPr>
          <w:sz w:val="20"/>
          <w:szCs w:val="20"/>
          <w:color w:val="auto"/>
        </w:rPr>
      </w:pPr>
    </w:p>
    <w:p>
      <w:pPr>
        <w:ind w:left="60" w:right="279" w:firstLine="401"/>
        <w:spacing w:after="0" w:line="291" w:lineRule="auto"/>
        <w:rPr>
          <w:sz w:val="20"/>
          <w:szCs w:val="20"/>
          <w:color w:val="auto"/>
        </w:rPr>
      </w:pPr>
      <w:r>
        <w:rPr>
          <w:rFonts w:ascii="Arial" w:cs="Arial" w:eastAsia="Arial" w:hAnsi="Arial"/>
          <w:sz w:val="16"/>
          <w:szCs w:val="16"/>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6" w:lineRule="exact"/>
        <w:rPr>
          <w:sz w:val="20"/>
          <w:szCs w:val="20"/>
          <w:color w:val="auto"/>
        </w:rPr>
      </w:pPr>
    </w:p>
    <w:p>
      <w:pPr>
        <w:ind w:left="60" w:right="99" w:firstLine="401"/>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60" w:right="219" w:firstLine="401"/>
        <w:spacing w:after="0" w:line="257" w:lineRule="auto"/>
        <w:rPr>
          <w:sz w:val="20"/>
          <w:szCs w:val="20"/>
          <w:color w:val="auto"/>
        </w:rPr>
      </w:pPr>
      <w:r>
        <w:rPr>
          <w:rFonts w:ascii="Arial" w:cs="Arial" w:eastAsia="Arial" w:hAnsi="Arial"/>
          <w:sz w:val="18"/>
          <w:szCs w:val="18"/>
          <w:color w:val="auto"/>
        </w:rPr>
        <w:t>The Company incurred no project costs, recognized as research and development expense in the year ended December 31, 2020, compared to $1.8 million during the year ended December 31, 2019. The Company entered into a Statement of Work (SOW) and an Amendment to the SOW, under the JDA with GF effective August 2016 and June 2018 respectively. The Company is entitled to revenues under the JDA and its Amendment upon delivery and acceptance of product.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60" w:right="79" w:firstLine="401"/>
        <w:spacing w:after="0" w:line="272"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and another third party. The JCA was intended to create additional manufacturing capacity for the Company’s Toggle MRAM products. The Company had previously anticipated initial production starting in 2020. However, as a result of recent delays, the Company now anticipates that initial production is expected to start some time in 2021. Under the JCA, the Company is required to pay non-recurring engineering costs of $1.0 million. As of December 31, 2020, the Company has paid $600,000 of these JCA costs. There were no JCA costs paid during the year ended December 31, 2020. The Company paid $200,000 of JCA costs in the year ended December 31, 2019.</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ind w:left="60" w:right="199" w:firstLine="405"/>
        <w:spacing w:after="0" w:line="257" w:lineRule="auto"/>
        <w:rPr>
          <w:sz w:val="20"/>
          <w:szCs w:val="20"/>
          <w:color w:val="auto"/>
        </w:rPr>
      </w:pPr>
      <w:r>
        <w:rPr>
          <w:rFonts w:ascii="Arial" w:cs="Arial" w:eastAsia="Arial" w:hAnsi="Arial"/>
          <w:sz w:val="18"/>
          <w:szCs w:val="18"/>
          <w:color w:val="auto"/>
        </w:rPr>
        <w:t>During the year ended December 31, 2019, the Company implemented a corporate restructuring to ensure long-term sustainability. As part of the restructuring, the Company reduced its workforce by approximately 15 positions across all functions. The restructuring expense of $782,000 during the year ended December 31, 2019 represented all cash consideration of the restructuring, and primarily related to employee severance and benefit arrangements that was paid in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Geographic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by country was as follows (in thousands):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Singapore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401"/>
        <w:spacing w:after="0" w:line="277"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the licensee is located. Revenue by country was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10,144</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4,915</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China</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r>
      <w:tr>
        <w:trPr>
          <w:trHeight w:val="210"/>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37,503</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2020 and 2019, the Company’s provision for income tax consisted of:</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56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60" w:type="dxa"/>
            <w:vAlign w:val="bottom"/>
            <w:vMerge w:val="restart"/>
          </w:tcPr>
          <w:p>
            <w:pPr>
              <w:jc w:val="right"/>
              <w:ind w:right="1730"/>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Change in uncertain tax benefits</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01"/>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as follows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31,683</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29,684</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Accruals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Limitation on business interest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Right of use liability</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32,639</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(33,265)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(31,840)</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use asset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0"/>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1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401"/>
        <w:spacing w:after="0" w:line="287" w:lineRule="auto"/>
        <w:rPr>
          <w:sz w:val="20"/>
          <w:szCs w:val="20"/>
          <w:color w:val="auto"/>
        </w:rPr>
      </w:pPr>
      <w:r>
        <w:rPr>
          <w:rFonts w:ascii="Arial" w:cs="Arial" w:eastAsia="Arial" w:hAnsi="Arial"/>
          <w:sz w:val="16"/>
          <w:szCs w:val="16"/>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2020 and 2019. There was no utilization in 2020 and the net valuation allowance increased by $1.4 million in 2020. In 2019 there was no utilization and the net valuation allowance increased by $2.8 million in 2019.</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Company had federal net operating loss carryforwards of approximately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$140.5 million, of which $99.7 million will begin to expire in the year of 2028 through 2037 if not utilized, and $40.8</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million will carryover indefinitely. In addition, the Company had state net operating loss carryforwards of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$54.1 million, of which $51.5 million will begin to expire in 2023 through 2040 if not utilized, and $2.6 million will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carryover indefinitely.</w:t>
      </w:r>
    </w:p>
    <w:p>
      <w:pPr>
        <w:spacing w:after="0" w:line="211" w:lineRule="exact"/>
        <w:rPr>
          <w:sz w:val="20"/>
          <w:szCs w:val="20"/>
          <w:color w:val="auto"/>
        </w:rPr>
      </w:pPr>
    </w:p>
    <w:p>
      <w:pPr>
        <w:ind w:left="60" w:right="239" w:firstLine="401"/>
        <w:spacing w:after="0" w:line="301" w:lineRule="auto"/>
        <w:rPr>
          <w:sz w:val="20"/>
          <w:szCs w:val="20"/>
          <w:color w:val="auto"/>
        </w:rPr>
      </w:pPr>
      <w:r>
        <w:rPr>
          <w:rFonts w:ascii="Arial" w:cs="Arial" w:eastAsia="Arial" w:hAnsi="Arial"/>
          <w:sz w:val="16"/>
          <w:szCs w:val="16"/>
          <w:color w:val="auto"/>
        </w:rPr>
        <w:t>The Tax Reform Act of 1986 (the Act) provides for a limitation on the annual use of net operating loss and research and development tax credit carryforwards following certain ownership changes (as defined by the Act and codified under IRC Section 382) that could limit the Company’s ability to utilize these carryforwards. Should the limitation apply, the related net operating loss deferred tax asset and the valuation allowance would be reduced by the same amount.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405"/>
        <w:spacing w:after="0" w:line="272" w:lineRule="auto"/>
        <w:rPr>
          <w:sz w:val="20"/>
          <w:szCs w:val="20"/>
          <w:color w:val="auto"/>
        </w:rPr>
      </w:pPr>
      <w:r>
        <w:rPr>
          <w:rFonts w:ascii="Arial" w:cs="Arial" w:eastAsia="Arial" w:hAnsi="Arial"/>
          <w:sz w:val="17"/>
          <w:szCs w:val="17"/>
          <w:color w:val="auto"/>
        </w:rPr>
        <w:t>On March 27, 2020, the Coronavirus Aid, Relief, and Economic Security Act (CARES Act) was enacted into law. The legislation contains a number of economic relief provisions in response to the COVID-19 pandemic, including the following tax related provisions; (1) ability to carryback tax losses five years for losses generated in tax year 2018 through 2020, (2) the ability for Corporations to elect to utilize the 2019 Adjusted Taxable Income and 50% limitation for IRC Section 163(j) purposes, (3) a technical correction to the definition of Qualified Leasehold Improvement Property, and (4) the ability to defer employer payroll taxes for the period of March 27 to December 31, 2020. As of December 31, 2020, these provisions do not materially impact the Company.</w:t>
      </w:r>
    </w:p>
    <w:p>
      <w:pPr>
        <w:spacing w:after="0" w:line="177" w:lineRule="exact"/>
        <w:rPr>
          <w:sz w:val="20"/>
          <w:szCs w:val="20"/>
          <w:color w:val="auto"/>
        </w:rPr>
      </w:pPr>
    </w:p>
    <w:p>
      <w:pPr>
        <w:jc w:val="both"/>
        <w:ind w:left="60" w:right="239" w:firstLine="405"/>
        <w:spacing w:after="0" w:line="263" w:lineRule="auto"/>
        <w:rPr>
          <w:sz w:val="20"/>
          <w:szCs w:val="20"/>
          <w:color w:val="auto"/>
        </w:rPr>
      </w:pPr>
      <w:r>
        <w:rPr>
          <w:rFonts w:ascii="Arial" w:cs="Arial" w:eastAsia="Arial" w:hAnsi="Arial"/>
          <w:sz w:val="18"/>
          <w:szCs w:val="18"/>
          <w:color w:val="auto"/>
        </w:rPr>
        <w:t>The Company files income tax returns in the U.S. federal and various state jurisdictions. The Company is subject to U.S. federal and state income tax examinations by authorities for all tax years beginning in 2008, due to the accumulated net operating losses that are carried forward.</w:t>
      </w:r>
    </w:p>
    <w:p>
      <w:pPr>
        <w:spacing w:after="0" w:line="184" w:lineRule="exact"/>
        <w:rPr>
          <w:sz w:val="20"/>
          <w:szCs w:val="20"/>
          <w:color w:val="auto"/>
        </w:rPr>
      </w:pPr>
    </w:p>
    <w:p>
      <w:pPr>
        <w:ind w:left="60" w:right="79" w:firstLine="401"/>
        <w:spacing w:after="0" w:line="277" w:lineRule="auto"/>
        <w:rPr>
          <w:sz w:val="20"/>
          <w:szCs w:val="20"/>
          <w:color w:val="auto"/>
        </w:rPr>
      </w:pPr>
      <w:r>
        <w:rPr>
          <w:rFonts w:ascii="Arial" w:cs="Arial" w:eastAsia="Arial" w:hAnsi="Arial"/>
          <w:sz w:val="18"/>
          <w:szCs w:val="18"/>
          <w:color w:val="auto"/>
        </w:rPr>
        <w:t>A summary of changes in the Company’s gross unrecognized tax benefits for the years ended December 31, 2020 and 2019 was as follows (in thousands):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 Ended December 31,</w:t>
            </w:r>
          </w:p>
        </w:tc>
      </w:tr>
      <w:tr>
        <w:trPr>
          <w:trHeight w:val="196"/>
        </w:trPr>
        <w:tc>
          <w:tcPr>
            <w:tcW w:w="20" w:type="dxa"/>
            <w:vAlign w:val="bottom"/>
          </w:tcPr>
          <w:p>
            <w:pPr>
              <w:spacing w:after="0"/>
              <w:rPr>
                <w:sz w:val="17"/>
                <w:szCs w:val="17"/>
                <w:color w:val="auto"/>
              </w:rPr>
            </w:pPr>
          </w:p>
        </w:tc>
        <w:tc>
          <w:tcPr>
            <w:tcW w:w="44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expense, beginning of the year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Unrecognized tax expense, end of year</w:t>
            </w:r>
          </w:p>
        </w:tc>
        <w:tc>
          <w:tcPr>
            <w:tcW w:w="9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right="639" w:firstLine="401"/>
        <w:spacing w:after="0" w:line="277" w:lineRule="auto"/>
        <w:rPr>
          <w:sz w:val="20"/>
          <w:szCs w:val="20"/>
          <w:color w:val="auto"/>
        </w:rPr>
      </w:pPr>
      <w:r>
        <w:rPr>
          <w:rFonts w:ascii="Arial" w:cs="Arial" w:eastAsia="Arial" w:hAnsi="Arial"/>
          <w:sz w:val="18"/>
          <w:szCs w:val="18"/>
          <w:color w:val="auto"/>
        </w:rPr>
        <w:t>The total balance of unrecognized tax benefits as of December 31, 2020 would impact the effective tax rate, if recognized.</w:t>
      </w:r>
    </w:p>
    <w:p>
      <w:pPr>
        <w:spacing w:after="0" w:line="170" w:lineRule="exact"/>
        <w:rPr>
          <w:sz w:val="20"/>
          <w:szCs w:val="20"/>
          <w:color w:val="auto"/>
        </w:rPr>
      </w:pPr>
    </w:p>
    <w:p>
      <w:pPr>
        <w:jc w:val="both"/>
        <w:ind w:left="60" w:right="119" w:firstLine="405"/>
        <w:spacing w:after="0" w:line="259" w:lineRule="auto"/>
        <w:rPr>
          <w:sz w:val="20"/>
          <w:szCs w:val="20"/>
          <w:color w:val="auto"/>
        </w:rPr>
      </w:pPr>
      <w:r>
        <w:rPr>
          <w:rFonts w:ascii="Arial" w:cs="Arial" w:eastAsia="Arial" w:hAnsi="Arial"/>
          <w:sz w:val="18"/>
          <w:szCs w:val="18"/>
          <w:color w:val="auto"/>
        </w:rPr>
        <w:t>The Company’s policy is to recognize interest and penalties accrued on any unrecognized tax benefit as a component of income tax expense. The Company has accrued penalties and interest of $156,000 and $0, as of December 31, 2020 and 2019, respectively. The Company estimates no material amount of unrecognized tax benefits will be recognized in the next 12 months.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Net Loss Per Common Share</w:t>
      </w:r>
    </w:p>
    <w:p>
      <w:pPr>
        <w:spacing w:after="0" w:line="229" w:lineRule="exact"/>
        <w:rPr>
          <w:sz w:val="20"/>
          <w:szCs w:val="20"/>
          <w:color w:val="auto"/>
        </w:rPr>
      </w:pPr>
    </w:p>
    <w:p>
      <w:pPr>
        <w:ind w:left="60" w:right="179" w:firstLine="40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Weighted-average common shares outstanding used to calculate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18,782,287</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17,317,042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per common share, basic and diluted</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59" w:firstLine="401"/>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2,272,905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1,931,903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416,742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211,962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2,738,983</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2,171,701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60" w:right="139" w:firstLine="401"/>
        <w:spacing w:after="0" w:line="259" w:lineRule="auto"/>
        <w:rPr>
          <w:sz w:val="20"/>
          <w:szCs w:val="20"/>
          <w:color w:val="auto"/>
        </w:rPr>
      </w:pPr>
      <w:r>
        <w:rPr>
          <w:rFonts w:ascii="Arial" w:cs="Arial" w:eastAsia="Arial" w:hAnsi="Arial"/>
          <w:sz w:val="18"/>
          <w:szCs w:val="18"/>
          <w:color w:val="auto"/>
        </w:rPr>
        <w:t>Our management, with the participation of our management team, including our Interim Chief Executive Officer (Interim CEO) and Chief Financial Officer (CFO) evaluated the effectiveness of the design and operation of our disclosure controls and procedures (as defined in Rules 13a-15(e) and 15d-15(e) under the Securities Exchange Act of 1934, as amended) as of December 31, 2020.</w:t>
      </w:r>
    </w:p>
    <w:p>
      <w:pPr>
        <w:spacing w:after="0" w:line="187" w:lineRule="exact"/>
        <w:rPr>
          <w:sz w:val="20"/>
          <w:szCs w:val="20"/>
          <w:color w:val="auto"/>
        </w:rPr>
      </w:pPr>
    </w:p>
    <w:p>
      <w:pPr>
        <w:ind w:left="60" w:right="159" w:firstLine="401"/>
        <w:spacing w:after="0" w:line="342" w:lineRule="auto"/>
        <w:rPr>
          <w:sz w:val="20"/>
          <w:szCs w:val="20"/>
          <w:color w:val="auto"/>
        </w:rPr>
      </w:pPr>
      <w:r>
        <w:rPr>
          <w:rFonts w:ascii="Arial" w:cs="Arial" w:eastAsia="Arial" w:hAnsi="Arial"/>
          <w:sz w:val="16"/>
          <w:szCs w:val="16"/>
          <w:color w:val="auto"/>
        </w:rPr>
        <w:t>Based on this evaluation, our Interim CEO and CFO concluded that, our disclosure controls and procedures were not effective at the reasonable assurance level as of December 31, 2020, based on the material weakness described below.</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left="60" w:right="99" w:firstLine="401"/>
        <w:spacing w:after="0" w:line="257"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(as defined in Rules 13a-15(f) and 15d-15(f) under the Exchange Act). 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report is provided by management in respect of our internal control over financial reporting:</w:t>
      </w:r>
    </w:p>
    <w:p>
      <w:pPr>
        <w:spacing w:after="0" w:line="225" w:lineRule="exact"/>
        <w:rPr>
          <w:sz w:val="20"/>
          <w:szCs w:val="20"/>
          <w:color w:val="auto"/>
        </w:rPr>
      </w:pPr>
    </w:p>
    <w:p>
      <w:pPr>
        <w:ind w:left="60" w:right="119" w:firstLine="401"/>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2020 and has concluded that such internal control over financial reporting was not effective, based on the material weakness described below.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determined our controls around inventory, including unit reconciliations and communication protocols between operations and accounting were not sufficiently designed to prevent and detect a material misstatement. We have established a plan to remediate this material weakness outlined below.</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steps taken to remediate the material weakness.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225" w:lineRule="exact"/>
        <w:rPr>
          <w:sz w:val="20"/>
          <w:szCs w:val="20"/>
          <w:color w:val="auto"/>
        </w:rPr>
      </w:pPr>
    </w:p>
    <w:p>
      <w:pPr>
        <w:ind w:left="640" w:right="259" w:hanging="23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659" w:hanging="23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providing additional training to our Operations Teams and updating procedures with our third-party Assembly Houses.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659" w:hanging="239"/>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and to prevent and detect material misstatements. Our management has concluded that the financial statements included elsewhere in this Annual Report on Form 10-K present fairly, in all material respects, our financial position, results of operations and is in conformity with GAAP.</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60" w:right="339" w:firstLine="401"/>
        <w:spacing w:after="0" w:line="263" w:lineRule="auto"/>
        <w:rPr>
          <w:sz w:val="20"/>
          <w:szCs w:val="20"/>
          <w:color w:val="auto"/>
        </w:rPr>
      </w:pPr>
      <w:r>
        <w:rPr>
          <w:rFonts w:ascii="Arial" w:cs="Arial" w:eastAsia="Arial" w:hAnsi="Arial"/>
          <w:sz w:val="18"/>
          <w:szCs w:val="18"/>
          <w:color w:val="auto"/>
        </w:rPr>
        <w:t>Except with respect to the remediation actions described above, there have been no changes in our internal control over financial reporting that occurred during the quarter ended December 31, 2020 that materially affected, or are reasonably likely to materially affect, our internal control over financial reporting.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60" w:right="139" w:firstLine="401"/>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279" w:firstLine="401"/>
        <w:spacing w:after="0" w:line="25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2021 Annual Meeting of Stockholders, or the Proxy Statement, which will be filed not later than 120 days after the end of our fiscal year ended December 31, 2020, under the headings “Management,” “Proposal 1 - Election of Directors,” “Board Committees and Meetings,” and “Delinquent Section 16(a) Reports,” and is incorporated herein by reference.</w:t>
      </w:r>
    </w:p>
    <w:p>
      <w:pPr>
        <w:spacing w:after="0" w:line="188" w:lineRule="exact"/>
        <w:rPr>
          <w:sz w:val="20"/>
          <w:szCs w:val="20"/>
          <w:color w:val="auto"/>
        </w:rPr>
      </w:pPr>
    </w:p>
    <w:p>
      <w:pPr>
        <w:ind w:left="60" w:right="79" w:firstLine="401"/>
        <w:spacing w:after="0" w:line="271"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679" w:firstLine="401"/>
        <w:spacing w:after="0" w:line="263"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60" w:right="219" w:firstLine="401"/>
        <w:spacing w:after="0" w:line="25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459" w:firstLine="401"/>
        <w:spacing w:after="0" w:line="311" w:lineRule="auto"/>
        <w:rPr>
          <w:sz w:val="20"/>
          <w:szCs w:val="20"/>
          <w:color w:val="auto"/>
        </w:rPr>
      </w:pPr>
      <w:r>
        <w:rPr>
          <w:rFonts w:ascii="Arial" w:cs="Arial" w:eastAsia="Arial" w:hAnsi="Arial"/>
          <w:sz w:val="16"/>
          <w:szCs w:val="16"/>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“Proposal 1 - Election of Directors”, respectively, in our Proxy Statement.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99" w:firstLine="401"/>
        <w:spacing w:after="0" w:line="342" w:lineRule="auto"/>
        <w:rPr>
          <w:sz w:val="20"/>
          <w:szCs w:val="20"/>
          <w:color w:val="auto"/>
        </w:rPr>
      </w:pPr>
      <w:r>
        <w:rPr>
          <w:rFonts w:ascii="Arial" w:cs="Arial" w:eastAsia="Arial" w:hAnsi="Arial"/>
          <w:sz w:val="16"/>
          <w:szCs w:val="16"/>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50"/>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420" w:hanging="188"/>
        <w:spacing w:after="0"/>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Information in response to this Item is included in Part II, Item 8 of this Annual Report on Form 10-K.</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300" w:right="139" w:firstLine="648"/>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Incorporation By Reference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22"/>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9"/>
                <w:szCs w:val="9"/>
                <w:color w:val="auto"/>
              </w:rPr>
            </w:pPr>
          </w:p>
        </w:tc>
        <w:tc>
          <w:tcPr>
            <w:tcW w:w="16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SEC File No.</w:t>
            </w:r>
          </w:p>
        </w:tc>
        <w:tc>
          <w:tcPr>
            <w:tcW w:w="140" w:type="dxa"/>
            <w:vAlign w:val="bottom"/>
            <w:vMerge w:val="restart"/>
          </w:tcPr>
          <w:p>
            <w:pPr>
              <w:spacing w:after="0"/>
              <w:rPr>
                <w:sz w:val="9"/>
                <w:szCs w:val="9"/>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vMerge w:val="restart"/>
          </w:tcPr>
          <w:p>
            <w:pPr>
              <w:spacing w:after="0"/>
              <w:rPr>
                <w:sz w:val="9"/>
                <w:szCs w:val="9"/>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680" w:type="dxa"/>
            <w:vAlign w:val="bottom"/>
            <w:tcBorders>
              <w:bottom w:val="single" w:sz="8" w:color="0000EE"/>
            </w:tcBorders>
            <w:gridSpan w:val="14"/>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Amended and Restated Certificate of</w:t>
              </w:r>
            </w:hyperlink>
          </w:p>
        </w:tc>
        <w:tc>
          <w:tcPr>
            <w:tcW w:w="660" w:type="dxa"/>
            <w:vAlign w:val="bottom"/>
            <w:gridSpan w:val="16"/>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Incorporation.</w:t>
              </w:r>
            </w:hyperlink>
          </w:p>
        </w:tc>
        <w:tc>
          <w:tcPr>
            <w:tcW w:w="230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2800" w:type="dxa"/>
            <w:vAlign w:val="bottom"/>
            <w:tcBorders>
              <w:bottom w:val="single" w:sz="8" w:color="0000EE"/>
            </w:tcBorders>
            <w:gridSpan w:val="16"/>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Amendment to Amended and Restated</w:t>
              </w:r>
            </w:hyperlink>
          </w:p>
        </w:tc>
        <w:tc>
          <w:tcPr>
            <w:tcW w:w="540" w:type="dxa"/>
            <w:vAlign w:val="bottom"/>
            <w:gridSpan w:val="14"/>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Certificate of Incorporation.</w:t>
              </w:r>
            </w:hyperlink>
          </w:p>
        </w:tc>
        <w:tc>
          <w:tcPr>
            <w:tcW w:w="128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800" w:type="dxa"/>
            <w:vAlign w:val="bottom"/>
            <w:tcBorders>
              <w:bottom w:val="single" w:sz="8" w:color="0000EE"/>
            </w:tcBorders>
            <w:gridSpan w:val="16"/>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Amendment to Amended and Restated</w:t>
              </w:r>
            </w:hyperlink>
          </w:p>
        </w:tc>
        <w:tc>
          <w:tcPr>
            <w:tcW w:w="540" w:type="dxa"/>
            <w:vAlign w:val="bottom"/>
            <w:gridSpan w:val="14"/>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Certificate of Incorporation.</w:t>
              </w:r>
            </w:hyperlink>
          </w:p>
        </w:tc>
        <w:tc>
          <w:tcPr>
            <w:tcW w:w="130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Bylaws.</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Common Stock Certificate of the</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333-213569</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registrant.</w:t>
              </w:r>
            </w:hyperlink>
          </w:p>
        </w:tc>
        <w:tc>
          <w:tcPr>
            <w:tcW w:w="2280" w:type="dxa"/>
            <w:vAlign w:val="bottom"/>
            <w:tcBorders>
              <w:top w:val="single" w:sz="8" w:color="0000EE"/>
            </w:tcBorders>
            <w:gridSpan w:val="18"/>
          </w:tcPr>
          <w:p>
            <w:pPr>
              <w:spacing w:after="0"/>
              <w:rPr>
                <w:sz w:val="17"/>
                <w:szCs w:val="17"/>
                <w:color w:val="auto"/>
              </w:rPr>
            </w:pPr>
          </w:p>
        </w:tc>
        <w:tc>
          <w:tcPr>
            <w:tcW w:w="3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200" w:type="dxa"/>
            <w:vAlign w:val="bottom"/>
            <w:tcBorders>
              <w:bottom w:val="single" w:sz="8" w:color="0000EE"/>
            </w:tcBorders>
            <w:gridSpan w:val="28"/>
          </w:tcPr>
          <w:p>
            <w:pPr>
              <w:spacing w:after="0"/>
              <w:rPr>
                <w:rFonts w:ascii="Arial" w:cs="Arial" w:eastAsia="Arial" w:hAnsi="Arial"/>
                <w:sz w:val="18"/>
                <w:szCs w:val="18"/>
                <w:color w:val="0000EE"/>
                <w:w w:val="88"/>
              </w:rPr>
            </w:pPr>
            <w:hyperlink r:id="rId86">
              <w:r>
                <w:rPr>
                  <w:rFonts w:ascii="Arial" w:cs="Arial" w:eastAsia="Arial" w:hAnsi="Arial"/>
                  <w:sz w:val="18"/>
                  <w:szCs w:val="18"/>
                  <w:color w:val="0000EE"/>
                  <w:w w:val="88"/>
                </w:rPr>
                <w:t>Amended and Restated Warrant to Purchase</w:t>
              </w:r>
            </w:hyperlink>
          </w:p>
        </w:tc>
        <w:tc>
          <w:tcPr>
            <w:tcW w:w="1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11/07/2019</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Common Stock, dated as of August 5,</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2019, between the registrant and Silicon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Valley Bank.</w:t>
              </w:r>
            </w:hyperlink>
          </w:p>
        </w:tc>
        <w:tc>
          <w:tcPr>
            <w:tcW w:w="1960" w:type="dxa"/>
            <w:vAlign w:val="bottom"/>
            <w:tcBorders>
              <w:top w:val="single" w:sz="8" w:color="0000EE"/>
            </w:tcBorders>
            <w:gridSpan w:val="13"/>
          </w:tcPr>
          <w:p>
            <w:pPr>
              <w:spacing w:after="0"/>
              <w:rPr>
                <w:sz w:val="17"/>
                <w:szCs w:val="17"/>
                <w:color w:val="auto"/>
              </w:rPr>
            </w:pPr>
          </w:p>
        </w:tc>
        <w:tc>
          <w:tcPr>
            <w:tcW w:w="4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color w:val="0000EE"/>
                <w:w w:val="95"/>
              </w:rPr>
            </w:pPr>
            <w:hyperlink r:id="rId87">
              <w:r>
                <w:rPr>
                  <w:rFonts w:ascii="Arial" w:cs="Arial" w:eastAsia="Arial" w:hAnsi="Arial"/>
                  <w:sz w:val="18"/>
                  <w:szCs w:val="18"/>
                  <w:color w:val="0000EE"/>
                  <w:w w:val="95"/>
                </w:rPr>
                <w:t>Warrant to Purchase Common Stock, dated</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8/06/2020</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as of July 15, 2020, between the registrant</w:t>
              </w:r>
            </w:hyperlink>
          </w:p>
        </w:tc>
        <w:tc>
          <w:tcPr>
            <w:tcW w:w="60" w:type="dxa"/>
            <w:vAlign w:val="bottom"/>
            <w:tcBorders>
              <w:top w:val="single" w:sz="8" w:color="0000EE"/>
            </w:tcBorders>
          </w:tcPr>
          <w:p>
            <w:pPr>
              <w:spacing w:after="0"/>
              <w:rPr>
                <w:sz w:val="17"/>
                <w:szCs w:val="17"/>
                <w:color w:val="auto"/>
              </w:rPr>
            </w:pPr>
          </w:p>
        </w:tc>
        <w:tc>
          <w:tcPr>
            <w:tcW w:w="22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and Silicon Valley Bank.</w:t>
              </w:r>
            </w:hyperlink>
          </w:p>
        </w:tc>
        <w:tc>
          <w:tcPr>
            <w:tcW w:w="154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Common Stock.</w:t>
              </w:r>
            </w:hyperlink>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140" w:type="dxa"/>
            <w:vAlign w:val="bottom"/>
            <w:tcBorders>
              <w:bottom w:val="single" w:sz="8" w:color="0000EE"/>
            </w:tcBorders>
            <w:gridSpan w:val="25"/>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Indemnity Agreement between the</w:t>
              </w:r>
            </w:hyperlink>
          </w:p>
        </w:tc>
        <w:tc>
          <w:tcPr>
            <w:tcW w:w="200" w:type="dxa"/>
            <w:vAlign w:val="bottom"/>
            <w:gridSpan w:val="5"/>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333-213569</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30"/>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registrant and its directors and officers.</w:t>
              </w:r>
            </w:hyperlink>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2960" w:type="dxa"/>
            <w:vAlign w:val="bottom"/>
            <w:tcBorders>
              <w:bottom w:val="single" w:sz="8" w:color="0000EE"/>
            </w:tcBorders>
            <w:gridSpan w:val="20"/>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2008 Equity Incentive Plan, as amended,</w:t>
              </w:r>
            </w:hyperlink>
          </w:p>
        </w:tc>
        <w:tc>
          <w:tcPr>
            <w:tcW w:w="380" w:type="dxa"/>
            <w:vAlign w:val="bottom"/>
            <w:gridSpan w:val="10"/>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333-213569</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and Form of Stock Option Grant Notice,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Option Agreement and Form of Notice of</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Exercise.</w:t>
              </w:r>
            </w:hyperlink>
          </w:p>
        </w:tc>
        <w:tc>
          <w:tcPr>
            <w:tcW w:w="2320" w:type="dxa"/>
            <w:vAlign w:val="bottom"/>
            <w:tcBorders>
              <w:top w:val="single" w:sz="8" w:color="0000EE"/>
            </w:tcBorders>
            <w:gridSpan w:val="18"/>
          </w:tcPr>
          <w:p>
            <w:pPr>
              <w:spacing w:after="0"/>
              <w:rPr>
                <w:sz w:val="17"/>
                <w:szCs w:val="17"/>
                <w:color w:val="auto"/>
              </w:rPr>
            </w:pPr>
          </w:p>
        </w:tc>
        <w:tc>
          <w:tcPr>
            <w:tcW w:w="34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Amended and Restated 2016 Equity</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5/22/2018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Incentive Plan.</w:t>
              </w:r>
            </w:hyperlink>
          </w:p>
        </w:tc>
        <w:tc>
          <w:tcPr>
            <w:tcW w:w="74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color w:val="0000EE"/>
                <w:w w:val="97"/>
              </w:rPr>
            </w:pPr>
            <w:hyperlink r:id="rId91">
              <w:r>
                <w:rPr>
                  <w:rFonts w:ascii="Arial" w:cs="Arial" w:eastAsia="Arial" w:hAnsi="Arial"/>
                  <w:sz w:val="18"/>
                  <w:szCs w:val="18"/>
                  <w:color w:val="0000EE"/>
                  <w:w w:val="97"/>
                </w:rPr>
                <w:t>Form of Stock Option Grant Notice, Option</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333-213569</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Agreement and Form of Notice of Exercise</w:t>
              </w:r>
            </w:hyperlink>
          </w:p>
        </w:tc>
        <w:tc>
          <w:tcPr>
            <w:tcW w:w="1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Borders>
              <w:top w:val="single" w:sz="8" w:color="0000EE"/>
            </w:tcBorders>
            <w:gridSpan w:val="24"/>
          </w:tcPr>
          <w:p>
            <w:pPr>
              <w:spacing w:after="0"/>
              <w:rPr>
                <w:rFonts w:ascii="Arial" w:cs="Arial" w:eastAsia="Arial" w:hAnsi="Arial"/>
                <w:sz w:val="18"/>
                <w:szCs w:val="18"/>
                <w:u w:val="single" w:color="auto"/>
                <w:color w:val="0000EE"/>
                <w:w w:val="94"/>
              </w:rPr>
            </w:pPr>
            <w:hyperlink r:id="rId91">
              <w:r>
                <w:rPr>
                  <w:rFonts w:ascii="Arial" w:cs="Arial" w:eastAsia="Arial" w:hAnsi="Arial"/>
                  <w:sz w:val="18"/>
                  <w:szCs w:val="18"/>
                  <w:u w:val="single" w:color="auto"/>
                  <w:color w:val="0000EE"/>
                  <w:w w:val="94"/>
                </w:rPr>
                <w:t>used with the 2016 Equity Incentive Plan.</w:t>
              </w:r>
            </w:hyperlink>
          </w:p>
        </w:tc>
        <w:tc>
          <w:tcPr>
            <w:tcW w:w="220" w:type="dxa"/>
            <w:vAlign w:val="bottom"/>
            <w:gridSpan w:val="6"/>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color w:val="0000EE"/>
              </w:rPr>
            </w:pPr>
            <w:hyperlink r:id="rId92">
              <w:r>
                <w:rPr>
                  <w:rFonts w:ascii="Arial" w:cs="Arial" w:eastAsia="Arial" w:hAnsi="Arial"/>
                  <w:sz w:val="18"/>
                  <w:szCs w:val="18"/>
                  <w:color w:val="0000EE"/>
                </w:rPr>
                <w:t>Form of Restricted Stock Unit Award</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001-37900</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Agreement under the 2016 Equity Incentive</w:t>
              </w:r>
            </w:hyperlink>
          </w:p>
        </w:tc>
        <w:tc>
          <w:tcPr>
            <w:tcW w:w="1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Plan</w:t>
              </w:r>
              <w:r>
                <w:rPr>
                  <w:rFonts w:ascii="Arial" w:cs="Arial" w:eastAsia="Arial" w:hAnsi="Arial"/>
                  <w:sz w:val="18"/>
                  <w:szCs w:val="18"/>
                  <w:color w:val="000000"/>
                </w:rPr>
                <w:t>.</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3340" w:type="dxa"/>
            <w:vAlign w:val="bottom"/>
            <w:gridSpan w:val="30"/>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2016 Employee Stock Purchase Plan.</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333-213569</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840" w:type="dxa"/>
            <w:vAlign w:val="bottom"/>
            <w:tcBorders>
              <w:bottom w:val="single" w:sz="8" w:color="0000EE"/>
            </w:tcBorders>
            <w:gridSpan w:val="17"/>
          </w:tcPr>
          <w:p>
            <w:pPr>
              <w:spacing w:after="0"/>
              <w:rPr>
                <w:rFonts w:ascii="Arial" w:cs="Arial" w:eastAsia="Arial" w:hAnsi="Arial"/>
                <w:sz w:val="18"/>
                <w:szCs w:val="18"/>
                <w:color w:val="0000EE"/>
                <w:w w:val="87"/>
              </w:rPr>
            </w:pPr>
            <w:hyperlink r:id="rId94">
              <w:r>
                <w:rPr>
                  <w:rFonts w:ascii="Arial" w:cs="Arial" w:eastAsia="Arial" w:hAnsi="Arial"/>
                  <w:sz w:val="18"/>
                  <w:szCs w:val="18"/>
                  <w:color w:val="0000EE"/>
                  <w:w w:val="87"/>
                </w:rPr>
                <w:t>Lease, dated as of June 6, 2008, by and</w:t>
              </w:r>
            </w:hyperlink>
          </w:p>
        </w:tc>
        <w:tc>
          <w:tcPr>
            <w:tcW w:w="500" w:type="dxa"/>
            <w:vAlign w:val="bottom"/>
            <w:gridSpan w:val="13"/>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333-213569</w:t>
            </w:r>
          </w:p>
        </w:tc>
        <w:tc>
          <w:tcPr>
            <w:tcW w:w="60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10.5</w:t>
            </w:r>
          </w:p>
        </w:tc>
        <w:tc>
          <w:tcPr>
            <w:tcW w:w="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between the registrant and Freescale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Semiconductor, Inc.</w:t>
              </w:r>
            </w:hyperlink>
          </w:p>
        </w:tc>
        <w:tc>
          <w:tcPr>
            <w:tcW w:w="1160" w:type="dxa"/>
            <w:vAlign w:val="bottom"/>
            <w:tcBorders>
              <w:top w:val="single" w:sz="8" w:color="0000EE"/>
            </w:tcBorders>
            <w:gridSpan w:val="5"/>
          </w:tcPr>
          <w:p>
            <w:pPr>
              <w:spacing w:after="0"/>
              <w:rPr>
                <w:sz w:val="17"/>
                <w:szCs w:val="17"/>
                <w:color w:val="auto"/>
              </w:rPr>
            </w:pPr>
          </w:p>
        </w:tc>
        <w:tc>
          <w:tcPr>
            <w:tcW w:w="7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-4097020</wp:posOffset>
            </wp:positionV>
            <wp:extent cx="2603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10.7.1</w:t>
            </w:r>
          </w:p>
        </w:tc>
        <w:tc>
          <w:tcPr>
            <w:tcW w:w="3300" w:type="dxa"/>
            <w:vAlign w:val="bottom"/>
            <w:gridSpan w:val="23"/>
          </w:tcPr>
          <w:p>
            <w:pPr>
              <w:spacing w:after="0"/>
              <w:rPr>
                <w:rFonts w:ascii="Arial" w:cs="Arial" w:eastAsia="Arial" w:hAnsi="Arial"/>
                <w:sz w:val="18"/>
                <w:szCs w:val="18"/>
                <w:color w:val="0000EE"/>
              </w:rPr>
            </w:pPr>
            <w:hyperlink r:id="rId97">
              <w:r>
                <w:rPr>
                  <w:rFonts w:ascii="Arial" w:cs="Arial" w:eastAsia="Arial" w:hAnsi="Arial"/>
                  <w:sz w:val="18"/>
                  <w:szCs w:val="18"/>
                  <w:color w:val="0000EE"/>
                </w:rPr>
                <w:t>Amendment No. 1 to Lease, dated as of</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9/09/2016</w:t>
            </w:r>
          </w:p>
        </w:tc>
      </w:tr>
      <w:tr>
        <w:trPr>
          <w:trHeight w:val="196"/>
        </w:trPr>
        <w:tc>
          <w:tcPr>
            <w:tcW w:w="100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February 2, 2009, by and between the</w:t>
              </w:r>
            </w:hyperlink>
          </w:p>
        </w:tc>
        <w:tc>
          <w:tcPr>
            <w:tcW w:w="120" w:type="dxa"/>
            <w:vAlign w:val="bottom"/>
            <w:tcBorders>
              <w:top w:val="single" w:sz="8" w:color="0000EE"/>
            </w:tcBorders>
            <w:gridSpan w:val="2"/>
          </w:tcPr>
          <w:p>
            <w:pPr>
              <w:spacing w:after="0"/>
              <w:rPr>
                <w:sz w:val="17"/>
                <w:szCs w:val="17"/>
                <w:color w:val="auto"/>
              </w:rPr>
            </w:pPr>
          </w:p>
        </w:tc>
        <w:tc>
          <w:tcPr>
            <w:tcW w:w="4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registrant and Freescale Semiconductor,</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Inc.</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10.7.2</w:t>
            </w:r>
          </w:p>
        </w:tc>
        <w:tc>
          <w:tcPr>
            <w:tcW w:w="3300" w:type="dxa"/>
            <w:vAlign w:val="bottom"/>
            <w:gridSpan w:val="23"/>
          </w:tcPr>
          <w:p>
            <w:pPr>
              <w:spacing w:after="0"/>
              <w:rPr>
                <w:rFonts w:ascii="Arial" w:cs="Arial" w:eastAsia="Arial" w:hAnsi="Arial"/>
                <w:sz w:val="18"/>
                <w:szCs w:val="18"/>
                <w:color w:val="0000EE"/>
              </w:rPr>
            </w:pPr>
            <w:hyperlink r:id="rId98">
              <w:r>
                <w:rPr>
                  <w:rFonts w:ascii="Arial" w:cs="Arial" w:eastAsia="Arial" w:hAnsi="Arial"/>
                  <w:sz w:val="18"/>
                  <w:szCs w:val="18"/>
                  <w:color w:val="0000EE"/>
                </w:rPr>
                <w:t>Amendment No. 2 to Lease, dated as of</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9/09/2016</w:t>
            </w:r>
          </w:p>
        </w:tc>
      </w:tr>
      <w:tr>
        <w:trPr>
          <w:trHeight w:val="196"/>
        </w:trPr>
        <w:tc>
          <w:tcPr>
            <w:tcW w:w="1000" w:type="dxa"/>
            <w:vAlign w:val="bottom"/>
          </w:tcPr>
          <w:p>
            <w:pPr>
              <w:spacing w:after="0"/>
              <w:rPr>
                <w:sz w:val="17"/>
                <w:szCs w:val="17"/>
                <w:color w:val="auto"/>
              </w:rPr>
            </w:pPr>
          </w:p>
        </w:tc>
        <w:tc>
          <w:tcPr>
            <w:tcW w:w="2840" w:type="dxa"/>
            <w:vAlign w:val="bottom"/>
            <w:tcBorders>
              <w:top w:val="single" w:sz="8" w:color="0000EE"/>
            </w:tcBorders>
            <w:gridSpan w:val="10"/>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February 18, 2010, by and between the</w:t>
              </w:r>
            </w:hyperlink>
          </w:p>
        </w:tc>
        <w:tc>
          <w:tcPr>
            <w:tcW w:w="4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registrant and Freescale Semiconductor,</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Inc.</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10.7.3</w:t>
            </w:r>
          </w:p>
        </w:tc>
        <w:tc>
          <w:tcPr>
            <w:tcW w:w="3200" w:type="dxa"/>
            <w:vAlign w:val="bottom"/>
            <w:tcBorders>
              <w:bottom w:val="single" w:sz="8" w:color="0000EE"/>
            </w:tcBorders>
            <w:gridSpan w:val="22"/>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Amendment No. 3 to Lease, dated as of July</w:t>
              </w:r>
            </w:hyperlink>
          </w:p>
        </w:tc>
        <w:tc>
          <w:tcPr>
            <w:tcW w:w="100" w:type="dxa"/>
            <w:vAlign w:val="bottom"/>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9/09/2016</w:t>
            </w: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20, 2011, by and between the registrant and</w:t>
              </w:r>
            </w:hyperlink>
          </w:p>
        </w:tc>
        <w:tc>
          <w:tcPr>
            <w:tcW w:w="1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Freescale Semiconductor, Inc.</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10.7.4</w:t>
            </w:r>
          </w:p>
        </w:tc>
        <w:tc>
          <w:tcPr>
            <w:tcW w:w="2860" w:type="dxa"/>
            <w:vAlign w:val="bottom"/>
            <w:tcBorders>
              <w:bottom w:val="single" w:sz="8" w:color="0000EE"/>
            </w:tcBorders>
            <w:gridSpan w:val="11"/>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Amendment No. 4 to Lease, dated as of</w:t>
              </w:r>
            </w:hyperlink>
          </w:p>
        </w:tc>
        <w:tc>
          <w:tcPr>
            <w:tcW w:w="440" w:type="dxa"/>
            <w:vAlign w:val="bottom"/>
            <w:gridSpan w:val="12"/>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9/09/2016</w:t>
            </w:r>
          </w:p>
        </w:tc>
      </w:tr>
      <w:tr>
        <w:trPr>
          <w:trHeight w:val="196"/>
        </w:trPr>
        <w:tc>
          <w:tcPr>
            <w:tcW w:w="1000" w:type="dxa"/>
            <w:vAlign w:val="bottom"/>
          </w:tcPr>
          <w:p>
            <w:pPr>
              <w:spacing w:after="0"/>
              <w:rPr>
                <w:sz w:val="17"/>
                <w:szCs w:val="17"/>
                <w:color w:val="auto"/>
              </w:rPr>
            </w:pPr>
          </w:p>
        </w:tc>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June, 2014 by and between the registrant</w:t>
              </w:r>
            </w:hyperlink>
          </w:p>
        </w:tc>
        <w:tc>
          <w:tcPr>
            <w:tcW w:w="36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300" w:type="dxa"/>
            <w:vAlign w:val="bottom"/>
            <w:gridSpan w:val="23"/>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and Freescale Semiconductor, Inc.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10.7.5</w:t>
            </w:r>
          </w:p>
        </w:tc>
        <w:tc>
          <w:tcPr>
            <w:tcW w:w="3300" w:type="dxa"/>
            <w:vAlign w:val="bottom"/>
            <w:gridSpan w:val="23"/>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Amendment No. 5 to Lease, dated as of</w:t>
              </w:r>
            </w:hyperlink>
          </w:p>
        </w:tc>
        <w:tc>
          <w:tcPr>
            <w:tcW w:w="78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3/28/2017</w:t>
            </w:r>
          </w:p>
        </w:tc>
      </w:tr>
      <w:tr>
        <w:trPr>
          <w:trHeight w:val="196"/>
        </w:trPr>
        <w:tc>
          <w:tcPr>
            <w:tcW w:w="10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March 22, 2017 by and between the</w:t>
              </w:r>
            </w:hyperlink>
          </w:p>
        </w:tc>
        <w:tc>
          <w:tcPr>
            <w:tcW w:w="260" w:type="dxa"/>
            <w:vAlign w:val="bottom"/>
            <w:tcBorders>
              <w:top w:val="single" w:sz="8" w:color="0000EE"/>
            </w:tcBorders>
            <w:gridSpan w:val="4"/>
          </w:tcPr>
          <w:p>
            <w:pPr>
              <w:spacing w:after="0"/>
              <w:rPr>
                <w:sz w:val="17"/>
                <w:szCs w:val="17"/>
                <w:color w:val="auto"/>
              </w:rPr>
            </w:pPr>
          </w:p>
        </w:tc>
        <w:tc>
          <w:tcPr>
            <w:tcW w:w="4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registrant and Freescale Semiconductor,</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Inc.</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10.7.6</w:t>
            </w:r>
          </w:p>
        </w:tc>
        <w:tc>
          <w:tcPr>
            <w:tcW w:w="3300" w:type="dxa"/>
            <w:vAlign w:val="bottom"/>
            <w:gridSpan w:val="23"/>
          </w:tcPr>
          <w:p>
            <w:pPr>
              <w:spacing w:after="0"/>
              <w:rPr>
                <w:rFonts w:ascii="Arial" w:cs="Arial" w:eastAsia="Arial" w:hAnsi="Arial"/>
                <w:sz w:val="18"/>
                <w:szCs w:val="18"/>
                <w:color w:val="0000EE"/>
              </w:rPr>
            </w:pPr>
            <w:hyperlink r:id="rId102">
              <w:r>
                <w:rPr>
                  <w:rFonts w:ascii="Arial" w:cs="Arial" w:eastAsia="Arial" w:hAnsi="Arial"/>
                  <w:sz w:val="18"/>
                  <w:szCs w:val="18"/>
                  <w:color w:val="0000EE"/>
                </w:rPr>
                <w:t>Amendment No. 6 to Lease, dated as of</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10.40</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3/15/2018</w:t>
            </w:r>
          </w:p>
        </w:tc>
      </w:tr>
      <w:tr>
        <w:trPr>
          <w:trHeight w:val="196"/>
        </w:trPr>
        <w:tc>
          <w:tcPr>
            <w:tcW w:w="1000" w:type="dxa"/>
            <w:vAlign w:val="bottom"/>
          </w:tcPr>
          <w:p>
            <w:pPr>
              <w:spacing w:after="0"/>
              <w:rPr>
                <w:sz w:val="17"/>
                <w:szCs w:val="17"/>
                <w:color w:val="auto"/>
              </w:rPr>
            </w:pPr>
          </w:p>
        </w:tc>
        <w:tc>
          <w:tcPr>
            <w:tcW w:w="284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October 31, 2017 by and between the</w:t>
              </w:r>
            </w:hyperlink>
          </w:p>
        </w:tc>
        <w:tc>
          <w:tcPr>
            <w:tcW w:w="4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registrant and NXP USA, Inc. (formerly</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300" w:type="dxa"/>
            <w:vAlign w:val="bottom"/>
            <w:gridSpan w:val="23"/>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Freescale Semiconductor, Inc.</w:t>
              </w:r>
              <w:r>
                <w:rPr>
                  <w:rFonts w:ascii="Arial" w:cs="Arial" w:eastAsia="Arial" w:hAnsi="Arial"/>
                  <w:sz w:val="18"/>
                  <w:szCs w:val="18"/>
                  <w:u w:val="single" w:color="auto"/>
                  <w:color w:val="000000"/>
                </w:rPr>
                <w:t>).</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10.7.7</w:t>
            </w:r>
          </w:p>
        </w:tc>
        <w:tc>
          <w:tcPr>
            <w:tcW w:w="3100" w:type="dxa"/>
            <w:vAlign w:val="bottom"/>
            <w:tcBorders>
              <w:bottom w:val="single" w:sz="8" w:color="0000EE"/>
            </w:tcBorders>
            <w:gridSpan w:val="18"/>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Amendment No. 7 to Lease, effective as of</w:t>
              </w:r>
            </w:hyperlink>
          </w:p>
        </w:tc>
        <w:tc>
          <w:tcPr>
            <w:tcW w:w="200" w:type="dxa"/>
            <w:vAlign w:val="bottom"/>
            <w:gridSpan w:val="5"/>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8"/>
              </w:rPr>
              <w:t>11/14/2018</w:t>
            </w:r>
          </w:p>
        </w:tc>
      </w:tr>
      <w:tr>
        <w:trPr>
          <w:trHeight w:val="196"/>
        </w:trPr>
        <w:tc>
          <w:tcPr>
            <w:tcW w:w="1000" w:type="dxa"/>
            <w:vAlign w:val="bottom"/>
          </w:tcPr>
          <w:p>
            <w:pPr>
              <w:spacing w:after="0"/>
              <w:rPr>
                <w:sz w:val="17"/>
                <w:szCs w:val="17"/>
                <w:color w:val="auto"/>
              </w:rPr>
            </w:pPr>
          </w:p>
        </w:tc>
        <w:tc>
          <w:tcPr>
            <w:tcW w:w="318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June 30, 2018 by and between the registrant</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and NXP USA, Inc. (formerly Freescale</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Semiconductor, Inc.)</w:t>
              </w:r>
              <w:r>
                <w:rPr>
                  <w:rFonts w:ascii="Arial" w:cs="Arial" w:eastAsia="Arial" w:hAnsi="Arial"/>
                  <w:sz w:val="18"/>
                  <w:szCs w:val="18"/>
                  <w:color w:val="000000"/>
                </w:rPr>
                <w:t>.</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10.7.8</w:t>
            </w:r>
          </w:p>
        </w:tc>
        <w:tc>
          <w:tcPr>
            <w:tcW w:w="3300" w:type="dxa"/>
            <w:vAlign w:val="bottom"/>
            <w:gridSpan w:val="23"/>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Amendment No. 8 to Lease, effective as of</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3/13/2020</w:t>
            </w:r>
          </w:p>
        </w:tc>
      </w:tr>
      <w:tr>
        <w:trPr>
          <w:trHeight w:val="196"/>
        </w:trPr>
        <w:tc>
          <w:tcPr>
            <w:tcW w:w="10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November 30, 2019 by and between the</w:t>
              </w:r>
            </w:hyperlink>
          </w:p>
        </w:tc>
        <w:tc>
          <w:tcPr>
            <w:tcW w:w="200" w:type="dxa"/>
            <w:vAlign w:val="bottom"/>
            <w:tcBorders>
              <w:top w:val="single" w:sz="8" w:color="0000EE"/>
            </w:tcBorders>
            <w:gridSpan w:val="5"/>
          </w:tcPr>
          <w:p>
            <w:pPr>
              <w:spacing w:after="0"/>
              <w:rPr>
                <w:sz w:val="17"/>
                <w:szCs w:val="17"/>
                <w:color w:val="auto"/>
              </w:rPr>
            </w:pPr>
          </w:p>
        </w:tc>
        <w:tc>
          <w:tcPr>
            <w:tcW w:w="2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registrant and NXP USA, Inc. (formerly</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300" w:type="dxa"/>
            <w:vAlign w:val="bottom"/>
            <w:gridSpan w:val="23"/>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Freescale Semiconductor, Inc.).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10.7.9</w:t>
            </w:r>
          </w:p>
        </w:tc>
        <w:tc>
          <w:tcPr>
            <w:tcW w:w="3300" w:type="dxa"/>
            <w:vAlign w:val="bottom"/>
            <w:gridSpan w:val="23"/>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Amendment No. 9 to Lease, effective as of</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8/06/2020</w:t>
            </w:r>
          </w:p>
        </w:tc>
      </w:tr>
      <w:tr>
        <w:trPr>
          <w:trHeight w:val="196"/>
        </w:trPr>
        <w:tc>
          <w:tcPr>
            <w:tcW w:w="10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March 31, 2020 by and between the</w:t>
              </w:r>
            </w:hyperlink>
          </w:p>
        </w:tc>
        <w:tc>
          <w:tcPr>
            <w:tcW w:w="500" w:type="dxa"/>
            <w:vAlign w:val="bottom"/>
            <w:tcBorders>
              <w:top w:val="single" w:sz="8" w:color="0000EE"/>
            </w:tcBorders>
            <w:gridSpan w:val="11"/>
          </w:tcPr>
          <w:p>
            <w:pPr>
              <w:spacing w:after="0"/>
              <w:rPr>
                <w:sz w:val="17"/>
                <w:szCs w:val="17"/>
                <w:color w:val="auto"/>
              </w:rPr>
            </w:pPr>
          </w:p>
        </w:tc>
        <w:tc>
          <w:tcPr>
            <w:tcW w:w="2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registrant and NXP USA, Inc. (formerly</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300" w:type="dxa"/>
            <w:vAlign w:val="bottom"/>
            <w:gridSpan w:val="23"/>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Freescale Semiconductor, Inc.).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3040" w:type="dxa"/>
            <w:vAlign w:val="bottom"/>
            <w:tcBorders>
              <w:bottom w:val="single" w:sz="8" w:color="0000EE"/>
            </w:tcBorders>
            <w:gridSpan w:val="16"/>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Amended and Restated Loan and Security</w:t>
              </w:r>
            </w:hyperlink>
          </w:p>
        </w:tc>
        <w:tc>
          <w:tcPr>
            <w:tcW w:w="260" w:type="dxa"/>
            <w:vAlign w:val="bottom"/>
            <w:gridSpan w:val="7"/>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11/7/2019</w:t>
            </w:r>
          </w:p>
        </w:tc>
      </w:tr>
      <w:tr>
        <w:trPr>
          <w:trHeight w:val="196"/>
        </w:trPr>
        <w:tc>
          <w:tcPr>
            <w:tcW w:w="100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Agreement, dated as of August 5, 2019,</w:t>
              </w:r>
            </w:hyperlink>
          </w:p>
        </w:tc>
        <w:tc>
          <w:tcPr>
            <w:tcW w:w="44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between the registrant and Silicon Valley</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Bank.</w:t>
              </w:r>
            </w:hyperlink>
          </w:p>
        </w:tc>
        <w:tc>
          <w:tcPr>
            <w:tcW w:w="2520" w:type="dxa"/>
            <w:vAlign w:val="bottom"/>
            <w:tcBorders>
              <w:top w:val="single" w:sz="8" w:color="0000EE"/>
            </w:tcBorders>
            <w:gridSpan w:val="12"/>
          </w:tcPr>
          <w:p>
            <w:pPr>
              <w:spacing w:after="0"/>
              <w:rPr>
                <w:sz w:val="17"/>
                <w:szCs w:val="17"/>
                <w:color w:val="auto"/>
              </w:rPr>
            </w:pPr>
          </w:p>
        </w:tc>
        <w:tc>
          <w:tcPr>
            <w:tcW w:w="36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10.8.1</w:t>
            </w:r>
          </w:p>
        </w:tc>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First Amendment to Amended and Restated</w:t>
              </w:r>
            </w:hyperlink>
          </w:p>
        </w:tc>
        <w:tc>
          <w:tcPr>
            <w:tcW w:w="140" w:type="dxa"/>
            <w:vAlign w:val="bottom"/>
            <w:gridSpan w:val="3"/>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9"/>
              </w:rPr>
              <w:t>8/06/2020</w:t>
            </w: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w w:val="97"/>
              </w:rPr>
            </w:pPr>
            <w:hyperlink r:id="rId107">
              <w:r>
                <w:rPr>
                  <w:rFonts w:ascii="Arial" w:cs="Arial" w:eastAsia="Arial" w:hAnsi="Arial"/>
                  <w:sz w:val="18"/>
                  <w:szCs w:val="18"/>
                  <w:color w:val="0000EE"/>
                  <w:w w:val="97"/>
                </w:rPr>
                <w:t>Loan and Security Agreement, dated as of</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240" w:type="dxa"/>
            <w:vAlign w:val="bottom"/>
            <w:gridSpan w:val="11"/>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July 15, 2020, by and between the registrant</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and Silicon Valley Bank.</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2980" w:type="dxa"/>
            <w:vAlign w:val="bottom"/>
            <w:tcBorders>
              <w:bottom w:val="single" w:sz="8" w:color="0000EE"/>
            </w:tcBorders>
            <w:gridSpan w:val="10"/>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Commercial Industrial Lease Agreement,</w:t>
              </w:r>
            </w:hyperlink>
          </w:p>
        </w:tc>
        <w:tc>
          <w:tcPr>
            <w:tcW w:w="320" w:type="dxa"/>
            <w:vAlign w:val="bottom"/>
            <w:gridSpan w:val="10"/>
          </w:tcPr>
          <w:p>
            <w:pPr>
              <w:spacing w:after="0"/>
              <w:rPr>
                <w:sz w:val="17"/>
                <w:szCs w:val="17"/>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00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0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dated as of May 18, 2012 by and between</w:t>
              </w:r>
            </w:hyperlink>
          </w:p>
        </w:tc>
        <w:tc>
          <w:tcPr>
            <w:tcW w:w="2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the registrant and Principal Life Insurance</w:t>
              </w:r>
            </w:hyperlink>
          </w:p>
        </w:tc>
        <w:tc>
          <w:tcPr>
            <w:tcW w:w="2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Company.</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10.9.1</w:t>
            </w:r>
          </w:p>
        </w:tc>
        <w:tc>
          <w:tcPr>
            <w:tcW w:w="3300" w:type="dxa"/>
            <w:vAlign w:val="bottom"/>
            <w:gridSpan w:val="20"/>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Amendment No. 1 to Commercial Industrial</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00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0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Lease Agreement, dated August 12, 2016</w:t>
              </w:r>
            </w:hyperlink>
          </w:p>
        </w:tc>
        <w:tc>
          <w:tcPr>
            <w:tcW w:w="200" w:type="dxa"/>
            <w:vAlign w:val="bottom"/>
            <w:tcBorders>
              <w:top w:val="single" w:sz="8" w:color="0000EE"/>
            </w:tcBorders>
            <w:gridSpan w:val="9"/>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by and between the registrant and Legacy</w:t>
              </w:r>
            </w:hyperlink>
          </w:p>
        </w:tc>
        <w:tc>
          <w:tcPr>
            <w:tcW w:w="30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3300" w:type="dxa"/>
            <w:vAlign w:val="bottom"/>
            <w:gridSpan w:val="20"/>
          </w:tcPr>
          <w:p>
            <w:pPr>
              <w:spacing w:after="0"/>
              <w:rPr>
                <w:rFonts w:ascii="Arial" w:cs="Arial" w:eastAsia="Arial" w:hAnsi="Arial"/>
                <w:sz w:val="18"/>
                <w:szCs w:val="18"/>
                <w:u w:val="single" w:color="auto"/>
                <w:color w:val="0000EE"/>
                <w:w w:val="96"/>
              </w:rPr>
            </w:pPr>
            <w:hyperlink r:id="rId110">
              <w:r>
                <w:rPr>
                  <w:rFonts w:ascii="Arial" w:cs="Arial" w:eastAsia="Arial" w:hAnsi="Arial"/>
                  <w:sz w:val="18"/>
                  <w:szCs w:val="18"/>
                  <w:u w:val="single" w:color="auto"/>
                  <w:color w:val="0000EE"/>
                  <w:w w:val="96"/>
                </w:rPr>
                <w:t>Stonelake JV-T, LLC, successor in interest</w:t>
              </w:r>
            </w:hyperlink>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to Principal Life Insurance Company.</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2840" w:type="dxa"/>
            <w:vAlign w:val="bottom"/>
            <w:tcBorders>
              <w:bottom w:val="single" w:sz="8" w:color="0000EE"/>
            </w:tcBorders>
            <w:gridSpan w:val="6"/>
          </w:tcPr>
          <w:p>
            <w:pPr>
              <w:spacing w:after="0"/>
              <w:rPr>
                <w:rFonts w:ascii="Arial" w:cs="Arial" w:eastAsia="Arial" w:hAnsi="Arial"/>
                <w:sz w:val="18"/>
                <w:szCs w:val="18"/>
                <w:color w:val="0000EE"/>
                <w:w w:val="87"/>
              </w:rPr>
            </w:pPr>
            <w:hyperlink r:id="rId111">
              <w:r>
                <w:rPr>
                  <w:rFonts w:ascii="Arial" w:cs="Arial" w:eastAsia="Arial" w:hAnsi="Arial"/>
                  <w:sz w:val="18"/>
                  <w:szCs w:val="18"/>
                  <w:color w:val="0000EE"/>
                  <w:w w:val="87"/>
                </w:rPr>
                <w:t>Sublease Agreement, dated January 31,</w:t>
              </w:r>
            </w:hyperlink>
          </w:p>
        </w:tc>
        <w:tc>
          <w:tcPr>
            <w:tcW w:w="460" w:type="dxa"/>
            <w:vAlign w:val="bottom"/>
            <w:gridSpan w:val="14"/>
          </w:tcPr>
          <w:p>
            <w:pPr>
              <w:spacing w:after="0"/>
              <w:rPr>
                <w:sz w:val="24"/>
                <w:szCs w:val="24"/>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2017 by and between the registrant and</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NXP USA, Inc. and Consent to of Landlord</w:t>
              </w:r>
            </w:hyperlink>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to Sublease, dated March 10, 2017, by and</w:t>
              </w:r>
            </w:hyperlink>
          </w:p>
        </w:tc>
        <w:tc>
          <w:tcPr>
            <w:tcW w:w="2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3300" w:type="dxa"/>
            <w:vAlign w:val="bottom"/>
            <w:gridSpan w:val="20"/>
          </w:tcPr>
          <w:p>
            <w:pPr>
              <w:spacing w:after="0"/>
              <w:rPr>
                <w:rFonts w:ascii="Arial" w:cs="Arial" w:eastAsia="Arial" w:hAnsi="Arial"/>
                <w:sz w:val="18"/>
                <w:szCs w:val="18"/>
                <w:u w:val="single" w:color="auto"/>
                <w:color w:val="0000EE"/>
                <w:w w:val="99"/>
              </w:rPr>
            </w:pPr>
            <w:hyperlink r:id="rId111">
              <w:r>
                <w:rPr>
                  <w:rFonts w:ascii="Arial" w:cs="Arial" w:eastAsia="Arial" w:hAnsi="Arial"/>
                  <w:sz w:val="18"/>
                  <w:szCs w:val="18"/>
                  <w:u w:val="single" w:color="auto"/>
                  <w:color w:val="0000EE"/>
                  <w:w w:val="99"/>
                </w:rPr>
                <w:t>among the registrant, NXP USA, Inc. and</w:t>
              </w:r>
            </w:hyperlink>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VWP-BV CM 5670, LLC.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10.10.1</w:t>
            </w:r>
          </w:p>
        </w:tc>
        <w:tc>
          <w:tcPr>
            <w:tcW w:w="3020" w:type="dxa"/>
            <w:vAlign w:val="bottom"/>
            <w:tcBorders>
              <w:bottom w:val="single" w:sz="8" w:color="0000EE"/>
            </w:tcBorders>
            <w:gridSpan w:val="12"/>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First Amendment to Sublease Agreement,</w:t>
              </w:r>
            </w:hyperlink>
          </w:p>
        </w:tc>
        <w:tc>
          <w:tcPr>
            <w:tcW w:w="280" w:type="dxa"/>
            <w:vAlign w:val="bottom"/>
            <w:gridSpan w:val="8"/>
          </w:tcPr>
          <w:p>
            <w:pPr>
              <w:spacing w:after="0"/>
              <w:rPr>
                <w:sz w:val="24"/>
                <w:szCs w:val="24"/>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196"/>
        </w:trPr>
        <w:tc>
          <w:tcPr>
            <w:tcW w:w="100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dated February 13, 2017, by and between</w:t>
              </w:r>
            </w:hyperlink>
          </w:p>
        </w:tc>
        <w:tc>
          <w:tcPr>
            <w:tcW w:w="32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the registrant and NXP USA, Inc. and</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Consent of Landlord to Amendment to</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Sublease, dated March 10, 2017, by and</w:t>
              </w:r>
            </w:hyperlink>
          </w:p>
        </w:tc>
        <w:tc>
          <w:tcPr>
            <w:tcW w:w="42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3300" w:type="dxa"/>
            <w:vAlign w:val="bottom"/>
            <w:gridSpan w:val="20"/>
          </w:tcPr>
          <w:p>
            <w:pPr>
              <w:spacing w:after="0"/>
              <w:rPr>
                <w:rFonts w:ascii="Arial" w:cs="Arial" w:eastAsia="Arial" w:hAnsi="Arial"/>
                <w:sz w:val="18"/>
                <w:szCs w:val="18"/>
                <w:u w:val="single" w:color="auto"/>
                <w:color w:val="0000EE"/>
                <w:w w:val="99"/>
              </w:rPr>
            </w:pPr>
            <w:hyperlink r:id="rId112">
              <w:r>
                <w:rPr>
                  <w:rFonts w:ascii="Arial" w:cs="Arial" w:eastAsia="Arial" w:hAnsi="Arial"/>
                  <w:sz w:val="18"/>
                  <w:szCs w:val="18"/>
                  <w:u w:val="single" w:color="auto"/>
                  <w:color w:val="0000EE"/>
                  <w:w w:val="99"/>
                </w:rPr>
                <w:t>among the registrant, NXP USA, Inc. and</w:t>
              </w:r>
            </w:hyperlink>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VWP-BV CM 5670, LLC.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10.10.2</w:t>
            </w:r>
          </w:p>
        </w:tc>
        <w:tc>
          <w:tcPr>
            <w:tcW w:w="3180" w:type="dxa"/>
            <w:vAlign w:val="bottom"/>
            <w:tcBorders>
              <w:bottom w:val="single" w:sz="8" w:color="0000EE"/>
            </w:tcBorders>
            <w:gridSpan w:val="19"/>
          </w:tcPr>
          <w:p>
            <w:pPr>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Second Amendment to Sublease Agreement</w:t>
              </w:r>
            </w:hyperlink>
          </w:p>
        </w:tc>
        <w:tc>
          <w:tcPr>
            <w:tcW w:w="120" w:type="dxa"/>
            <w:vAlign w:val="bottom"/>
          </w:tcPr>
          <w:p>
            <w:pPr>
              <w:spacing w:after="0"/>
              <w:rPr>
                <w:sz w:val="24"/>
                <w:szCs w:val="24"/>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0" w:type="dxa"/>
            <w:vAlign w:val="bottom"/>
          </w:tcPr>
          <w:p>
            <w:pPr>
              <w:jc w:val="right"/>
              <w:spacing w:after="0"/>
              <w:rPr>
                <w:sz w:val="20"/>
                <w:szCs w:val="20"/>
                <w:color w:val="auto"/>
              </w:rPr>
            </w:pPr>
            <w:r>
              <w:rPr>
                <w:rFonts w:ascii="Arial" w:cs="Arial" w:eastAsia="Arial" w:hAnsi="Arial"/>
                <w:sz w:val="18"/>
                <w:szCs w:val="18"/>
                <w:color w:val="auto"/>
              </w:rPr>
              <w:t>3/28/2017</w:t>
            </w:r>
          </w:p>
        </w:tc>
      </w:tr>
      <w:tr>
        <w:trPr>
          <w:trHeight w:val="196"/>
        </w:trPr>
        <w:tc>
          <w:tcPr>
            <w:tcW w:w="100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dated March 2, 2017 by and between the</w:t>
              </w:r>
            </w:hyperlink>
          </w:p>
        </w:tc>
        <w:tc>
          <w:tcPr>
            <w:tcW w:w="36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registrant and NXP USA, Inc. and Consent</w:t>
              </w:r>
            </w:hyperlink>
          </w:p>
        </w:tc>
        <w:tc>
          <w:tcPr>
            <w:tcW w:w="18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of Landlord to Sublease, dated March 10,</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2980" w:type="dxa"/>
            <w:vAlign w:val="bottom"/>
            <w:tcBorders>
              <w:top w:val="single" w:sz="8" w:color="0000EE"/>
            </w:tcBorders>
            <w:gridSpan w:val="10"/>
          </w:tcPr>
          <w:p>
            <w:pPr>
              <w:spacing w:after="0"/>
              <w:rPr>
                <w:rFonts w:ascii="Arial" w:cs="Arial" w:eastAsia="Arial" w:hAnsi="Arial"/>
                <w:sz w:val="18"/>
                <w:szCs w:val="18"/>
                <w:u w:val="single" w:color="auto"/>
                <w:color w:val="0000EE"/>
                <w:w w:val="92"/>
              </w:rPr>
            </w:pPr>
            <w:hyperlink r:id="rId113">
              <w:r>
                <w:rPr>
                  <w:rFonts w:ascii="Arial" w:cs="Arial" w:eastAsia="Arial" w:hAnsi="Arial"/>
                  <w:sz w:val="18"/>
                  <w:szCs w:val="18"/>
                  <w:u w:val="single" w:color="auto"/>
                  <w:color w:val="0000EE"/>
                  <w:w w:val="92"/>
                </w:rPr>
                <w:t>2017, by and among the registrant, NXP</w:t>
              </w:r>
            </w:hyperlink>
          </w:p>
        </w:tc>
        <w:tc>
          <w:tcPr>
            <w:tcW w:w="320" w:type="dxa"/>
            <w:vAlign w:val="bottom"/>
            <w:gridSpan w:val="10"/>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USA, Inc. and VWP-BV CM 5670, LLC.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10.10.3</w:t>
            </w:r>
          </w:p>
        </w:tc>
        <w:tc>
          <w:tcPr>
            <w:tcW w:w="3300" w:type="dxa"/>
            <w:vAlign w:val="bottom"/>
            <w:gridSpan w:val="20"/>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Third Amendment to Sublease Agreement,</w:t>
              </w:r>
            </w:hyperlink>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10.39</w:t>
            </w:r>
          </w:p>
        </w:tc>
        <w:tc>
          <w:tcPr>
            <w:tcW w:w="1000" w:type="dxa"/>
            <w:vAlign w:val="bottom"/>
          </w:tcPr>
          <w:p>
            <w:pPr>
              <w:jc w:val="right"/>
              <w:spacing w:after="0"/>
              <w:rPr>
                <w:sz w:val="20"/>
                <w:szCs w:val="20"/>
                <w:color w:val="auto"/>
              </w:rPr>
            </w:pPr>
            <w:r>
              <w:rPr>
                <w:rFonts w:ascii="Arial" w:cs="Arial" w:eastAsia="Arial" w:hAnsi="Arial"/>
                <w:sz w:val="18"/>
                <w:szCs w:val="18"/>
                <w:color w:val="auto"/>
              </w:rPr>
              <w:t>3/15/2018</w:t>
            </w:r>
          </w:p>
        </w:tc>
      </w:tr>
      <w:tr>
        <w:trPr>
          <w:trHeight w:val="20"/>
        </w:trPr>
        <w:tc>
          <w:tcPr>
            <w:tcW w:w="10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dated October 17, 2017 by and between the</w:t>
              </w:r>
            </w:hyperlink>
          </w:p>
        </w:tc>
        <w:tc>
          <w:tcPr>
            <w:tcW w:w="1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registrant and NXP USA, Inc. and Consent</w:t>
              </w:r>
            </w:hyperlink>
          </w:p>
        </w:tc>
        <w:tc>
          <w:tcPr>
            <w:tcW w:w="18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of Landlord to Sublease, dated March 10,</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2980" w:type="dxa"/>
            <w:vAlign w:val="bottom"/>
            <w:tcBorders>
              <w:top w:val="single" w:sz="8" w:color="0000EE"/>
            </w:tcBorders>
            <w:gridSpan w:val="10"/>
          </w:tcPr>
          <w:p>
            <w:pPr>
              <w:spacing w:after="0"/>
              <w:rPr>
                <w:rFonts w:ascii="Arial" w:cs="Arial" w:eastAsia="Arial" w:hAnsi="Arial"/>
                <w:sz w:val="18"/>
                <w:szCs w:val="18"/>
                <w:u w:val="single" w:color="auto"/>
                <w:color w:val="0000EE"/>
                <w:w w:val="92"/>
              </w:rPr>
            </w:pPr>
            <w:hyperlink r:id="rId114">
              <w:r>
                <w:rPr>
                  <w:rFonts w:ascii="Arial" w:cs="Arial" w:eastAsia="Arial" w:hAnsi="Arial"/>
                  <w:sz w:val="18"/>
                  <w:szCs w:val="18"/>
                  <w:u w:val="single" w:color="auto"/>
                  <w:color w:val="0000EE"/>
                  <w:w w:val="92"/>
                </w:rPr>
                <w:t>2017, by and among the registrant, NXP</w:t>
              </w:r>
            </w:hyperlink>
          </w:p>
        </w:tc>
        <w:tc>
          <w:tcPr>
            <w:tcW w:w="320" w:type="dxa"/>
            <w:vAlign w:val="bottom"/>
            <w:gridSpan w:val="10"/>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USA, Inc. and VWP-BV CM 5670, LLC.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2340" w:type="dxa"/>
            <w:vAlign w:val="bottom"/>
            <w:tcBorders>
              <w:bottom w:val="single" w:sz="8" w:color="0000EE"/>
            </w:tcBorders>
            <w:gridSpan w:val="3"/>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STT-MRAM Joint Development</w:t>
              </w:r>
            </w:hyperlink>
          </w:p>
        </w:tc>
        <w:tc>
          <w:tcPr>
            <w:tcW w:w="960" w:type="dxa"/>
            <w:vAlign w:val="bottom"/>
            <w:gridSpan w:val="17"/>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00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00" w:type="dxa"/>
            <w:vAlign w:val="bottom"/>
          </w:tcPr>
          <w:p>
            <w:pPr>
              <w:spacing w:after="0"/>
              <w:rPr>
                <w:sz w:val="17"/>
                <w:szCs w:val="17"/>
                <w:color w:val="auto"/>
              </w:rPr>
            </w:pPr>
          </w:p>
        </w:tc>
        <w:tc>
          <w:tcPr>
            <w:tcW w:w="3300" w:type="dxa"/>
            <w:vAlign w:val="bottom"/>
            <w:gridSpan w:val="20"/>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Agreement, dated as of October 17, 2014 by</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and between the registrant and</w:t>
              </w:r>
            </w:hyperlink>
          </w:p>
        </w:tc>
        <w:tc>
          <w:tcPr>
            <w:tcW w:w="980" w:type="dxa"/>
            <w:vAlign w:val="bottom"/>
            <w:tcBorders>
              <w:top w:val="single" w:sz="8" w:color="0000EE"/>
            </w:tcBorders>
            <w:gridSpan w:val="17"/>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GLOBALFOUNDRIES Inc.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10.11.1+</w:t>
            </w:r>
          </w:p>
        </w:tc>
        <w:tc>
          <w:tcPr>
            <w:tcW w:w="3160" w:type="dxa"/>
            <w:vAlign w:val="bottom"/>
            <w:tcBorders>
              <w:bottom w:val="single" w:sz="8" w:color="0000EE"/>
            </w:tcBorders>
            <w:gridSpan w:val="18"/>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Amendment No. 1 to the STT-MRAM Joint</w:t>
              </w:r>
            </w:hyperlink>
          </w:p>
        </w:tc>
        <w:tc>
          <w:tcPr>
            <w:tcW w:w="140" w:type="dxa"/>
            <w:vAlign w:val="bottom"/>
            <w:gridSpan w:val="2"/>
          </w:tcPr>
          <w:p>
            <w:pPr>
              <w:spacing w:after="0"/>
              <w:rPr>
                <w:sz w:val="24"/>
                <w:szCs w:val="24"/>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000" w:type="dxa"/>
            <w:vAlign w:val="bottom"/>
          </w:tcPr>
          <w:p>
            <w:pPr>
              <w:jc w:val="right"/>
              <w:spacing w:after="0"/>
              <w:rPr>
                <w:sz w:val="20"/>
                <w:szCs w:val="20"/>
                <w:color w:val="auto"/>
              </w:rPr>
            </w:pPr>
            <w:r>
              <w:rPr>
                <w:rFonts w:ascii="Arial" w:cs="Arial" w:eastAsia="Arial" w:hAnsi="Arial"/>
                <w:sz w:val="18"/>
                <w:szCs w:val="18"/>
                <w:color w:val="auto"/>
              </w:rPr>
              <w:t>9/09/2016</w:t>
            </w:r>
          </w:p>
        </w:tc>
      </w:tr>
      <w:tr>
        <w:trPr>
          <w:trHeight w:val="196"/>
        </w:trPr>
        <w:tc>
          <w:tcPr>
            <w:tcW w:w="100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Development Agreement, dated as of May</w:t>
              </w:r>
            </w:hyperlink>
          </w:p>
        </w:tc>
        <w:tc>
          <w:tcPr>
            <w:tcW w:w="2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1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27, 2016 by and between the registrant and</w:t>
              </w:r>
            </w:hyperlink>
          </w:p>
        </w:tc>
        <w:tc>
          <w:tcPr>
            <w:tcW w:w="2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GLOBALFOUNDRIES Inc.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10.11.2*</w:t>
            </w:r>
          </w:p>
        </w:tc>
        <w:tc>
          <w:tcPr>
            <w:tcW w:w="31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Amendment No. 2 to the STT-MRAM Joint</w:t>
              </w:r>
            </w:hyperlink>
          </w:p>
        </w:tc>
        <w:tc>
          <w:tcPr>
            <w:tcW w:w="1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Development Agreement, effective as of</w:t>
              </w:r>
            </w:hyperlink>
          </w:p>
        </w:tc>
        <w:tc>
          <w:tcPr>
            <w:tcW w:w="38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July 25, 2017 by and between the registrant</w:t>
              </w:r>
            </w:hyperlink>
          </w:p>
        </w:tc>
        <w:tc>
          <w:tcPr>
            <w:tcW w:w="1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1000" w:type="dxa"/>
            <w:vAlign w:val="bottom"/>
          </w:tcPr>
          <w:p>
            <w:pPr>
              <w:spacing w:after="0"/>
              <w:rPr>
                <w:sz w:val="20"/>
                <w:szCs w:val="20"/>
                <w:color w:val="auto"/>
              </w:rPr>
            </w:pPr>
          </w:p>
        </w:tc>
        <w:tc>
          <w:tcPr>
            <w:tcW w:w="3300" w:type="dxa"/>
            <w:vAlign w:val="bottom"/>
            <w:gridSpan w:val="20"/>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and GLOBALFOUNDRIES Inc.</w:t>
              </w:r>
            </w:hyperlink>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10.11.3+</w:t>
            </w:r>
          </w:p>
        </w:tc>
        <w:tc>
          <w:tcPr>
            <w:tcW w:w="3160" w:type="dxa"/>
            <w:vAlign w:val="bottom"/>
            <w:tcBorders>
              <w:bottom w:val="single" w:sz="8" w:color="0000EE"/>
            </w:tcBorders>
            <w:gridSpan w:val="24"/>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Amendment No. 3 to the STT-MRAM Joint</w:t>
              </w:r>
            </w:hyperlink>
          </w:p>
        </w:tc>
        <w:tc>
          <w:tcPr>
            <w:tcW w:w="120" w:type="dxa"/>
            <w:vAlign w:val="bottom"/>
            <w:gridSpan w:val="2"/>
          </w:tcPr>
          <w:p>
            <w:pPr>
              <w:spacing w:after="0"/>
              <w:rPr>
                <w:sz w:val="17"/>
                <w:szCs w:val="17"/>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3/15/2019</w:t>
            </w:r>
          </w:p>
        </w:tc>
      </w:tr>
      <w:tr>
        <w:trPr>
          <w:trHeight w:val="196"/>
        </w:trPr>
        <w:tc>
          <w:tcPr>
            <w:tcW w:w="100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Development Agreement, effective as of</w:t>
              </w:r>
            </w:hyperlink>
          </w:p>
        </w:tc>
        <w:tc>
          <w:tcPr>
            <w:tcW w:w="3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r:id="rId118">
              <w:r>
                <w:rPr>
                  <w:rFonts w:ascii="Arial" w:cs="Arial" w:eastAsia="Arial" w:hAnsi="Arial"/>
                  <w:sz w:val="18"/>
                  <w:szCs w:val="18"/>
                  <w:color w:val="0000EE"/>
                  <w:w w:val="87"/>
                </w:rPr>
                <w:t>January 1, 2018 by and between the</w:t>
              </w:r>
            </w:hyperlink>
          </w:p>
        </w:tc>
        <w:tc>
          <w:tcPr>
            <w:tcW w:w="700" w:type="dxa"/>
            <w:vAlign w:val="bottom"/>
            <w:gridSpan w:val="17"/>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280" w:type="dxa"/>
            <w:vAlign w:val="bottom"/>
            <w:gridSpan w:val="26"/>
          </w:tcPr>
          <w:p>
            <w:pPr>
              <w:spacing w:after="0"/>
              <w:rPr>
                <w:rFonts w:ascii="Arial" w:cs="Arial" w:eastAsia="Arial" w:hAnsi="Arial"/>
                <w:sz w:val="18"/>
                <w:szCs w:val="18"/>
                <w:u w:val="single" w:color="auto"/>
                <w:color w:val="0000EE"/>
                <w:w w:val="99"/>
              </w:rPr>
            </w:pPr>
            <w:hyperlink r:id="rId118">
              <w:r>
                <w:rPr>
                  <w:rFonts w:ascii="Arial" w:cs="Arial" w:eastAsia="Arial" w:hAnsi="Arial"/>
                  <w:sz w:val="18"/>
                  <w:szCs w:val="18"/>
                  <w:u w:val="single" w:color="auto"/>
                  <w:color w:val="0000EE"/>
                  <w:w w:val="99"/>
                </w:rPr>
                <w:t>registrant and GLOBALFOUNDRIES Inc.</w:t>
              </w:r>
            </w:hyperlink>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10.11.4*</w:t>
            </w:r>
          </w:p>
        </w:tc>
        <w:tc>
          <w:tcPr>
            <w:tcW w:w="31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Amendment No. 4 to the STT-MRAM Joint</w:t>
              </w:r>
            </w:hyperlink>
          </w:p>
        </w:tc>
        <w:tc>
          <w:tcPr>
            <w:tcW w:w="1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Development Agreement, effective as of</w:t>
              </w:r>
            </w:hyperlink>
          </w:p>
        </w:tc>
        <w:tc>
          <w:tcPr>
            <w:tcW w:w="3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December 31, 2019 by and between the</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3280" w:type="dxa"/>
            <w:vAlign w:val="bottom"/>
            <w:gridSpan w:val="26"/>
          </w:tcPr>
          <w:p>
            <w:pPr>
              <w:spacing w:after="0"/>
              <w:rPr>
                <w:rFonts w:ascii="Arial" w:cs="Arial" w:eastAsia="Arial" w:hAnsi="Arial"/>
                <w:sz w:val="18"/>
                <w:szCs w:val="18"/>
                <w:u w:val="single" w:color="auto"/>
                <w:color w:val="0000EE"/>
                <w:w w:val="98"/>
              </w:rPr>
            </w:pPr>
            <w:hyperlink w:anchor="page85">
              <w:r>
                <w:rPr>
                  <w:rFonts w:ascii="Arial" w:cs="Arial" w:eastAsia="Arial" w:hAnsi="Arial"/>
                  <w:sz w:val="18"/>
                  <w:szCs w:val="18"/>
                  <w:u w:val="single" w:color="auto"/>
                  <w:color w:val="0000EE"/>
                  <w:w w:val="98"/>
                </w:rPr>
                <w:t>registrant and GLOBALFOUNDRIES, Inc.</w:t>
              </w:r>
            </w:hyperlink>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2840" w:type="dxa"/>
            <w:vAlign w:val="bottom"/>
            <w:tcBorders>
              <w:bottom w:val="single" w:sz="8" w:color="0000EE"/>
            </w:tcBorders>
            <w:gridSpan w:val="14"/>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Manufacturing Agreement, dated as of</w:t>
              </w:r>
            </w:hyperlink>
          </w:p>
        </w:tc>
        <w:tc>
          <w:tcPr>
            <w:tcW w:w="440" w:type="dxa"/>
            <w:vAlign w:val="bottom"/>
            <w:gridSpan w:val="12"/>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9/09/2016</w:t>
            </w:r>
          </w:p>
        </w:tc>
      </w:tr>
      <w:tr>
        <w:trPr>
          <w:trHeight w:val="196"/>
        </w:trPr>
        <w:tc>
          <w:tcPr>
            <w:tcW w:w="1000" w:type="dxa"/>
            <w:vAlign w:val="bottom"/>
          </w:tcPr>
          <w:p>
            <w:pPr>
              <w:spacing w:after="0"/>
              <w:rPr>
                <w:sz w:val="17"/>
                <w:szCs w:val="17"/>
                <w:color w:val="auto"/>
              </w:rPr>
            </w:pPr>
          </w:p>
        </w:tc>
        <w:tc>
          <w:tcPr>
            <w:tcW w:w="328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October 23, 2014 by and between the</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78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registrant and GLOBALFOUNDRIES</w:t>
              </w:r>
            </w:hyperlink>
          </w:p>
        </w:tc>
        <w:tc>
          <w:tcPr>
            <w:tcW w:w="50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Singapore Pte. Ltd.</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3280" w:type="dxa"/>
            <w:vAlign w:val="bottom"/>
            <w:gridSpan w:val="26"/>
          </w:tcPr>
          <w:p>
            <w:pPr>
              <w:spacing w:after="0"/>
              <w:rPr>
                <w:rFonts w:ascii="Arial" w:cs="Arial" w:eastAsia="Arial" w:hAnsi="Arial"/>
                <w:sz w:val="18"/>
                <w:szCs w:val="18"/>
                <w:color w:val="0000EE"/>
              </w:rPr>
            </w:pPr>
            <w:hyperlink r:id="rId120">
              <w:r>
                <w:rPr>
                  <w:rFonts w:ascii="Arial" w:cs="Arial" w:eastAsia="Arial" w:hAnsi="Arial"/>
                  <w:sz w:val="18"/>
                  <w:szCs w:val="18"/>
                  <w:color w:val="0000EE"/>
                </w:rPr>
                <w:t>Restricted Stock Purchase Agreement,</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9/09/2016</w:t>
            </w:r>
          </w:p>
        </w:tc>
      </w:tr>
      <w:tr>
        <w:trPr>
          <w:trHeight w:val="196"/>
        </w:trPr>
        <w:tc>
          <w:tcPr>
            <w:tcW w:w="1000" w:type="dxa"/>
            <w:vAlign w:val="bottom"/>
          </w:tcPr>
          <w:p>
            <w:pPr>
              <w:spacing w:after="0"/>
              <w:rPr>
                <w:sz w:val="17"/>
                <w:szCs w:val="17"/>
                <w:color w:val="auto"/>
              </w:rPr>
            </w:pPr>
          </w:p>
        </w:tc>
        <w:tc>
          <w:tcPr>
            <w:tcW w:w="276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dated as of October 21, 2014 by and</w:t>
              </w:r>
            </w:hyperlink>
          </w:p>
        </w:tc>
        <w:tc>
          <w:tcPr>
            <w:tcW w:w="52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between the registrant and</w:t>
              </w:r>
            </w:hyperlink>
          </w:p>
        </w:tc>
        <w:tc>
          <w:tcPr>
            <w:tcW w:w="68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3280" w:type="dxa"/>
            <w:vAlign w:val="bottom"/>
            <w:gridSpan w:val="26"/>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GLOBALFOUNDRIES Inc.</w:t>
              </w:r>
            </w:hyperlink>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3140" w:type="dxa"/>
            <w:vAlign w:val="bottom"/>
            <w:tcBorders>
              <w:bottom w:val="single" w:sz="8" w:color="0000EE"/>
            </w:tcBorders>
            <w:gridSpan w:val="23"/>
          </w:tcPr>
          <w:p>
            <w:pPr>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Common Stock Purchase Agreement, dated</w:t>
              </w:r>
            </w:hyperlink>
          </w:p>
        </w:tc>
        <w:tc>
          <w:tcPr>
            <w:tcW w:w="140" w:type="dxa"/>
            <w:vAlign w:val="bottom"/>
            <w:gridSpan w:val="3"/>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333-213569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9/26/2016</w:t>
            </w:r>
          </w:p>
        </w:tc>
      </w:tr>
      <w:tr>
        <w:trPr>
          <w:trHeight w:val="196"/>
        </w:trPr>
        <w:tc>
          <w:tcPr>
            <w:tcW w:w="1000" w:type="dxa"/>
            <w:vAlign w:val="bottom"/>
          </w:tcPr>
          <w:p>
            <w:pPr>
              <w:spacing w:after="0"/>
              <w:rPr>
                <w:sz w:val="17"/>
                <w:szCs w:val="17"/>
                <w:color w:val="auto"/>
              </w:rPr>
            </w:pPr>
          </w:p>
        </w:tc>
        <w:tc>
          <w:tcPr>
            <w:tcW w:w="3280" w:type="dxa"/>
            <w:vAlign w:val="bottom"/>
            <w:gridSpan w:val="26"/>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as of September 23, 2016 by and between</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the registrant and GigaDevice (HK)</w:t>
              </w:r>
            </w:hyperlink>
          </w:p>
        </w:tc>
        <w:tc>
          <w:tcPr>
            <w:tcW w:w="420" w:type="dxa"/>
            <w:vAlign w:val="bottom"/>
            <w:tcBorders>
              <w:top w:val="single" w:sz="8" w:color="0000EE"/>
            </w:tcBorders>
            <w:gridSpan w:val="11"/>
          </w:tcPr>
          <w:p>
            <w:pPr>
              <w:spacing w:after="0"/>
              <w:rPr>
                <w:sz w:val="17"/>
                <w:szCs w:val="17"/>
                <w:color w:val="auto"/>
              </w:rPr>
            </w:pPr>
          </w:p>
        </w:tc>
        <w:tc>
          <w:tcPr>
            <w:tcW w:w="2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Limited.</w:t>
              </w:r>
            </w:hyperlink>
          </w:p>
        </w:tc>
        <w:tc>
          <w:tcPr>
            <w:tcW w:w="2660" w:type="dxa"/>
            <w:vAlign w:val="bottom"/>
            <w:gridSpan w:val="23"/>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3280" w:type="dxa"/>
            <w:vAlign w:val="bottom"/>
            <w:gridSpan w:val="26"/>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Non-employee Director Compensation.</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8/7/2019</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3280" w:type="dxa"/>
            <w:vAlign w:val="bottom"/>
            <w:gridSpan w:val="26"/>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Compensation arrangements with certain</w:t>
              </w:r>
            </w:hyperlink>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ind w:left="320"/>
              <w:spacing w:after="0"/>
              <w:rPr>
                <w:sz w:val="20"/>
                <w:szCs w:val="20"/>
                <w:color w:val="auto"/>
              </w:rPr>
            </w:pPr>
            <w:r>
              <w:rPr>
                <w:rFonts w:ascii="Arial" w:cs="Arial" w:eastAsia="Arial" w:hAnsi="Arial"/>
                <w:sz w:val="18"/>
                <w:szCs w:val="18"/>
                <w:color w:val="auto"/>
              </w:rPr>
              <w:t>Item</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2/20/2020</w:t>
            </w:r>
          </w:p>
        </w:tc>
      </w:tr>
      <w:tr>
        <w:trPr>
          <w:trHeight w:val="196"/>
        </w:trPr>
        <w:tc>
          <w:tcPr>
            <w:tcW w:w="1000" w:type="dxa"/>
            <w:vAlign w:val="bottom"/>
          </w:tcPr>
          <w:p>
            <w:pPr>
              <w:spacing w:after="0"/>
              <w:rPr>
                <w:sz w:val="17"/>
                <w:szCs w:val="17"/>
                <w:color w:val="auto"/>
              </w:rPr>
            </w:pPr>
          </w:p>
        </w:tc>
        <w:tc>
          <w:tcPr>
            <w:tcW w:w="2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executive officers.</w:t>
              </w:r>
            </w:hyperlink>
          </w:p>
        </w:tc>
        <w:tc>
          <w:tcPr>
            <w:tcW w:w="34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5"/>
              </w:rPr>
              <w:t>5.02</w:t>
            </w: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10.17†</w:t>
            </w:r>
          </w:p>
        </w:tc>
        <w:tc>
          <w:tcPr>
            <w:tcW w:w="3020" w:type="dxa"/>
            <w:vAlign w:val="bottom"/>
            <w:tcBorders>
              <w:bottom w:val="single" w:sz="8" w:color="0000EE"/>
            </w:tcBorders>
            <w:gridSpan w:val="21"/>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Executive Employment Agreement, dated</w:t>
              </w:r>
            </w:hyperlink>
          </w:p>
        </w:tc>
        <w:tc>
          <w:tcPr>
            <w:tcW w:w="260" w:type="dxa"/>
            <w:vAlign w:val="bottom"/>
            <w:gridSpan w:val="5"/>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3/29/2017</w:t>
            </w: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as of April 25, 2016 by and between the</w:t>
              </w:r>
            </w:hyperlink>
          </w:p>
        </w:tc>
        <w:tc>
          <w:tcPr>
            <w:tcW w:w="3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1000" w:type="dxa"/>
            <w:vAlign w:val="bottom"/>
          </w:tcPr>
          <w:p>
            <w:pPr>
              <w:spacing w:after="0"/>
              <w:rPr>
                <w:sz w:val="20"/>
                <w:szCs w:val="20"/>
                <w:color w:val="auto"/>
              </w:rPr>
            </w:pPr>
          </w:p>
        </w:tc>
        <w:tc>
          <w:tcPr>
            <w:tcW w:w="3280" w:type="dxa"/>
            <w:vAlign w:val="bottom"/>
            <w:gridSpan w:val="26"/>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registrant and Dr. Jon Slaughter.</w:t>
              </w:r>
            </w:hyperlink>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10.18†</w:t>
            </w:r>
          </w:p>
        </w:tc>
        <w:tc>
          <w:tcPr>
            <w:tcW w:w="3020" w:type="dxa"/>
            <w:vAlign w:val="bottom"/>
            <w:tcBorders>
              <w:bottom w:val="single" w:sz="8" w:color="0000EE"/>
            </w:tcBorders>
            <w:gridSpan w:val="21"/>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Executive Employment Agreement, dated</w:t>
              </w:r>
            </w:hyperlink>
          </w:p>
        </w:tc>
        <w:tc>
          <w:tcPr>
            <w:tcW w:w="260" w:type="dxa"/>
            <w:vAlign w:val="bottom"/>
            <w:gridSpan w:val="5"/>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5/8/2019</w:t>
            </w: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as of April 25, 2016 by and between the</w:t>
              </w:r>
            </w:hyperlink>
          </w:p>
        </w:tc>
        <w:tc>
          <w:tcPr>
            <w:tcW w:w="3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registrant and Jeff Winzeler.</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28"/>
        </w:trPr>
        <w:tc>
          <w:tcPr>
            <w:tcW w:w="1000" w:type="dxa"/>
            <w:vAlign w:val="bottom"/>
          </w:tcPr>
          <w:p>
            <w:pPr>
              <w:spacing w:after="0"/>
              <w:rPr>
                <w:sz w:val="20"/>
                <w:szCs w:val="20"/>
                <w:color w:val="auto"/>
              </w:rPr>
            </w:pPr>
            <w:r>
              <w:rPr>
                <w:rFonts w:ascii="Arial" w:cs="Arial" w:eastAsia="Arial" w:hAnsi="Arial"/>
                <w:sz w:val="18"/>
                <w:szCs w:val="18"/>
                <w:color w:val="auto"/>
              </w:rPr>
              <w:t>10.19†</w:t>
            </w:r>
          </w:p>
        </w:tc>
        <w:tc>
          <w:tcPr>
            <w:tcW w:w="3020" w:type="dxa"/>
            <w:vAlign w:val="bottom"/>
            <w:tcBorders>
              <w:bottom w:val="single" w:sz="8" w:color="0000EE"/>
            </w:tcBorders>
            <w:gridSpan w:val="21"/>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Executive Employment Agreement, dated</w:t>
              </w:r>
            </w:hyperlink>
          </w:p>
        </w:tc>
        <w:tc>
          <w:tcPr>
            <w:tcW w:w="260" w:type="dxa"/>
            <w:vAlign w:val="bottom"/>
            <w:gridSpan w:val="5"/>
          </w:tcPr>
          <w:p>
            <w:pPr>
              <w:spacing w:after="0"/>
              <w:rPr>
                <w:sz w:val="24"/>
                <w:szCs w:val="24"/>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8/23/2017</w:t>
            </w:r>
          </w:p>
        </w:tc>
      </w:tr>
      <w:tr>
        <w:trPr>
          <w:trHeight w:val="196"/>
        </w:trPr>
        <w:tc>
          <w:tcPr>
            <w:tcW w:w="1000" w:type="dxa"/>
            <w:vAlign w:val="bottom"/>
          </w:tcPr>
          <w:p>
            <w:pPr>
              <w:spacing w:after="0"/>
              <w:rPr>
                <w:sz w:val="17"/>
                <w:szCs w:val="17"/>
                <w:color w:val="auto"/>
              </w:rPr>
            </w:pPr>
          </w:p>
        </w:tc>
        <w:tc>
          <w:tcPr>
            <w:tcW w:w="3280" w:type="dxa"/>
            <w:vAlign w:val="bottom"/>
            <w:gridSpan w:val="26"/>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as of August 18, 2017 between the</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248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registrant and Kevin Conley.</w:t>
              </w:r>
            </w:hyperlink>
          </w:p>
        </w:tc>
        <w:tc>
          <w:tcPr>
            <w:tcW w:w="800" w:type="dxa"/>
            <w:vAlign w:val="bottom"/>
            <w:gridSpan w:val="18"/>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10.20†</w:t>
            </w:r>
          </w:p>
        </w:tc>
        <w:tc>
          <w:tcPr>
            <w:tcW w:w="3280" w:type="dxa"/>
            <w:vAlign w:val="bottom"/>
            <w:gridSpan w:val="26"/>
          </w:tcPr>
          <w:p>
            <w:pPr>
              <w:spacing w:after="0"/>
              <w:rPr>
                <w:rFonts w:ascii="Arial" w:cs="Arial" w:eastAsia="Arial" w:hAnsi="Arial"/>
                <w:sz w:val="18"/>
                <w:szCs w:val="18"/>
                <w:color w:val="0000EE"/>
                <w:w w:val="97"/>
              </w:rPr>
            </w:pPr>
            <w:hyperlink r:id="rId127">
              <w:r>
                <w:rPr>
                  <w:rFonts w:ascii="Arial" w:cs="Arial" w:eastAsia="Arial" w:hAnsi="Arial"/>
                  <w:sz w:val="18"/>
                  <w:szCs w:val="18"/>
                  <w:color w:val="0000EE"/>
                  <w:w w:val="97"/>
                </w:rPr>
                <w:t>Offer Letter, dated as of March 6, 2019 by</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5/8/2019</w:t>
            </w:r>
          </w:p>
        </w:tc>
      </w:tr>
      <w:tr>
        <w:trPr>
          <w:trHeight w:val="196"/>
        </w:trPr>
        <w:tc>
          <w:tcPr>
            <w:tcW w:w="1000" w:type="dxa"/>
            <w:vAlign w:val="bottom"/>
          </w:tcPr>
          <w:p>
            <w:pPr>
              <w:spacing w:after="0"/>
              <w:rPr>
                <w:sz w:val="17"/>
                <w:szCs w:val="17"/>
                <w:color w:val="auto"/>
              </w:rPr>
            </w:pPr>
          </w:p>
        </w:tc>
        <w:tc>
          <w:tcPr>
            <w:tcW w:w="3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and between the registrant and Troy</w:t>
              </w:r>
            </w:hyperlink>
          </w:p>
        </w:tc>
        <w:tc>
          <w:tcPr>
            <w:tcW w:w="24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Winslow.</w:t>
              </w:r>
            </w:hyperlink>
          </w:p>
        </w:tc>
        <w:tc>
          <w:tcPr>
            <w:tcW w:w="1900" w:type="dxa"/>
            <w:vAlign w:val="bottom"/>
            <w:tcBorders>
              <w:top w:val="single" w:sz="8" w:color="0000EE"/>
            </w:tcBorders>
            <w:gridSpan w:val="5"/>
          </w:tcPr>
          <w:p>
            <w:pPr>
              <w:spacing w:after="0"/>
              <w:rPr>
                <w:sz w:val="17"/>
                <w:szCs w:val="17"/>
                <w:color w:val="auto"/>
              </w:rPr>
            </w:pPr>
          </w:p>
        </w:tc>
        <w:tc>
          <w:tcPr>
            <w:tcW w:w="700" w:type="dxa"/>
            <w:vAlign w:val="bottom"/>
            <w:gridSpan w:val="17"/>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3280" w:type="dxa"/>
            <w:vAlign w:val="bottom"/>
            <w:gridSpan w:val="26"/>
          </w:tcPr>
          <w:p>
            <w:pPr>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Offer Letter, dated as of July 10, 2019 by</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10.35</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3/13/2020</w:t>
            </w:r>
          </w:p>
        </w:tc>
      </w:tr>
      <w:tr>
        <w:trPr>
          <w:trHeight w:val="196"/>
        </w:trPr>
        <w:tc>
          <w:tcPr>
            <w:tcW w:w="10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and between the registrant and Matthew</w:t>
              </w:r>
            </w:hyperlink>
          </w:p>
        </w:tc>
        <w:tc>
          <w:tcPr>
            <w:tcW w:w="80" w:type="dxa"/>
            <w:vAlign w:val="bottom"/>
            <w:tcBorders>
              <w:top w:val="single" w:sz="8" w:color="0000EE"/>
            </w:tcBorders>
            <w:gridSpan w:val="4"/>
          </w:tcPr>
          <w:p>
            <w:pPr>
              <w:spacing w:after="0"/>
              <w:rPr>
                <w:sz w:val="17"/>
                <w:szCs w:val="17"/>
                <w:color w:val="auto"/>
              </w:rPr>
            </w:pPr>
          </w:p>
        </w:tc>
        <w:tc>
          <w:tcPr>
            <w:tcW w:w="32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Tenorio.</w:t>
              </w:r>
            </w:hyperlink>
          </w:p>
        </w:tc>
        <w:tc>
          <w:tcPr>
            <w:tcW w:w="268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3180" w:type="dxa"/>
            <w:vAlign w:val="bottom"/>
            <w:tcBorders>
              <w:bottom w:val="single" w:sz="8" w:color="0000EE"/>
            </w:tcBorders>
            <w:gridSpan w:val="25"/>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Executive Severance and Change in Control</w:t>
              </w:r>
            </w:hyperlink>
          </w:p>
        </w:tc>
        <w:tc>
          <w:tcPr>
            <w:tcW w:w="100" w:type="dxa"/>
            <w:vAlign w:val="bottom"/>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3/13/2020</w:t>
            </w:r>
          </w:p>
        </w:tc>
      </w:tr>
      <w:tr>
        <w:trPr>
          <w:trHeight w:val="196"/>
        </w:trPr>
        <w:tc>
          <w:tcPr>
            <w:tcW w:w="10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29">
              <w:r>
                <w:rPr>
                  <w:rFonts w:ascii="Arial" w:cs="Arial" w:eastAsia="Arial" w:hAnsi="Arial"/>
                  <w:sz w:val="18"/>
                  <w:szCs w:val="18"/>
                  <w:color w:val="0000EE"/>
                  <w:w w:val="82"/>
                </w:rPr>
                <w:t>Plan.</w:t>
              </w:r>
            </w:hyperlink>
          </w:p>
        </w:tc>
        <w:tc>
          <w:tcPr>
            <w:tcW w:w="292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2900" w:type="dxa"/>
            <w:vAlign w:val="bottom"/>
            <w:tcBorders>
              <w:bottom w:val="single" w:sz="8" w:color="0000EE"/>
            </w:tcBorders>
            <w:gridSpan w:val="13"/>
          </w:tcPr>
          <w:p>
            <w:pPr>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Separation Agreement, dated January 8,</w:t>
              </w:r>
            </w:hyperlink>
          </w:p>
        </w:tc>
        <w:tc>
          <w:tcPr>
            <w:tcW w:w="380" w:type="dxa"/>
            <w:vAlign w:val="bottom"/>
            <w:gridSpan w:val="8"/>
          </w:tcPr>
          <w:p>
            <w:pPr>
              <w:spacing w:after="0"/>
              <w:rPr>
                <w:sz w:val="17"/>
                <w:szCs w:val="17"/>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10-Q</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001-37900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5/08/2020</w:t>
            </w:r>
          </w:p>
        </w:tc>
      </w:tr>
      <w:tr>
        <w:trPr>
          <w:trHeight w:val="196"/>
        </w:trPr>
        <w:tc>
          <w:tcPr>
            <w:tcW w:w="100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2020, by and between the registrant and</w:t>
              </w:r>
            </w:hyperlink>
          </w:p>
        </w:tc>
        <w:tc>
          <w:tcPr>
            <w:tcW w:w="4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Jeffrey Winzeler.</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3280" w:type="dxa"/>
            <w:vAlign w:val="bottom"/>
            <w:gridSpan w:val="21"/>
          </w:tcPr>
          <w:p>
            <w:pPr>
              <w:spacing w:after="0"/>
              <w:rPr>
                <w:rFonts w:ascii="Arial" w:cs="Arial" w:eastAsia="Arial" w:hAnsi="Arial"/>
                <w:sz w:val="18"/>
                <w:szCs w:val="18"/>
                <w:color w:val="0000EE"/>
              </w:rPr>
            </w:pPr>
            <w:hyperlink r:id="rId132">
              <w:r>
                <w:rPr>
                  <w:rFonts w:ascii="Arial" w:cs="Arial" w:eastAsia="Arial" w:hAnsi="Arial"/>
                  <w:sz w:val="18"/>
                  <w:szCs w:val="18"/>
                  <w:color w:val="0000EE"/>
                </w:rPr>
                <w:t>Offer Letter, dated June 5, 2020, by and</w:t>
              </w:r>
            </w:hyperlink>
          </w:p>
        </w:tc>
        <w:tc>
          <w:tcPr>
            <w:tcW w:w="820" w:type="dxa"/>
            <w:vAlign w:val="bottom"/>
          </w:tcPr>
          <w:p>
            <w:pPr>
              <w:ind w:left="120"/>
              <w:spacing w:after="0"/>
              <w:rPr>
                <w:sz w:val="20"/>
                <w:szCs w:val="20"/>
                <w:color w:val="auto"/>
              </w:rPr>
            </w:pPr>
            <w:r>
              <w:rPr>
                <w:rFonts w:ascii="Arial" w:cs="Arial" w:eastAsia="Arial" w:hAnsi="Arial"/>
                <w:sz w:val="18"/>
                <w:szCs w:val="18"/>
                <w:color w:val="auto"/>
              </w:rPr>
              <w:t>10-Q</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001-37900</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8/06/2020</w:t>
            </w:r>
          </w:p>
        </w:tc>
      </w:tr>
      <w:tr>
        <w:trPr>
          <w:trHeight w:val="196"/>
        </w:trPr>
        <w:tc>
          <w:tcPr>
            <w:tcW w:w="100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between the registrant and Daniel</w:t>
              </w:r>
            </w:hyperlink>
          </w:p>
        </w:tc>
        <w:tc>
          <w:tcPr>
            <w:tcW w:w="440" w:type="dxa"/>
            <w:vAlign w:val="bottom"/>
            <w:tcBorders>
              <w:top w:val="single" w:sz="8" w:color="0000EE"/>
            </w:tcBorders>
            <w:gridSpan w:val="4"/>
          </w:tcPr>
          <w:p>
            <w:pPr>
              <w:spacing w:after="0"/>
              <w:rPr>
                <w:sz w:val="17"/>
                <w:szCs w:val="17"/>
                <w:color w:val="auto"/>
              </w:rPr>
            </w:pPr>
          </w:p>
        </w:tc>
        <w:tc>
          <w:tcPr>
            <w:tcW w:w="42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Berenbaum.</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30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Separation Agreement and Release, dated</w:t>
              </w:r>
            </w:hyperlink>
          </w:p>
        </w:tc>
        <w:tc>
          <w:tcPr>
            <w:tcW w:w="28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December 22, 2020, by and between the</w:t>
              </w:r>
            </w:hyperlink>
          </w:p>
        </w:tc>
        <w:tc>
          <w:tcPr>
            <w:tcW w:w="3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1000" w:type="dxa"/>
            <w:vAlign w:val="bottom"/>
          </w:tcPr>
          <w:p>
            <w:pPr>
              <w:spacing w:after="0"/>
              <w:rPr>
                <w:sz w:val="20"/>
                <w:szCs w:val="20"/>
                <w:color w:val="auto"/>
              </w:rPr>
            </w:pPr>
          </w:p>
        </w:tc>
        <w:tc>
          <w:tcPr>
            <w:tcW w:w="3280" w:type="dxa"/>
            <w:vAlign w:val="bottom"/>
            <w:gridSpan w:val="21"/>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registrant and Kevin Conley.</w:t>
              </w:r>
            </w:hyperlink>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30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Offer Letter, dated December 30, 2020, by</w:t>
              </w:r>
            </w:hyperlink>
          </w:p>
        </w:tc>
        <w:tc>
          <w:tcPr>
            <w:tcW w:w="2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and between the registrant and Darin</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Billerbeck.</w:t>
              </w:r>
            </w:hyperlink>
          </w:p>
        </w:tc>
        <w:tc>
          <w:tcPr>
            <w:tcW w:w="64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2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Consent of Ernst &amp; Young LLP,</w:t>
              </w:r>
            </w:hyperlink>
          </w:p>
        </w:tc>
        <w:tc>
          <w:tcPr>
            <w:tcW w:w="98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Independent Registered Public Accounting</w:t>
              </w:r>
            </w:hyperlink>
          </w:p>
        </w:tc>
        <w:tc>
          <w:tcPr>
            <w:tcW w:w="1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Firm.</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3280" w:type="dxa"/>
            <w:vAlign w:val="bottom"/>
            <w:gridSpan w:val="2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Power of Attorney (included on the</w:t>
              </w:r>
            </w:hyperlink>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9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Signatures page of this Annual Report on</w:t>
              </w:r>
            </w:hyperlink>
          </w:p>
        </w:tc>
        <w:tc>
          <w:tcPr>
            <w:tcW w:w="30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Form 10-K).</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720" w:type="dxa"/>
            <w:vAlign w:val="bottom"/>
            <w:tcBorders>
              <w:left w:val="single" w:sz="8" w:color="0000EE"/>
            </w:tcBorders>
            <w:gridSpan w:val="5"/>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31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Certification of Principal Executive Officer</w:t>
              </w:r>
            </w:hyperlink>
          </w:p>
        </w:tc>
        <w:tc>
          <w:tcPr>
            <w:tcW w:w="1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w w:val="94"/>
              </w:rPr>
            </w:pPr>
            <w:hyperlink w:anchor="page106">
              <w:r>
                <w:rPr>
                  <w:rFonts w:ascii="Arial" w:cs="Arial" w:eastAsia="Arial" w:hAnsi="Arial"/>
                  <w:sz w:val="18"/>
                  <w:szCs w:val="18"/>
                  <w:color w:val="0000EE"/>
                  <w:w w:val="94"/>
                </w:rPr>
                <w:t>Pursuant to Rules 13a-14(a) and 15d-14(a)</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7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under the Securities Exchange Act of 1934,</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as amended.</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308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107">
              <w:r>
                <w:rPr>
                  <w:rFonts w:ascii="Arial" w:cs="Arial" w:eastAsia="Arial" w:hAnsi="Arial"/>
                  <w:sz w:val="18"/>
                  <w:szCs w:val="18"/>
                  <w:color w:val="0000EE"/>
                  <w:w w:val="94"/>
                </w:rPr>
                <w:t>Certification of Principal Financial Officer</w:t>
              </w:r>
            </w:hyperlink>
          </w:p>
        </w:tc>
        <w:tc>
          <w:tcPr>
            <w:tcW w:w="20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w w:val="94"/>
              </w:rPr>
            </w:pPr>
            <w:hyperlink w:anchor="page107">
              <w:r>
                <w:rPr>
                  <w:rFonts w:ascii="Arial" w:cs="Arial" w:eastAsia="Arial" w:hAnsi="Arial"/>
                  <w:sz w:val="18"/>
                  <w:szCs w:val="18"/>
                  <w:color w:val="0000EE"/>
                  <w:w w:val="94"/>
                </w:rPr>
                <w:t>Pursuant to Rules 13a-14(a) and 15d-14(a)</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under the Securities Exchange Act of 1934,</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as amended.</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31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Certification of Principal Executive Officer</w:t>
              </w:r>
            </w:hyperlink>
          </w:p>
        </w:tc>
        <w:tc>
          <w:tcPr>
            <w:tcW w:w="1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280" w:type="dxa"/>
            <w:vAlign w:val="bottom"/>
            <w:gridSpan w:val="21"/>
          </w:tcPr>
          <w:p>
            <w:pPr>
              <w:spacing w:after="0" w:line="196" w:lineRule="exact"/>
              <w:rPr>
                <w:rFonts w:ascii="Arial" w:cs="Arial" w:eastAsia="Arial" w:hAnsi="Arial"/>
                <w:sz w:val="18"/>
                <w:szCs w:val="18"/>
                <w:color w:val="0000EE"/>
                <w:w w:val="96"/>
              </w:rPr>
            </w:pPr>
            <w:hyperlink w:anchor="page108">
              <w:r>
                <w:rPr>
                  <w:rFonts w:ascii="Arial" w:cs="Arial" w:eastAsia="Arial" w:hAnsi="Arial"/>
                  <w:sz w:val="18"/>
                  <w:szCs w:val="18"/>
                  <w:color w:val="0000EE"/>
                  <w:w w:val="96"/>
                </w:rPr>
                <w:t>and Principal Financial Officer Pursuant to</w:t>
              </w:r>
            </w:hyperlink>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18 U.S.C. Section 1350, as Adopted</w:t>
              </w:r>
            </w:hyperlink>
          </w:p>
        </w:tc>
        <w:tc>
          <w:tcPr>
            <w:tcW w:w="480" w:type="dxa"/>
            <w:vAlign w:val="bottom"/>
            <w:tcBorders>
              <w:top w:val="single" w:sz="8" w:color="0000EE"/>
            </w:tcBorders>
            <w:gridSpan w:val="8"/>
          </w:tcPr>
          <w:p>
            <w:pPr>
              <w:spacing w:after="0"/>
              <w:rPr>
                <w:sz w:val="17"/>
                <w:szCs w:val="17"/>
                <w:color w:val="auto"/>
              </w:rPr>
            </w:pPr>
          </w:p>
        </w:tc>
        <w:tc>
          <w:tcPr>
            <w:tcW w:w="2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3280" w:type="dxa"/>
            <w:vAlign w:val="bottom"/>
            <w:gridSpan w:val="21"/>
          </w:tcPr>
          <w:p>
            <w:pPr>
              <w:spacing w:after="0"/>
              <w:rPr>
                <w:rFonts w:ascii="Arial" w:cs="Arial" w:eastAsia="Arial" w:hAnsi="Arial"/>
                <w:sz w:val="18"/>
                <w:szCs w:val="18"/>
                <w:u w:val="single" w:color="auto"/>
                <w:color w:val="0000EE"/>
                <w:w w:val="98"/>
              </w:rPr>
            </w:pPr>
            <w:hyperlink w:anchor="page108">
              <w:r>
                <w:rPr>
                  <w:rFonts w:ascii="Arial" w:cs="Arial" w:eastAsia="Arial" w:hAnsi="Arial"/>
                  <w:sz w:val="18"/>
                  <w:szCs w:val="18"/>
                  <w:u w:val="single" w:color="auto"/>
                  <w:color w:val="0000EE"/>
                  <w:w w:val="98"/>
                </w:rPr>
                <w:t>Pursuant to Section 906 of the Sarbanes-</w:t>
              </w:r>
            </w:hyperlink>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3280" w:type="dxa"/>
            <w:vAlign w:val="bottom"/>
            <w:gridSpan w:val="21"/>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Oxley Act of 2002.</w:t>
              </w:r>
            </w:hyperlink>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3280" w:type="dxa"/>
            <w:vAlign w:val="bottom"/>
            <w:gridSpan w:val="21"/>
          </w:tcPr>
          <w:p>
            <w:pPr>
              <w:spacing w:after="0"/>
              <w:rPr>
                <w:sz w:val="20"/>
                <w:szCs w:val="20"/>
                <w:color w:val="auto"/>
              </w:rPr>
            </w:pPr>
            <w:r>
              <w:rPr>
                <w:rFonts w:ascii="Arial" w:cs="Arial" w:eastAsia="Arial" w:hAnsi="Arial"/>
                <w:sz w:val="18"/>
                <w:szCs w:val="18"/>
                <w:color w:val="auto"/>
              </w:rPr>
              <w:t>Inline XBRL Instance Document – the</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w w:val="97"/>
              </w:rPr>
              <w:t>instance document does not appear in the</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w w:val="93"/>
              </w:rPr>
              <w:t>Interactive Data File because its XBRL tags</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rPr>
              <w:t>are embedded within the Inline XBRL</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3280" w:type="dxa"/>
            <w:vAlign w:val="bottom"/>
            <w:gridSpan w:val="21"/>
          </w:tcPr>
          <w:p>
            <w:pPr>
              <w:spacing w:after="0"/>
              <w:rPr>
                <w:sz w:val="20"/>
                <w:szCs w:val="20"/>
                <w:color w:val="auto"/>
              </w:rPr>
            </w:pPr>
            <w:r>
              <w:rPr>
                <w:rFonts w:ascii="Arial" w:cs="Arial" w:eastAsia="Arial" w:hAnsi="Arial"/>
                <w:sz w:val="18"/>
                <w:szCs w:val="18"/>
                <w:color w:val="auto"/>
                <w:w w:val="96"/>
              </w:rPr>
              <w:t>Inline XBRL Taxonomy Extension Schema</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3280" w:type="dxa"/>
            <w:vAlign w:val="bottom"/>
            <w:gridSpan w:val="21"/>
          </w:tcPr>
          <w:p>
            <w:pPr>
              <w:spacing w:after="0"/>
              <w:rPr>
                <w:sz w:val="20"/>
                <w:szCs w:val="20"/>
                <w:color w:val="auto"/>
              </w:rPr>
            </w:pPr>
            <w:r>
              <w:rPr>
                <w:rFonts w:ascii="Arial" w:cs="Arial" w:eastAsia="Arial" w:hAnsi="Arial"/>
                <w:sz w:val="18"/>
                <w:szCs w:val="18"/>
                <w:color w:val="auto"/>
              </w:rPr>
              <w:t>Inline XBRL Taxonomy Extension</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rPr>
              <w:t>Calculation Linkbase 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3280" w:type="dxa"/>
            <w:vAlign w:val="bottom"/>
            <w:gridSpan w:val="21"/>
          </w:tcPr>
          <w:p>
            <w:pPr>
              <w:spacing w:after="0"/>
              <w:rPr>
                <w:sz w:val="20"/>
                <w:szCs w:val="20"/>
                <w:color w:val="auto"/>
              </w:rPr>
            </w:pPr>
            <w:r>
              <w:rPr>
                <w:rFonts w:ascii="Arial" w:cs="Arial" w:eastAsia="Arial" w:hAnsi="Arial"/>
                <w:sz w:val="18"/>
                <w:szCs w:val="18"/>
                <w:color w:val="auto"/>
              </w:rPr>
              <w:t>Inline XBRL Taxonomy Extension</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rPr>
              <w:t>Definition Linkbase 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328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3280" w:type="dxa"/>
            <w:vAlign w:val="bottom"/>
            <w:gridSpan w:val="21"/>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Presentation Linkbase Document.</w:t>
      </w:r>
    </w:p>
    <w:p>
      <w:pPr>
        <w:spacing w:after="0" w:line="200" w:lineRule="exact"/>
        <w:rPr>
          <w:sz w:val="20"/>
          <w:szCs w:val="20"/>
          <w:color w:val="auto"/>
        </w:rPr>
      </w:pPr>
    </w:p>
    <w:p>
      <w:pPr>
        <w:sectPr>
          <w:pgSz w:w="11900" w:h="16838" w:orient="portrait"/>
          <w:cols w:equalWidth="0" w:num="2">
            <w:col w:w="800" w:space="260"/>
            <w:col w:w="7959"/>
          </w:cols>
          <w:pgMar w:left="1440" w:top="517" w:right="1440" w:bottom="1440" w:gutter="0" w:footer="0" w:header="0"/>
          <w:type w:val="continuous"/>
        </w:sectPr>
      </w:pP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Inline XBRL and contained in Exhibit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177165</wp:posOffset>
            </wp:positionV>
            <wp:extent cx="14141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40"/>
            <w:col w:w="7959"/>
          </w:cols>
          <w:pgMar w:left="1440" w:top="517" w:right="1440" w:bottom="1440" w:gutter="0" w:footer="0" w:header="0"/>
          <w:type w:val="continuous"/>
        </w:sectPr>
      </w:pPr>
    </w:p>
    <w:p>
      <w:pPr>
        <w:spacing w:after="0" w:line="105"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right="79" w:hanging="330"/>
        <w:spacing w:after="0" w:line="25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8"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w:t>
      </w:r>
    </w:p>
    <w:p>
      <w:pPr>
        <w:spacing w:after="0" w:line="225" w:lineRule="exact"/>
        <w:rPr>
          <w:sz w:val="20"/>
          <w:szCs w:val="20"/>
          <w:color w:val="auto"/>
        </w:rPr>
      </w:pPr>
    </w:p>
    <w:p>
      <w:pPr>
        <w:ind w:left="380" w:right="179" w:hanging="330"/>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60" w:right="919" w:hanging="10"/>
        <w:spacing w:after="0" w:line="277" w:lineRule="auto"/>
        <w:tabs>
          <w:tab w:leader="none" w:pos="3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filed, or incorporated into this Annual Report on Form 10-K by reference, the exhibits listed on the Exhibit Index immediately above.</w:t>
      </w:r>
    </w:p>
    <w:p>
      <w:pPr>
        <w:spacing w:after="0" w:line="170" w:lineRule="exact"/>
        <w:rPr>
          <w:rFonts w:ascii="Arial" w:cs="Arial" w:eastAsia="Arial" w:hAnsi="Arial"/>
          <w:sz w:val="18"/>
          <w:szCs w:val="18"/>
          <w:color w:val="auto"/>
        </w:rPr>
      </w:pPr>
    </w:p>
    <w:p>
      <w:pPr>
        <w:ind w:left="940" w:hanging="242"/>
        <w:spacing w:after="0"/>
        <w:tabs>
          <w:tab w:leader="none" w:pos="9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59" w:firstLine="401"/>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4, 2021.</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Everspin Technologies,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(Duly Authorized Officer and Principal Executive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Daniel Berenbaum</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0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Darin Billerbeck and Daniel Berenbaum, and each of them, as his true and lawful attorneys-in-fact and agents, each with the full power of substitution, for him and in his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81" w:lineRule="exact"/>
        <w:rPr>
          <w:sz w:val="20"/>
          <w:szCs w:val="20"/>
          <w:color w:val="auto"/>
        </w:rPr>
      </w:pPr>
    </w:p>
    <w:p>
      <w:pPr>
        <w:ind w:left="60" w:right="139" w:firstLine="40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1"/>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w w:val="96"/>
              </w:rPr>
              <w:t>Interim Chief Executive Officer, and Executive Chairman of the</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30"/>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Darin Billerbeck</w:t>
            </w:r>
          </w:p>
        </w:tc>
        <w:tc>
          <w:tcPr>
            <w:tcW w:w="24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Board</w:t>
            </w:r>
          </w:p>
        </w:tc>
        <w:tc>
          <w:tcPr>
            <w:tcW w:w="1820" w:type="dxa"/>
            <w:vAlign w:val="bottom"/>
          </w:tcPr>
          <w:p>
            <w:pPr>
              <w:spacing w:after="0"/>
              <w:rPr>
                <w:sz w:val="20"/>
                <w:szCs w:val="20"/>
                <w:color w:val="auto"/>
              </w:rPr>
            </w:pP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5"/>
              </w:rPr>
              <w:t>Darin Billerbeck</w:t>
            </w:r>
          </w:p>
        </w:tc>
        <w:tc>
          <w:tcPr>
            <w:tcW w:w="24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Daniel Berenbaum</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1"/>
              </w:rPr>
              <w:t>Daniel Berenbaum</w:t>
            </w:r>
          </w:p>
        </w:tc>
        <w:tc>
          <w:tcPr>
            <w:tcW w:w="24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Lawrence G. Finch</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1"/>
              </w:rPr>
              <w:t>Lawrence G. Finch</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Ronald C. Foster</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89"/>
              </w:rPr>
              <w:t>Ronald C. Foster</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J. Socolof</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88"/>
              </w:rPr>
              <w:t>Stephen J. Socolof</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Hébert</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88"/>
              </w:rPr>
              <w:t>Peter Hébert</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Geoffrey R. Tate</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0"/>
              </w:rPr>
              <w:t>Geoffrey R. Tate</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Mike Gustafson</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2"/>
              </w:rPr>
              <w:t>Mike Gustafson</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Geoff Ribar</w:t>
            </w:r>
          </w:p>
        </w:tc>
        <w:tc>
          <w:tcPr>
            <w:tcW w:w="24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4, 2021</w:t>
            </w:r>
          </w:p>
        </w:tc>
      </w:tr>
      <w:tr>
        <w:trPr>
          <w:trHeight w:val="224"/>
        </w:trPr>
        <w:tc>
          <w:tcPr>
            <w:tcW w:w="2040" w:type="dxa"/>
            <w:vAlign w:val="bottom"/>
          </w:tcPr>
          <w:p>
            <w:pPr>
              <w:jc w:val="center"/>
              <w:spacing w:after="0"/>
              <w:rPr>
                <w:sz w:val="20"/>
                <w:szCs w:val="20"/>
                <w:color w:val="auto"/>
              </w:rPr>
            </w:pPr>
            <w:r>
              <w:rPr>
                <w:rFonts w:ascii="Arial" w:cs="Arial" w:eastAsia="Arial" w:hAnsi="Arial"/>
                <w:sz w:val="18"/>
                <w:szCs w:val="18"/>
                <w:color w:val="auto"/>
                <w:w w:val="93"/>
              </w:rPr>
              <w:t>Geoff Ribar</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EVERSPIN TECHNOLOGIES, INC. COMMON STOCK</w:t>
      </w:r>
    </w:p>
    <w:p>
      <w:pPr>
        <w:spacing w:after="0" w:line="22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following is a description of the common stock, $0.0001 par value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Everspin Technologies,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is the only security of the Company registered pursuant to Section 12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Company’s authorized capital stock consists of 100,000,000 shares of Common Stock and 5,000,000 shares of preferred stock, $0.0001 par value per share. The shares of preferred stock are undesignated, and the rights, preferences, privileges and restrictions may be designated from time to time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w:t>
      </w:r>
    </w:p>
    <w:p>
      <w:pPr>
        <w:spacing w:after="0" w:line="18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following description summarizes selected information regarding the Common Stock, as well as relevant provisions of (i) the Company’s Amended and Restated Certificate of Incorporation, as amended and currently in effect (as so amended, the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Incorporation</w:t>
      </w:r>
      <w:r>
        <w:rPr>
          <w:rFonts w:ascii="Arial" w:cs="Arial" w:eastAsia="Arial" w:hAnsi="Arial"/>
          <w:sz w:val="16"/>
          <w:szCs w:val="16"/>
          <w:color w:val="auto"/>
        </w:rPr>
        <w:t>”), (ii) the Company’s Amended and Restated Bylaws, as currently in effect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and (iii) the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following summary description of the Common Stock of the Company is qualified in its entirety by reference to the provisions of the Certificate of Incorporation and Bylaws, each of which is incorporated by reference as an exhibit to the Company’s Annual Report on Form 10-K of which this Exhibit 4.3 is a part, and the applicable provisions of the DGCL.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Each holder of Common Stock is entitled to one vote for each share of Common Stock held on all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submitted to a vote of stockholders, except as otherwise expressly provided in the Certificate of Incorporation or required by applicable law. Cumulative voting for the election of directors is not provided for in the Certificate of Incorporation, which means that the holders of a majority of the shares of Common Stock can elect all of the directors then standing for election.</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color w:val="auto"/>
        </w:rPr>
        <w:t>. Subject to preferences that may apply to any shares of preferred stock outstanding at the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outstanding shares of Common Stock are entitled to receive dividends out of funds legally available at the times and in the amounts that the Board may determine.</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color w:val="auto"/>
        </w:rPr>
        <w:t>. Upon the liquidation, dissolution or winding-up of the Company, the assets legally available for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holders of Common Stock would be distributable ratably among the holders of Common Stock and any participating preferred stock outstanding at that time after payment of liquidation preferences, if any, on any outstanding shares of preferred stock and payment of other claims of creditors.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rights, preferences, and privileges of holders of Common Stock are subject to, and may be adversely affected by, the rights of holders of shares of any series of preferred stock that the Board may designate and issue in the future.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b w:val="1"/>
          <w:bCs w:val="1"/>
          <w:i w:val="1"/>
          <w:iCs w:val="1"/>
          <w:color w:val="auto"/>
        </w:rPr>
        <w:t>Preemptive or Similar Rights</w:t>
      </w:r>
      <w:r>
        <w:rPr>
          <w:rFonts w:ascii="Arial" w:cs="Arial" w:eastAsia="Arial" w:hAnsi="Arial"/>
          <w:sz w:val="18"/>
          <w:szCs w:val="18"/>
          <w:color w:val="auto"/>
        </w:rPr>
        <w:t>. The Common Stock is not entitled to preemptive rights and is not subject to conversion,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or sinking fund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Provisions of the Certificate of Incorporation and Bylaws and Delaware General Corporation Law</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Certificate of Incorporation and the Bylaws contain provisions that may make the acquisition of the Company more difficult, including, but not limited to, the following:</w:t>
      </w:r>
    </w:p>
    <w:p>
      <w:pPr>
        <w:spacing w:after="0" w:line="170" w:lineRule="exact"/>
        <w:rPr>
          <w:sz w:val="20"/>
          <w:szCs w:val="20"/>
          <w:color w:val="auto"/>
        </w:rPr>
      </w:pPr>
    </w:p>
    <w:p>
      <w:pPr>
        <w:jc w:val="both"/>
        <w:ind w:left="660" w:right="30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has the right to expand the size of the Board and to elect directors to fill a vacancy created by the expansion of the Board or the resignation, death or removal of a director, which prevents stockholders from being able to fill vacancies on the Board;</w:t>
      </w:r>
    </w:p>
    <w:p>
      <w:pPr>
        <w:spacing w:after="0" w:line="183"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stockholders may not act by written consent or call special stockholders’ meetings; as a result, a holder, or holders, controlling a majority of the Company’s capital stock would not be able to take certain actions other than at annual stockholders’ meetings or special stockholders’ meetings called by the Board pursuant to a resolution adopted by a majority of the total number of authorized directors, the chairman of the Board or the Company’s chief executive officer;</w:t>
      </w:r>
    </w:p>
    <w:p>
      <w:pPr>
        <w:spacing w:after="0" w:line="171"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Certificate of Incorporation prohibits cumulative voting in the election of directors, which limits the ability of minority stockholders to elect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ind w:left="660" w:right="40" w:hanging="328"/>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affirmative vote of holders of at least 66-2/3% of the voting power of all of the then outstanding shares of voting stock, voting as a single class, will be required (a) to amend certain provisions of the Certificate of Incorporation, including provisions relating to the size of the Board, special meetings, actions by written consent and cumulative voting and (b) to amend or repeal the Bylaws, although the Bylaws may be amended by a simple majority vote of the Board;</w:t>
      </w:r>
    </w:p>
    <w:p>
      <w:pPr>
        <w:spacing w:after="0" w:line="171"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or to propose matters that can be acted upon at a stockholders’ meeting, which may discourage or deter a potential acquiror from conducting a solicitation of proxies to elect the acquiror’s own slate of directors or otherwise attempting to obtain control of the Company; and</w:t>
      </w:r>
    </w:p>
    <w:p>
      <w:pPr>
        <w:spacing w:after="0" w:line="186"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may issue, without stockholder approval, shares of undesignated preferred stock; the ability to issue undesignated preferred stock makes it possible for the Board to issue preferred stock with voting or other rights or preferences that could impede the success of any attempt to acquire the Company.</w:t>
      </w:r>
    </w:p>
    <w:p>
      <w:pPr>
        <w:spacing w:after="0" w:line="184"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The foregoing provisions make it more difficult for existing stockholders to replace the Board as well as for another party to obtain control of the Company by replacing the Board. Since the Board has the power to retain and discharge the Company’s officers, these provisions could also make it more difficult for existing stockholders or another party to effect a change in management.</w:t>
      </w:r>
    </w:p>
    <w:p>
      <w:pPr>
        <w:spacing w:after="0" w:line="1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the Board and its policies and to discourage certain types of transactions that may involve an actual or threatened acquisition of the Company. These provisions are also designed to reduce the Company’s vulnerability to an unsolicited acquisition proposal and to discourage certain tactics that may be used in proxy rights. However, these provisions could have the effect of discouraging others from making tender offers for shares of Common Stock and may have the effect of deterring hostile takeovers or delaying changes in control of the Company or the Company’s management. As a consequence, these provisions also may inhibit fluctuations in the market price of the Common Stock that could result from actual or rumored takeover attempts.</w:t>
      </w:r>
    </w:p>
    <w:p>
      <w:pPr>
        <w:spacing w:after="0" w:line="19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Certificate of Incorporation provides that stockholder litigation alleging certain claims against the Company or the Board may only be brought in the courts located within the State of Delaware.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ind w:left="660" w:right="4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92"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general, Section 203 defines business combination to include the following: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transaction involving the corporation that has the effect of increasing the proportionate share of the stock or any class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series of the corporation beneficially owned by the interested stockholder; or</w:t>
      </w:r>
    </w:p>
    <w:p>
      <w:pPr>
        <w:spacing w:after="0" w:line="225" w:lineRule="exact"/>
        <w:rPr>
          <w:sz w:val="20"/>
          <w:szCs w:val="20"/>
          <w:color w:val="auto"/>
        </w:rPr>
      </w:pPr>
    </w:p>
    <w:p>
      <w:pPr>
        <w:ind w:left="660" w:right="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80" w:name="page81"/>
    <w:bookmarkEnd w:id="80"/>
    <w:p>
      <w:pPr>
        <w:ind w:left="7140"/>
        <w:spacing w:after="0"/>
        <w:rPr>
          <w:sz w:val="20"/>
          <w:szCs w:val="20"/>
          <w:color w:val="auto"/>
        </w:rPr>
      </w:pPr>
      <w:r>
        <w:rPr>
          <w:rFonts w:ascii="Arial" w:cs="Arial" w:eastAsia="Arial" w:hAnsi="Arial"/>
          <w:sz w:val="18"/>
          <w:szCs w:val="18"/>
          <w:b w:val="1"/>
          <w:bCs w:val="1"/>
          <w:color w:val="auto"/>
        </w:rPr>
        <w:t>Exhibit 10.11.2</w:t>
      </w:r>
    </w:p>
    <w:p>
      <w:pPr>
        <w:spacing w:after="0" w:line="212" w:lineRule="exact"/>
        <w:rPr>
          <w:sz w:val="20"/>
          <w:szCs w:val="20"/>
          <w:color w:val="auto"/>
        </w:rPr>
      </w:pPr>
    </w:p>
    <w:p>
      <w:pPr>
        <w:ind w:left="880" w:hanging="261"/>
        <w:spacing w:after="0"/>
        <w:tabs>
          <w:tab w:leader="none" w:pos="8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Certain information in this document has been excluded pursuant to Regulation S-K, Item 601(b)</w:t>
      </w:r>
    </w:p>
    <w:p>
      <w:pPr>
        <w:spacing w:after="0" w:line="50" w:lineRule="exact"/>
        <w:rPr>
          <w:rFonts w:ascii="Arial" w:cs="Arial" w:eastAsia="Arial" w:hAnsi="Arial"/>
          <w:sz w:val="16"/>
          <w:szCs w:val="16"/>
          <w:b w:val="1"/>
          <w:bCs w:val="1"/>
          <w:color w:val="auto"/>
        </w:rPr>
      </w:pPr>
    </w:p>
    <w:p>
      <w:pPr>
        <w:ind w:left="620" w:right="319"/>
        <w:spacing w:after="0" w:line="292" w:lineRule="auto"/>
        <w:rPr>
          <w:rFonts w:ascii="Arial" w:cs="Arial" w:eastAsia="Arial" w:hAnsi="Arial"/>
          <w:sz w:val="16"/>
          <w:szCs w:val="16"/>
          <w:b w:val="1"/>
          <w:bCs w:val="1"/>
          <w:color w:val="auto"/>
        </w:rPr>
      </w:pPr>
      <w:r>
        <w:rPr>
          <w:rFonts w:ascii="Arial" w:cs="Arial" w:eastAsia="Arial" w:hAnsi="Arial"/>
          <w:sz w:val="18"/>
          <w:szCs w:val="18"/>
          <w:b w:val="1"/>
          <w:bCs w:val="1"/>
          <w:color w:val="auto"/>
        </w:rPr>
        <w:t>(10). Such excluded information is not material and would likely cause competitive harm to the registrant if publicly disclosed.</w:t>
      </w:r>
    </w:p>
    <w:p>
      <w:pPr>
        <w:spacing w:after="0" w:line="200" w:lineRule="exact"/>
        <w:rPr>
          <w:sz w:val="20"/>
          <w:szCs w:val="20"/>
          <w:color w:val="auto"/>
        </w:rPr>
      </w:pPr>
    </w:p>
    <w:p>
      <w:pPr>
        <w:spacing w:after="0" w:line="2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131316"/>
        </w:rPr>
        <w:t>Amendment No. 2</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131316"/>
        </w:rPr>
        <w:t>to the STT-MRAM Joint Development Agreement</w:t>
      </w:r>
    </w:p>
    <w:p>
      <w:pPr>
        <w:spacing w:after="0" w:line="391" w:lineRule="exact"/>
        <w:rPr>
          <w:sz w:val="20"/>
          <w:szCs w:val="20"/>
          <w:color w:val="auto"/>
        </w:rPr>
      </w:pPr>
    </w:p>
    <w:p>
      <w:pPr>
        <w:ind w:left="460" w:right="439"/>
        <w:spacing w:after="0" w:line="302" w:lineRule="auto"/>
        <w:rPr>
          <w:sz w:val="20"/>
          <w:szCs w:val="20"/>
          <w:color w:val="auto"/>
        </w:rPr>
      </w:pPr>
      <w:r>
        <w:rPr>
          <w:rFonts w:ascii="Arial" w:cs="Arial" w:eastAsia="Arial" w:hAnsi="Arial"/>
          <w:sz w:val="18"/>
          <w:szCs w:val="18"/>
          <w:color w:val="131316"/>
        </w:rPr>
        <w:t>This Amendment No. 2 to the STT-MRAM Joint Development Agreement (this "Amendment No. 2") by and between GLOBALFOUNDRIES Inc. (hereinafter "GLOBALFOUNDRIES") and Everspin Technologies, Inc., a corporation incorporated under the laws of Delaware, having an office at 1347 North Alma School Road, Suite 220, Chandler, Arizona 85224 (hereinafter "Everspin"), is effective as of the last date of signature hereunder, and amends that certain STT-MRAM Joint Development Agreement by and between the parties executed on October 17, 2014, as amended ("Agreement").</w:t>
      </w:r>
    </w:p>
    <w:p>
      <w:pPr>
        <w:spacing w:after="0" w:line="179" w:lineRule="exact"/>
        <w:rPr>
          <w:sz w:val="20"/>
          <w:szCs w:val="20"/>
          <w:color w:val="auto"/>
        </w:rPr>
      </w:pPr>
    </w:p>
    <w:p>
      <w:pPr>
        <w:ind w:left="460" w:right="479" w:firstLine="11"/>
        <w:spacing w:after="0" w:line="304" w:lineRule="auto"/>
        <w:rPr>
          <w:sz w:val="20"/>
          <w:szCs w:val="20"/>
          <w:color w:val="auto"/>
        </w:rPr>
      </w:pPr>
      <w:r>
        <w:rPr>
          <w:rFonts w:ascii="Arial" w:cs="Arial" w:eastAsia="Arial" w:hAnsi="Arial"/>
          <w:sz w:val="18"/>
          <w:szCs w:val="18"/>
          <w:color w:val="131316"/>
        </w:rPr>
        <w:t xml:space="preserve">WHEREAS GLOBALFOUNDRIES has requested that Everspin modify the meaning of "Everspin Competitors" to eliminate </w:t>
      </w:r>
      <w:r>
        <w:rPr>
          <w:rFonts w:ascii="Arial" w:cs="Arial" w:eastAsia="Arial" w:hAnsi="Arial"/>
          <w:sz w:val="18"/>
          <w:szCs w:val="18"/>
          <w:color w:val="38383A"/>
        </w:rPr>
        <w:t>[*]</w:t>
      </w:r>
      <w:r>
        <w:rPr>
          <w:rFonts w:ascii="Arial" w:cs="Arial" w:eastAsia="Arial" w:hAnsi="Arial"/>
          <w:sz w:val="18"/>
          <w:szCs w:val="18"/>
          <w:color w:val="131316"/>
        </w:rPr>
        <w:t xml:space="preserve"> and thereby permit GLOBALFOUNDRIES to engage [*}as a prospective customer for Embedded STT-MRAM Devices and, to the extent [*] becomes a customer, to disclose and license to [*] only Foreground IP that is necessary to design Embedded STT-MRAM Devices during the Exclusivity Period associated with such Foreground IP;</w:t>
      </w:r>
    </w:p>
    <w:p>
      <w:pPr>
        <w:spacing w:after="0" w:line="174" w:lineRule="exact"/>
        <w:rPr>
          <w:sz w:val="20"/>
          <w:szCs w:val="20"/>
          <w:color w:val="auto"/>
        </w:rPr>
      </w:pPr>
    </w:p>
    <w:p>
      <w:pPr>
        <w:ind w:left="460" w:right="419" w:firstLine="11"/>
        <w:spacing w:after="0" w:line="304" w:lineRule="auto"/>
        <w:rPr>
          <w:sz w:val="20"/>
          <w:szCs w:val="20"/>
          <w:color w:val="auto"/>
        </w:rPr>
      </w:pPr>
      <w:r>
        <w:rPr>
          <w:rFonts w:ascii="Arial" w:cs="Arial" w:eastAsia="Arial" w:hAnsi="Arial"/>
          <w:sz w:val="18"/>
          <w:szCs w:val="18"/>
          <w:color w:val="131316"/>
        </w:rPr>
        <w:t>WHEREAS Everspin has agreed to such modification under the terms and conditions described in this Amendment No. 2 provided, such Embedded STT-MRAM Devices are to be and subsequently are' manufactured for [*] by GLOBALFOUNDRIES and provided further that GLOBALFOUNDRIES not disclose, dispose of, license or sublicense any Foreground IP or Everspin Background IP to [*] to design, develop, test and/or manufacture Discrete STT-MRAM Devices.</w:t>
      </w:r>
    </w:p>
    <w:p>
      <w:pPr>
        <w:spacing w:after="0" w:line="174" w:lineRule="exact"/>
        <w:rPr>
          <w:sz w:val="20"/>
          <w:szCs w:val="20"/>
          <w:color w:val="auto"/>
        </w:rPr>
      </w:pPr>
    </w:p>
    <w:p>
      <w:pPr>
        <w:ind w:left="460" w:right="619" w:firstLine="2"/>
        <w:spacing w:after="0" w:line="310" w:lineRule="auto"/>
        <w:rPr>
          <w:sz w:val="20"/>
          <w:szCs w:val="20"/>
          <w:color w:val="auto"/>
        </w:rPr>
      </w:pPr>
      <w:r>
        <w:rPr>
          <w:rFonts w:ascii="Arial" w:cs="Arial" w:eastAsia="Arial" w:hAnsi="Arial"/>
          <w:sz w:val="18"/>
          <w:szCs w:val="18"/>
          <w:color w:val="131316"/>
        </w:rPr>
        <w:t>NOW THEREFORE, in consideration of the premises and the mutual covenants contained herein, as well as for other good and valuable consideration, the receipt and sufficiency of which are hereby acknowledged, GLOBALFOUNDRIES and Everspin agree as follows.</w:t>
      </w:r>
    </w:p>
    <w:p>
      <w:pPr>
        <w:spacing w:after="0" w:line="260" w:lineRule="exact"/>
        <w:rPr>
          <w:sz w:val="20"/>
          <w:szCs w:val="20"/>
          <w:color w:val="auto"/>
        </w:rPr>
      </w:pPr>
    </w:p>
    <w:p>
      <w:pPr>
        <w:ind w:left="440" w:hanging="375"/>
        <w:spacing w:after="0"/>
        <w:tabs>
          <w:tab w:leader="none" w:pos="440" w:val="left"/>
        </w:tabs>
        <w:numPr>
          <w:ilvl w:val="0"/>
          <w:numId w:val="35"/>
        </w:numPr>
        <w:rPr>
          <w:rFonts w:ascii="Arial" w:cs="Arial" w:eastAsia="Arial" w:hAnsi="Arial"/>
          <w:sz w:val="18"/>
          <w:szCs w:val="18"/>
          <w:b w:val="1"/>
          <w:bCs w:val="1"/>
          <w:color w:val="131316"/>
        </w:rPr>
      </w:pPr>
      <w:r>
        <w:rPr>
          <w:rFonts w:ascii="Arial" w:cs="Arial" w:eastAsia="Arial" w:hAnsi="Arial"/>
          <w:sz w:val="18"/>
          <w:szCs w:val="18"/>
          <w:b w:val="1"/>
          <w:bCs w:val="1"/>
          <w:color w:val="131316"/>
        </w:rPr>
        <w:t>MODIFY SECTION 7.7</w:t>
      </w:r>
    </w:p>
    <w:p>
      <w:pPr>
        <w:spacing w:after="0" w:line="161" w:lineRule="exact"/>
        <w:rPr>
          <w:rFonts w:ascii="Arial" w:cs="Arial" w:eastAsia="Arial" w:hAnsi="Arial"/>
          <w:sz w:val="18"/>
          <w:szCs w:val="18"/>
          <w:b w:val="1"/>
          <w:bCs w:val="1"/>
          <w:color w:val="131316"/>
        </w:rPr>
      </w:pPr>
    </w:p>
    <w:p>
      <w:pPr>
        <w:ind w:left="460"/>
        <w:spacing w:after="0"/>
        <w:rPr>
          <w:rFonts w:ascii="Arial" w:cs="Arial" w:eastAsia="Arial" w:hAnsi="Arial"/>
          <w:sz w:val="18"/>
          <w:szCs w:val="18"/>
          <w:b w:val="1"/>
          <w:bCs w:val="1"/>
          <w:color w:val="131316"/>
        </w:rPr>
      </w:pPr>
      <w:r>
        <w:rPr>
          <w:rFonts w:ascii="Arial" w:cs="Arial" w:eastAsia="Arial" w:hAnsi="Arial"/>
          <w:sz w:val="18"/>
          <w:szCs w:val="18"/>
          <w:color w:val="131316"/>
        </w:rPr>
        <w:t>Section 7</w:t>
      </w:r>
      <w:r>
        <w:rPr>
          <w:rFonts w:ascii="Arial" w:cs="Arial" w:eastAsia="Arial" w:hAnsi="Arial"/>
          <w:sz w:val="18"/>
          <w:szCs w:val="18"/>
          <w:color w:val="38383A"/>
        </w:rPr>
        <w:t>.</w:t>
      </w:r>
      <w:r>
        <w:rPr>
          <w:rFonts w:ascii="Arial" w:cs="Arial" w:eastAsia="Arial" w:hAnsi="Arial"/>
          <w:sz w:val="18"/>
          <w:szCs w:val="18"/>
          <w:color w:val="131316"/>
        </w:rPr>
        <w:t>7 of the Agreement is amended as follows:</w:t>
      </w:r>
    </w:p>
    <w:p>
      <w:pPr>
        <w:spacing w:after="0" w:line="225" w:lineRule="exact"/>
        <w:rPr>
          <w:sz w:val="20"/>
          <w:szCs w:val="20"/>
          <w:color w:val="auto"/>
        </w:rPr>
      </w:pPr>
    </w:p>
    <w:p>
      <w:pPr>
        <w:ind w:left="720" w:right="499"/>
        <w:spacing w:after="0" w:line="302" w:lineRule="auto"/>
        <w:rPr>
          <w:sz w:val="20"/>
          <w:szCs w:val="20"/>
          <w:color w:val="auto"/>
        </w:rPr>
      </w:pPr>
      <w:r>
        <w:rPr>
          <w:rFonts w:ascii="Arial" w:cs="Arial" w:eastAsia="Arial" w:hAnsi="Arial"/>
          <w:sz w:val="18"/>
          <w:szCs w:val="18"/>
          <w:color w:val="131316"/>
        </w:rPr>
        <w:t>7.7. Subject to Everspin's compliance with the non-disclosure and licensing restrictions corresponding to Background IP and Foreground IP as set forth herein, GLOBALFOUNDRIES shall not disclose, dispose of or license any Foreground IP to Everspin Competitors during the Exclusivity Period associated with the relevant STT-MRAM Device. For purposes of this Section 7.7, Everspin Competitors means [*] The restriction in this Section 7.7 shall not apply after the Exclusivity Period associated with such Foreground IP has expired.</w:t>
      </w:r>
    </w:p>
    <w:p>
      <w:pPr>
        <w:spacing w:after="0" w:line="148" w:lineRule="exact"/>
        <w:rPr>
          <w:sz w:val="20"/>
          <w:szCs w:val="20"/>
          <w:color w:val="auto"/>
        </w:rPr>
      </w:pPr>
    </w:p>
    <w:p>
      <w:pPr>
        <w:ind w:left="460" w:hanging="381"/>
        <w:spacing w:after="0"/>
        <w:tabs>
          <w:tab w:leader="none" w:pos="460" w:val="left"/>
        </w:tabs>
        <w:numPr>
          <w:ilvl w:val="0"/>
          <w:numId w:val="36"/>
        </w:numPr>
        <w:rPr>
          <w:rFonts w:ascii="Arial" w:cs="Arial" w:eastAsia="Arial" w:hAnsi="Arial"/>
          <w:sz w:val="18"/>
          <w:szCs w:val="18"/>
          <w:b w:val="1"/>
          <w:bCs w:val="1"/>
          <w:color w:val="131316"/>
        </w:rPr>
      </w:pPr>
      <w:r>
        <w:rPr>
          <w:rFonts w:ascii="Arial" w:cs="Arial" w:eastAsia="Arial" w:hAnsi="Arial"/>
          <w:sz w:val="18"/>
          <w:szCs w:val="18"/>
          <w:b w:val="1"/>
          <w:bCs w:val="1"/>
          <w:color w:val="131316"/>
        </w:rPr>
        <w:t>ADD NEW SECTION 7.7.1</w:t>
      </w:r>
    </w:p>
    <w:p>
      <w:pPr>
        <w:spacing w:after="0" w:line="148" w:lineRule="exact"/>
        <w:rPr>
          <w:rFonts w:ascii="Arial" w:cs="Arial" w:eastAsia="Arial" w:hAnsi="Arial"/>
          <w:sz w:val="18"/>
          <w:szCs w:val="18"/>
          <w:b w:val="1"/>
          <w:bCs w:val="1"/>
          <w:color w:val="131316"/>
        </w:rPr>
      </w:pPr>
    </w:p>
    <w:p>
      <w:pPr>
        <w:ind w:left="460"/>
        <w:spacing w:after="0"/>
        <w:rPr>
          <w:rFonts w:ascii="Arial" w:cs="Arial" w:eastAsia="Arial" w:hAnsi="Arial"/>
          <w:sz w:val="18"/>
          <w:szCs w:val="18"/>
          <w:b w:val="1"/>
          <w:bCs w:val="1"/>
          <w:color w:val="131316"/>
        </w:rPr>
      </w:pPr>
      <w:r>
        <w:rPr>
          <w:rFonts w:ascii="Arial" w:cs="Arial" w:eastAsia="Arial" w:hAnsi="Arial"/>
          <w:sz w:val="18"/>
          <w:szCs w:val="18"/>
          <w:color w:val="131316"/>
        </w:rPr>
        <w:t>Section 7.7.1 of the Agreement is added after Section 7.7, as follows:</w:t>
      </w:r>
    </w:p>
    <w:p>
      <w:pPr>
        <w:spacing w:after="0" w:line="225" w:lineRule="exact"/>
        <w:rPr>
          <w:sz w:val="20"/>
          <w:szCs w:val="20"/>
          <w:color w:val="auto"/>
        </w:rPr>
      </w:pPr>
    </w:p>
    <w:p>
      <w:pPr>
        <w:ind w:left="720" w:right="559" w:hanging="2"/>
        <w:spacing w:after="0" w:line="364" w:lineRule="auto"/>
        <w:rPr>
          <w:sz w:val="20"/>
          <w:szCs w:val="20"/>
          <w:color w:val="auto"/>
        </w:rPr>
      </w:pPr>
      <w:r>
        <w:rPr>
          <w:rFonts w:ascii="Arial" w:cs="Arial" w:eastAsia="Arial" w:hAnsi="Arial"/>
          <w:sz w:val="16"/>
          <w:szCs w:val="16"/>
          <w:color w:val="131316"/>
        </w:rPr>
        <w:t>7.7.1 For the avoidance of doubt, GLOBALFOUNDRIES shall not disclose, dispose of, license or sublicense Foreground IP and/or Everspin Background IP to [*] to design, develop, test and/or manufacture Discrete STT-MRAM Devices, unless [*] becomes an Everspin licensee or Everspin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292100</wp:posOffset>
            </wp:positionV>
            <wp:extent cx="55632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5563235"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1" w:name="page82"/>
    <w:bookmarkEnd w:id="81"/>
    <w:p>
      <w:pPr>
        <w:ind w:left="500" w:hanging="381"/>
        <w:spacing w:after="0"/>
        <w:tabs>
          <w:tab w:leader="none" w:pos="500" w:val="left"/>
        </w:tabs>
        <w:numPr>
          <w:ilvl w:val="0"/>
          <w:numId w:val="37"/>
        </w:numPr>
        <w:rPr>
          <w:rFonts w:ascii="Arial" w:cs="Arial" w:eastAsia="Arial" w:hAnsi="Arial"/>
          <w:sz w:val="18"/>
          <w:szCs w:val="18"/>
          <w:b w:val="1"/>
          <w:bCs w:val="1"/>
          <w:color w:val="131316"/>
        </w:rPr>
      </w:pPr>
      <w:r>
        <w:rPr>
          <w:rFonts w:ascii="Arial" w:cs="Arial" w:eastAsia="Arial" w:hAnsi="Arial"/>
          <w:sz w:val="18"/>
          <w:szCs w:val="18"/>
          <w:b w:val="1"/>
          <w:bCs w:val="1"/>
          <w:color w:val="131316"/>
        </w:rPr>
        <w:t>MISCELLANEOUS</w:t>
      </w:r>
    </w:p>
    <w:p>
      <w:pPr>
        <w:spacing w:after="0" w:line="175" w:lineRule="exact"/>
        <w:rPr>
          <w:rFonts w:ascii="Arial" w:cs="Arial" w:eastAsia="Arial" w:hAnsi="Arial"/>
          <w:sz w:val="18"/>
          <w:szCs w:val="18"/>
          <w:b w:val="1"/>
          <w:bCs w:val="1"/>
          <w:color w:val="131316"/>
        </w:rPr>
      </w:pPr>
    </w:p>
    <w:p>
      <w:pPr>
        <w:ind w:left="500" w:right="579" w:firstLine="2"/>
        <w:spacing w:after="0" w:line="354" w:lineRule="auto"/>
        <w:rPr>
          <w:rFonts w:ascii="Arial" w:cs="Arial" w:eastAsia="Arial" w:hAnsi="Arial"/>
          <w:sz w:val="18"/>
          <w:szCs w:val="18"/>
          <w:b w:val="1"/>
          <w:bCs w:val="1"/>
          <w:color w:val="131316"/>
        </w:rPr>
      </w:pPr>
      <w:r>
        <w:rPr>
          <w:rFonts w:ascii="Arial" w:cs="Arial" w:eastAsia="Arial" w:hAnsi="Arial"/>
          <w:sz w:val="16"/>
          <w:szCs w:val="16"/>
          <w:color w:val="131316"/>
        </w:rPr>
        <w:t xml:space="preserve">All references to the Agreement in any other document shall be deemed to </w:t>
      </w:r>
      <w:r>
        <w:rPr>
          <w:rFonts w:ascii="Arial" w:cs="Arial" w:eastAsia="Arial" w:hAnsi="Arial"/>
          <w:sz w:val="16"/>
          <w:szCs w:val="16"/>
          <w:color w:val="28282B"/>
        </w:rPr>
        <w:t>refer</w:t>
      </w:r>
      <w:r>
        <w:rPr>
          <w:rFonts w:ascii="Arial" w:cs="Arial" w:eastAsia="Arial" w:hAnsi="Arial"/>
          <w:sz w:val="16"/>
          <w:szCs w:val="16"/>
          <w:color w:val="131316"/>
        </w:rPr>
        <w:t xml:space="preserve"> to the Agreement as modified by this Amendment No. 2</w:t>
      </w:r>
      <w:r>
        <w:rPr>
          <w:rFonts w:ascii="Arial" w:cs="Arial" w:eastAsia="Arial" w:hAnsi="Arial"/>
          <w:sz w:val="16"/>
          <w:szCs w:val="16"/>
          <w:color w:val="38383A"/>
        </w:rPr>
        <w:t>.</w:t>
      </w:r>
      <w:r>
        <w:rPr>
          <w:rFonts w:ascii="Arial" w:cs="Arial" w:eastAsia="Arial" w:hAnsi="Arial"/>
          <w:sz w:val="16"/>
          <w:szCs w:val="16"/>
          <w:color w:val="131316"/>
        </w:rPr>
        <w:t xml:space="preserve"> Except as modified by this Amendment No. 2, all of the </w:t>
      </w:r>
      <w:r>
        <w:rPr>
          <w:rFonts w:ascii="Arial" w:cs="Arial" w:eastAsia="Arial" w:hAnsi="Arial"/>
          <w:sz w:val="16"/>
          <w:szCs w:val="16"/>
          <w:color w:val="151316"/>
        </w:rPr>
        <w:t>terms and conditions of the</w:t>
      </w:r>
      <w:r>
        <w:rPr>
          <w:rFonts w:ascii="Arial" w:cs="Arial" w:eastAsia="Arial" w:hAnsi="Arial"/>
          <w:sz w:val="16"/>
          <w:szCs w:val="16"/>
          <w:color w:val="131316"/>
        </w:rPr>
        <w:t xml:space="preserve"> </w:t>
      </w:r>
      <w:r>
        <w:rPr>
          <w:rFonts w:ascii="Arial" w:cs="Arial" w:eastAsia="Arial" w:hAnsi="Arial"/>
          <w:sz w:val="16"/>
          <w:szCs w:val="16"/>
          <w:color w:val="151316"/>
        </w:rPr>
        <w:t>Agreement shall remain in full force and effect. In the event that the terms of this Amendment No. 2 conflict with the terms of the Agreement, the terms of this Amendment No. 2 shall control.</w:t>
      </w:r>
    </w:p>
    <w:p>
      <w:pPr>
        <w:spacing w:after="0" w:line="125" w:lineRule="exact"/>
        <w:rPr>
          <w:rFonts w:ascii="Arial" w:cs="Arial" w:eastAsia="Arial" w:hAnsi="Arial"/>
          <w:sz w:val="18"/>
          <w:szCs w:val="18"/>
          <w:b w:val="1"/>
          <w:bCs w:val="1"/>
          <w:color w:val="131316"/>
        </w:rPr>
      </w:pPr>
    </w:p>
    <w:p>
      <w:pPr>
        <w:ind w:left="560" w:hanging="374"/>
        <w:spacing w:after="0"/>
        <w:tabs>
          <w:tab w:leader="none" w:pos="560" w:val="left"/>
        </w:tabs>
        <w:numPr>
          <w:ilvl w:val="1"/>
          <w:numId w:val="37"/>
        </w:numPr>
        <w:rPr>
          <w:rFonts w:ascii="Arial" w:cs="Arial" w:eastAsia="Arial" w:hAnsi="Arial"/>
          <w:sz w:val="18"/>
          <w:szCs w:val="18"/>
          <w:b w:val="1"/>
          <w:bCs w:val="1"/>
          <w:color w:val="151316"/>
        </w:rPr>
      </w:pPr>
      <w:r>
        <w:rPr>
          <w:rFonts w:ascii="Arial" w:cs="Arial" w:eastAsia="Arial" w:hAnsi="Arial"/>
          <w:sz w:val="18"/>
          <w:szCs w:val="18"/>
          <w:b w:val="1"/>
          <w:bCs w:val="1"/>
          <w:color w:val="151316"/>
        </w:rPr>
        <w:t>EXECUTION</w:t>
      </w:r>
    </w:p>
    <w:p>
      <w:pPr>
        <w:spacing w:after="0" w:line="188" w:lineRule="exact"/>
        <w:rPr>
          <w:rFonts w:ascii="Arial" w:cs="Arial" w:eastAsia="Arial" w:hAnsi="Arial"/>
          <w:sz w:val="18"/>
          <w:szCs w:val="18"/>
          <w:b w:val="1"/>
          <w:bCs w:val="1"/>
          <w:color w:val="151316"/>
        </w:rPr>
      </w:pPr>
    </w:p>
    <w:p>
      <w:pPr>
        <w:ind w:left="560" w:right="419" w:firstLine="1"/>
        <w:spacing w:after="0" w:line="306" w:lineRule="auto"/>
        <w:rPr>
          <w:rFonts w:ascii="Arial" w:cs="Arial" w:eastAsia="Arial" w:hAnsi="Arial"/>
          <w:sz w:val="18"/>
          <w:szCs w:val="18"/>
          <w:b w:val="1"/>
          <w:bCs w:val="1"/>
          <w:color w:val="151316"/>
        </w:rPr>
      </w:pPr>
      <w:r>
        <w:rPr>
          <w:rFonts w:ascii="Arial" w:cs="Arial" w:eastAsia="Arial" w:hAnsi="Arial"/>
          <w:sz w:val="18"/>
          <w:szCs w:val="18"/>
          <w:color w:val="151316"/>
        </w:rPr>
        <w:t>This Amendment No. 2 may be executed in any number of counterpart originals, each of which shall be deemed an original instrument for all purposes, but all of which shall comprise one and the same instrument. This Amendment No. 2 may be delivered by electronic mail or facsimile, and a scanned version of this Amendment No. 2 shall be binding as an original.</w:t>
      </w:r>
    </w:p>
    <w:p>
      <w:pPr>
        <w:spacing w:after="0" w:line="371" w:lineRule="exact"/>
        <w:rPr>
          <w:sz w:val="20"/>
          <w:szCs w:val="20"/>
          <w:color w:val="auto"/>
        </w:rPr>
      </w:pPr>
    </w:p>
    <w:p>
      <w:pPr>
        <w:ind w:left="180" w:right="859"/>
        <w:spacing w:after="0" w:line="329" w:lineRule="auto"/>
        <w:rPr>
          <w:sz w:val="20"/>
          <w:szCs w:val="20"/>
          <w:color w:val="auto"/>
        </w:rPr>
      </w:pPr>
      <w:r>
        <w:rPr>
          <w:rFonts w:ascii="Arial" w:cs="Arial" w:eastAsia="Arial" w:hAnsi="Arial"/>
          <w:sz w:val="18"/>
          <w:szCs w:val="18"/>
          <w:b w:val="1"/>
          <w:bCs w:val="1"/>
          <w:color w:val="151316"/>
        </w:rPr>
        <w:t xml:space="preserve">IN WITNESS WHEREOF, </w:t>
      </w:r>
      <w:r>
        <w:rPr>
          <w:rFonts w:ascii="Arial" w:cs="Arial" w:eastAsia="Arial" w:hAnsi="Arial"/>
          <w:sz w:val="18"/>
          <w:szCs w:val="18"/>
          <w:color w:val="151316"/>
        </w:rPr>
        <w:t>the parties hereto have caused this Amendment No. 2 to be executed by their duly</w:t>
      </w:r>
      <w:r>
        <w:rPr>
          <w:rFonts w:ascii="Arial" w:cs="Arial" w:eastAsia="Arial" w:hAnsi="Arial"/>
          <w:sz w:val="18"/>
          <w:szCs w:val="18"/>
          <w:b w:val="1"/>
          <w:bCs w:val="1"/>
          <w:color w:val="151316"/>
        </w:rPr>
        <w:t xml:space="preserve"> </w:t>
      </w:r>
      <w:r>
        <w:rPr>
          <w:rFonts w:ascii="Arial" w:cs="Arial" w:eastAsia="Arial" w:hAnsi="Arial"/>
          <w:sz w:val="18"/>
          <w:szCs w:val="18"/>
          <w:color w:val="151316"/>
        </w:rPr>
        <w:t>authorized representatives: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ind w:left="180"/>
              <w:spacing w:after="0"/>
              <w:rPr>
                <w:sz w:val="20"/>
                <w:szCs w:val="20"/>
                <w:color w:val="auto"/>
              </w:rPr>
            </w:pPr>
            <w:r>
              <w:rPr>
                <w:rFonts w:ascii="Arial" w:cs="Arial" w:eastAsia="Arial" w:hAnsi="Arial"/>
                <w:sz w:val="18"/>
                <w:szCs w:val="18"/>
                <w:b w:val="1"/>
                <w:bCs w:val="1"/>
                <w:color w:val="151316"/>
              </w:rPr>
              <w:t>GLOBALFOUNDRIES Inc.</w:t>
            </w:r>
          </w:p>
        </w:tc>
        <w:tc>
          <w:tcPr>
            <w:tcW w:w="5580" w:type="dxa"/>
            <w:vAlign w:val="bottom"/>
          </w:tcPr>
          <w:p>
            <w:pPr>
              <w:ind w:left="1520"/>
              <w:spacing w:after="0"/>
              <w:rPr>
                <w:sz w:val="20"/>
                <w:szCs w:val="20"/>
                <w:color w:val="auto"/>
              </w:rPr>
            </w:pPr>
            <w:r>
              <w:rPr>
                <w:rFonts w:ascii="Arial" w:cs="Arial" w:eastAsia="Arial" w:hAnsi="Arial"/>
                <w:sz w:val="18"/>
                <w:szCs w:val="18"/>
                <w:b w:val="1"/>
                <w:bCs w:val="1"/>
                <w:color w:val="151316"/>
              </w:rPr>
              <w:t>Everspin Technologies, Inc.</w:t>
            </w:r>
          </w:p>
        </w:tc>
      </w:tr>
      <w:tr>
        <w:trPr>
          <w:trHeight w:val="445"/>
        </w:trPr>
        <w:tc>
          <w:tcPr>
            <w:tcW w:w="3180" w:type="dxa"/>
            <w:vAlign w:val="bottom"/>
          </w:tcPr>
          <w:p>
            <w:pPr>
              <w:ind w:left="180"/>
              <w:spacing w:after="0"/>
              <w:rPr>
                <w:sz w:val="20"/>
                <w:szCs w:val="20"/>
                <w:color w:val="auto"/>
              </w:rPr>
            </w:pPr>
            <w:r>
              <w:rPr>
                <w:rFonts w:ascii="Arial" w:cs="Arial" w:eastAsia="Arial" w:hAnsi="Arial"/>
                <w:sz w:val="18"/>
                <w:szCs w:val="18"/>
                <w:color w:val="151316"/>
              </w:rPr>
              <w:t>Date: July 25, 2017</w:t>
            </w:r>
          </w:p>
        </w:tc>
        <w:tc>
          <w:tcPr>
            <w:tcW w:w="5580" w:type="dxa"/>
            <w:vAlign w:val="bottom"/>
          </w:tcPr>
          <w:p>
            <w:pPr>
              <w:ind w:left="1500"/>
              <w:spacing w:after="0"/>
              <w:rPr>
                <w:sz w:val="20"/>
                <w:szCs w:val="20"/>
                <w:color w:val="auto"/>
              </w:rPr>
            </w:pPr>
            <w:r>
              <w:rPr>
                <w:rFonts w:ascii="Arial" w:cs="Arial" w:eastAsia="Arial" w:hAnsi="Arial"/>
                <w:sz w:val="18"/>
                <w:szCs w:val="18"/>
                <w:color w:val="151316"/>
              </w:rPr>
              <w:t>Date: July 25, 2017</w:t>
            </w:r>
          </w:p>
        </w:tc>
      </w:tr>
      <w:tr>
        <w:trPr>
          <w:trHeight w:val="716"/>
        </w:trPr>
        <w:tc>
          <w:tcPr>
            <w:tcW w:w="3180" w:type="dxa"/>
            <w:vAlign w:val="bottom"/>
          </w:tcPr>
          <w:p>
            <w:pPr>
              <w:ind w:left="180"/>
              <w:spacing w:after="0"/>
              <w:rPr>
                <w:sz w:val="20"/>
                <w:szCs w:val="20"/>
                <w:color w:val="auto"/>
              </w:rPr>
            </w:pPr>
            <w:r>
              <w:rPr>
                <w:rFonts w:ascii="Arial" w:cs="Arial" w:eastAsia="Arial" w:hAnsi="Arial"/>
                <w:sz w:val="18"/>
                <w:szCs w:val="18"/>
                <w:color w:val="151316"/>
              </w:rPr>
              <w:t>Name: /s/ David Bennett</w:t>
            </w:r>
          </w:p>
        </w:tc>
        <w:tc>
          <w:tcPr>
            <w:tcW w:w="5580" w:type="dxa"/>
            <w:vAlign w:val="bottom"/>
          </w:tcPr>
          <w:p>
            <w:pPr>
              <w:ind w:left="1500"/>
              <w:spacing w:after="0"/>
              <w:rPr>
                <w:sz w:val="20"/>
                <w:szCs w:val="20"/>
                <w:color w:val="auto"/>
              </w:rPr>
            </w:pPr>
            <w:r>
              <w:rPr>
                <w:rFonts w:ascii="Arial" w:cs="Arial" w:eastAsia="Arial" w:hAnsi="Arial"/>
                <w:sz w:val="18"/>
                <w:szCs w:val="18"/>
                <w:color w:val="151316"/>
              </w:rPr>
              <w:t>Name: /s/ Jeff Winzeler</w:t>
            </w: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151316"/>
              </w:rPr>
              <w:t>David Bennett</w:t>
            </w:r>
          </w:p>
        </w:tc>
        <w:tc>
          <w:tcPr>
            <w:tcW w:w="5580" w:type="dxa"/>
            <w:vAlign w:val="bottom"/>
          </w:tcPr>
          <w:p>
            <w:pPr>
              <w:ind w:left="860"/>
              <w:spacing w:after="0"/>
              <w:rPr>
                <w:sz w:val="20"/>
                <w:szCs w:val="20"/>
                <w:color w:val="auto"/>
              </w:rPr>
            </w:pPr>
            <w:r>
              <w:rPr>
                <w:rFonts w:ascii="Arial" w:cs="Arial" w:eastAsia="Arial" w:hAnsi="Arial"/>
                <w:sz w:val="18"/>
                <w:szCs w:val="18"/>
                <w:color w:val="151316"/>
              </w:rPr>
              <w:t>Jeff Winzeler</w:t>
            </w:r>
          </w:p>
        </w:tc>
      </w:tr>
      <w:tr>
        <w:trPr>
          <w:trHeight w:val="749"/>
        </w:trPr>
        <w:tc>
          <w:tcPr>
            <w:tcW w:w="31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9059"/>
          </w:cols>
          <w:pgMar w:left="1400" w:top="324" w:right="1440" w:bottom="1440" w:gutter="0" w:footer="0" w:header="0"/>
        </w:sectPr>
      </w:pPr>
    </w:p>
    <w:bookmarkStart w:id="82" w:name="page83"/>
    <w:bookmarkEnd w:id="82"/>
    <w:p>
      <w:pPr>
        <w:ind w:left="380"/>
        <w:spacing w:after="0"/>
        <w:rPr>
          <w:sz w:val="20"/>
          <w:szCs w:val="20"/>
          <w:color w:val="auto"/>
        </w:rPr>
      </w:pPr>
      <w:r>
        <w:rPr>
          <w:rFonts w:ascii="Arial" w:cs="Arial" w:eastAsia="Arial" w:hAnsi="Arial"/>
          <w:sz w:val="16"/>
          <w:szCs w:val="16"/>
          <w:color w:val="151316"/>
        </w:rPr>
        <w:t>VP, Strategic Agreements &amp; Alliances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380"/>
        <w:spacing w:after="0"/>
        <w:rPr>
          <w:sz w:val="20"/>
          <w:szCs w:val="20"/>
          <w:color w:val="auto"/>
        </w:rPr>
      </w:pPr>
      <w:r>
        <w:rPr>
          <w:rFonts w:ascii="Arial" w:cs="Arial" w:eastAsia="Arial" w:hAnsi="Arial"/>
          <w:sz w:val="30"/>
          <w:szCs w:val="30"/>
          <w:color w:val="151316"/>
          <w:vertAlign w:val="superscript"/>
        </w:rPr>
        <w:t>Title:</w:t>
      </w:r>
      <w:r>
        <w:rPr>
          <w:rFonts w:ascii="Arial" w:cs="Arial" w:eastAsia="Arial" w:hAnsi="Arial"/>
          <w:sz w:val="16"/>
          <w:szCs w:val="16"/>
          <w:color w:val="151316"/>
        </w:rPr>
        <w:t xml:space="preserv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84" w:name="page85"/>
    <w:bookmarkEnd w:id="84"/>
    <w:p>
      <w:pPr>
        <w:ind w:left="7262"/>
        <w:spacing w:after="0"/>
        <w:rPr>
          <w:sz w:val="20"/>
          <w:szCs w:val="20"/>
          <w:color w:val="auto"/>
        </w:rPr>
      </w:pPr>
      <w:r>
        <w:rPr>
          <w:rFonts w:ascii="Arial" w:cs="Arial" w:eastAsia="Arial" w:hAnsi="Arial"/>
          <w:sz w:val="18"/>
          <w:szCs w:val="18"/>
          <w:b w:val="1"/>
          <w:bCs w:val="1"/>
          <w:color w:val="auto"/>
        </w:rPr>
        <w:t>Exhibit 10.11.4.</w:t>
      </w:r>
    </w:p>
    <w:p>
      <w:pPr>
        <w:spacing w:after="0" w:line="220" w:lineRule="exact"/>
        <w:rPr>
          <w:sz w:val="20"/>
          <w:szCs w:val="20"/>
          <w:color w:val="auto"/>
        </w:rPr>
      </w:pPr>
    </w:p>
    <w:p>
      <w:pPr>
        <w:ind w:left="2" w:right="479" w:hanging="2"/>
        <w:spacing w:after="0" w:line="284" w:lineRule="auto"/>
        <w:tabs>
          <w:tab w:leader="none" w:pos="24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information in this document has been excluded pursuant to Regulation S-K, Item 601(b) (10). Such excluded information is not material and would likely cause competitive harm to the registrant if publicly disclosed.</w:t>
      </w:r>
    </w:p>
    <w:p>
      <w:pPr>
        <w:spacing w:after="0" w:line="200" w:lineRule="exact"/>
        <w:rPr>
          <w:sz w:val="20"/>
          <w:szCs w:val="20"/>
          <w:color w:val="auto"/>
        </w:rPr>
      </w:pPr>
    </w:p>
    <w:p>
      <w:pPr>
        <w:spacing w:after="0" w:line="267" w:lineRule="exact"/>
        <w:rPr>
          <w:sz w:val="20"/>
          <w:szCs w:val="20"/>
          <w:color w:val="auto"/>
        </w:rPr>
      </w:pPr>
    </w:p>
    <w:p>
      <w:pPr>
        <w:ind w:left="3242"/>
        <w:spacing w:after="0"/>
        <w:rPr>
          <w:sz w:val="20"/>
          <w:szCs w:val="20"/>
          <w:color w:val="auto"/>
        </w:rPr>
      </w:pPr>
      <w:r>
        <w:rPr>
          <w:rFonts w:ascii="Arial" w:cs="Arial" w:eastAsia="Arial" w:hAnsi="Arial"/>
          <w:sz w:val="18"/>
          <w:szCs w:val="18"/>
          <w:b w:val="1"/>
          <w:bCs w:val="1"/>
          <w:color w:val="auto"/>
        </w:rPr>
        <w:t>AMENDMENT #4 TO</w:t>
      </w:r>
    </w:p>
    <w:p>
      <w:pPr>
        <w:spacing w:after="0" w:line="374" w:lineRule="exact"/>
        <w:rPr>
          <w:sz w:val="20"/>
          <w:szCs w:val="20"/>
          <w:color w:val="auto"/>
        </w:rPr>
      </w:pPr>
    </w:p>
    <w:p>
      <w:pPr>
        <w:ind w:left="1822"/>
        <w:spacing w:after="0"/>
        <w:rPr>
          <w:sz w:val="20"/>
          <w:szCs w:val="20"/>
          <w:color w:val="auto"/>
        </w:rPr>
      </w:pPr>
      <w:r>
        <w:rPr>
          <w:rFonts w:ascii="Arial" w:cs="Arial" w:eastAsia="Arial" w:hAnsi="Arial"/>
          <w:sz w:val="18"/>
          <w:szCs w:val="18"/>
          <w:b w:val="1"/>
          <w:bCs w:val="1"/>
          <w:color w:val="auto"/>
        </w:rPr>
        <w:t>STT-MRAM JOINT DEVELOPMENT AGREEMENT</w:t>
      </w:r>
    </w:p>
    <w:p>
      <w:pPr>
        <w:spacing w:after="0" w:line="360" w:lineRule="exact"/>
        <w:rPr>
          <w:sz w:val="20"/>
          <w:szCs w:val="20"/>
          <w:color w:val="auto"/>
        </w:rPr>
      </w:pPr>
    </w:p>
    <w:p>
      <w:pPr>
        <w:jc w:val="both"/>
        <w:ind w:left="202" w:right="479" w:firstLine="640"/>
        <w:spacing w:after="0" w:line="259" w:lineRule="auto"/>
        <w:rPr>
          <w:sz w:val="20"/>
          <w:szCs w:val="20"/>
          <w:color w:val="auto"/>
        </w:rPr>
      </w:pPr>
      <w:r>
        <w:rPr>
          <w:rFonts w:ascii="Arial" w:cs="Arial" w:eastAsia="Arial" w:hAnsi="Arial"/>
          <w:sz w:val="18"/>
          <w:szCs w:val="18"/>
          <w:color w:val="auto"/>
        </w:rPr>
        <w:t xml:space="preserve">This Amendment #4 (the </w:t>
      </w:r>
      <w:r>
        <w:rPr>
          <w:rFonts w:ascii="Arial" w:cs="Arial" w:eastAsia="Arial" w:hAnsi="Arial"/>
          <w:sz w:val="18"/>
          <w:szCs w:val="18"/>
          <w:b w:val="1"/>
          <w:bCs w:val="1"/>
          <w:color w:val="auto"/>
        </w:rPr>
        <w:t>"Amendment No. 4'')</w:t>
      </w:r>
      <w:r>
        <w:rPr>
          <w:rFonts w:ascii="Arial" w:cs="Arial" w:eastAsia="Arial" w:hAnsi="Arial"/>
          <w:sz w:val="18"/>
          <w:szCs w:val="18"/>
          <w:color w:val="auto"/>
        </w:rPr>
        <w:t xml:space="preserve"> is entered into by and between Everspin Technologies, Inc. </w:t>
      </w:r>
      <w:r>
        <w:rPr>
          <w:rFonts w:ascii="Arial" w:cs="Arial" w:eastAsia="Arial" w:hAnsi="Arial"/>
          <w:sz w:val="18"/>
          <w:szCs w:val="18"/>
          <w:b w:val="1"/>
          <w:bCs w:val="1"/>
          <w:color w:val="auto"/>
        </w:rPr>
        <w:t>("Everspin"),</w:t>
      </w:r>
      <w:r>
        <w:rPr>
          <w:rFonts w:ascii="Arial" w:cs="Arial" w:eastAsia="Arial" w:hAnsi="Arial"/>
          <w:sz w:val="18"/>
          <w:szCs w:val="18"/>
          <w:color w:val="auto"/>
        </w:rPr>
        <w:t xml:space="preserve"> and GLOBALFOUNDRIES Inc. </w:t>
      </w:r>
      <w:r>
        <w:rPr>
          <w:rFonts w:ascii="Arial" w:cs="Arial" w:eastAsia="Arial" w:hAnsi="Arial"/>
          <w:sz w:val="18"/>
          <w:szCs w:val="18"/>
          <w:b w:val="1"/>
          <w:bCs w:val="1"/>
          <w:color w:val="auto"/>
        </w:rPr>
        <w:t>("GLOBALFOUNDRIES"),</w:t>
      </w:r>
      <w:r>
        <w:rPr>
          <w:rFonts w:ascii="Arial" w:cs="Arial" w:eastAsia="Arial" w:hAnsi="Arial"/>
          <w:sz w:val="18"/>
          <w:szCs w:val="18"/>
          <w:color w:val="auto"/>
        </w:rPr>
        <w:t xml:space="preserve"> and amends and supplements that certain STT-MRAM Joint Development Agreement between the parties dated October 17, 2014, as amended by amendment Nos. 1-3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This Amendment No. 4 is effective as of December 31, 2019 (the </w:t>
      </w:r>
      <w:r>
        <w:rPr>
          <w:rFonts w:ascii="Arial" w:cs="Arial" w:eastAsia="Arial" w:hAnsi="Arial"/>
          <w:sz w:val="18"/>
          <w:szCs w:val="18"/>
          <w:b w:val="1"/>
          <w:bCs w:val="1"/>
          <w:color w:val="auto"/>
        </w:rPr>
        <w:t>"Amendment Effective Date").</w:t>
      </w:r>
    </w:p>
    <w:p>
      <w:pPr>
        <w:spacing w:after="0" w:line="200" w:lineRule="exact"/>
        <w:rPr>
          <w:sz w:val="20"/>
          <w:szCs w:val="20"/>
          <w:color w:val="auto"/>
        </w:rPr>
      </w:pPr>
    </w:p>
    <w:p>
      <w:pPr>
        <w:spacing w:after="0" w:line="254" w:lineRule="exact"/>
        <w:rPr>
          <w:sz w:val="20"/>
          <w:szCs w:val="20"/>
          <w:color w:val="auto"/>
        </w:rPr>
      </w:pPr>
    </w:p>
    <w:p>
      <w:pPr>
        <w:jc w:val="both"/>
        <w:ind w:left="202" w:right="479"/>
        <w:spacing w:after="0" w:line="266" w:lineRule="auto"/>
        <w:rPr>
          <w:sz w:val="20"/>
          <w:szCs w:val="20"/>
          <w:color w:val="auto"/>
        </w:rPr>
      </w:pPr>
      <w:r>
        <w:rPr>
          <w:rFonts w:ascii="Arial" w:cs="Arial" w:eastAsia="Arial" w:hAnsi="Arial"/>
          <w:sz w:val="18"/>
          <w:szCs w:val="18"/>
          <w:u w:val="single" w:color="auto"/>
          <w:color w:val="auto"/>
        </w:rPr>
        <w:t xml:space="preserve">WHEREAS </w:t>
      </w:r>
      <w:r>
        <w:rPr>
          <w:rFonts w:ascii="Arial" w:cs="Arial" w:eastAsia="Arial" w:hAnsi="Arial"/>
          <w:sz w:val="18"/>
          <w:szCs w:val="18"/>
          <w:b w:val="1"/>
          <w:bCs w:val="1"/>
          <w:u w:val="single" w:color="auto"/>
          <w:color w:val="auto"/>
        </w:rPr>
        <w:t>Everspin and GLOBALFOUNDRIES have agreed to cooperate on the development of a common</w:t>
      </w:r>
      <w:r>
        <w:rPr>
          <w:rFonts w:ascii="Arial" w:cs="Arial" w:eastAsia="Arial" w:hAnsi="Arial"/>
          <w:sz w:val="18"/>
          <w:szCs w:val="18"/>
          <w:u w:val="single" w:color="auto"/>
          <w:color w:val="auto"/>
        </w:rPr>
        <w:t xml:space="preserve"> </w:t>
      </w:r>
      <w:r>
        <w:rPr>
          <w:rFonts w:ascii="Arial" w:cs="Arial" w:eastAsia="Arial" w:hAnsi="Arial"/>
          <w:sz w:val="18"/>
          <w:szCs w:val="18"/>
          <w:b w:val="1"/>
          <w:bCs w:val="1"/>
          <w:u w:val="single" w:color="auto"/>
          <w:color w:val="auto"/>
        </w:rPr>
        <w:t>12LP MRAM technology pursuant to the terms of a Statement of Work (the "12LP Statement of Work"); and</w:t>
      </w:r>
    </w:p>
    <w:p>
      <w:pPr>
        <w:spacing w:after="0" w:line="158" w:lineRule="exact"/>
        <w:rPr>
          <w:sz w:val="20"/>
          <w:szCs w:val="20"/>
          <w:color w:val="auto"/>
        </w:rPr>
      </w:pPr>
    </w:p>
    <w:p>
      <w:pPr>
        <w:jc w:val="both"/>
        <w:ind w:left="202" w:right="499" w:firstLine="625"/>
        <w:spacing w:after="0" w:line="28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Everspin and GLOBALFOUNDRIES wish to revise the royalty rates for MRAM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manufactured by GLOBALFOUNDRIES.</w:t>
      </w:r>
    </w:p>
    <w:p>
      <w:pPr>
        <w:spacing w:after="0" w:line="288" w:lineRule="exact"/>
        <w:rPr>
          <w:sz w:val="20"/>
          <w:szCs w:val="20"/>
          <w:color w:val="auto"/>
        </w:rPr>
      </w:pPr>
    </w:p>
    <w:p>
      <w:pPr>
        <w:jc w:val="both"/>
        <w:ind w:left="202" w:right="499" w:firstLine="632"/>
        <w:spacing w:after="0" w:line="268"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contained herein and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is hereby acknowledged, the parties hereby amend the Agreement as follows:</w:t>
      </w:r>
    </w:p>
    <w:p>
      <w:pPr>
        <w:spacing w:after="0" w:line="306" w:lineRule="exact"/>
        <w:rPr>
          <w:sz w:val="20"/>
          <w:szCs w:val="20"/>
          <w:color w:val="auto"/>
        </w:rPr>
      </w:pPr>
    </w:p>
    <w:p>
      <w:pPr>
        <w:jc w:val="both"/>
        <w:ind w:left="202" w:right="499" w:firstLine="18"/>
        <w:spacing w:after="0" w:line="268" w:lineRule="auto"/>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All capitalized terms used in this Amendment but not otherwise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given such terms in the Agreement and, unless otherwise specified, references to Sections refer to Sections of the Agreement.</w:t>
      </w:r>
    </w:p>
    <w:p>
      <w:pPr>
        <w:spacing w:after="0" w:line="139" w:lineRule="exact"/>
        <w:rPr>
          <w:sz w:val="20"/>
          <w:szCs w:val="20"/>
          <w:color w:val="auto"/>
        </w:rPr>
      </w:pPr>
    </w:p>
    <w:p>
      <w:pPr>
        <w:ind w:left="802" w:hanging="613"/>
        <w:spacing w:after="0"/>
        <w:tabs>
          <w:tab w:leader="none" w:pos="8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shall be added after Section 3.2:</w:t>
      </w:r>
    </w:p>
    <w:p>
      <w:pPr>
        <w:spacing w:after="0" w:line="197" w:lineRule="exact"/>
        <w:rPr>
          <w:rFonts w:ascii="Arial" w:cs="Arial" w:eastAsia="Arial" w:hAnsi="Arial"/>
          <w:sz w:val="18"/>
          <w:szCs w:val="18"/>
          <w:color w:val="auto"/>
        </w:rPr>
      </w:pPr>
    </w:p>
    <w:p>
      <w:pPr>
        <w:jc w:val="both"/>
        <w:ind w:left="822" w:right="1139" w:firstLine="2"/>
        <w:spacing w:after="0" w:line="254" w:lineRule="auto"/>
        <w:rPr>
          <w:rFonts w:ascii="Arial" w:cs="Arial" w:eastAsia="Arial" w:hAnsi="Arial"/>
          <w:sz w:val="18"/>
          <w:szCs w:val="18"/>
          <w:color w:val="auto"/>
        </w:rPr>
      </w:pPr>
      <w:r>
        <w:rPr>
          <w:rFonts w:ascii="Arial" w:cs="Arial" w:eastAsia="Arial" w:hAnsi="Arial"/>
          <w:sz w:val="18"/>
          <w:szCs w:val="18"/>
          <w:color w:val="auto"/>
        </w:rPr>
        <w:t>' 3.2.1 With respect to the l 2LP Statement of Work, in lieu of equally sharing the Project Costs for the 12LP Statement of Work (the "12LP Project Costs"), Everspin will assign engineering resources with the skills and expertise identified in the relevant Statement of Work to perform Joint Development Work at a GLOBALFOUNDRIES facility.</w:t>
      </w:r>
    </w:p>
    <w:p>
      <w:pPr>
        <w:spacing w:after="0" w:line="325" w:lineRule="exact"/>
        <w:rPr>
          <w:sz w:val="20"/>
          <w:szCs w:val="20"/>
          <w:color w:val="auto"/>
        </w:rPr>
      </w:pPr>
    </w:p>
    <w:p>
      <w:pPr>
        <w:jc w:val="both"/>
        <w:ind w:left="802" w:right="1159" w:firstLine="3"/>
        <w:spacing w:after="0" w:line="254" w:lineRule="auto"/>
        <w:rPr>
          <w:sz w:val="20"/>
          <w:szCs w:val="20"/>
          <w:color w:val="auto"/>
        </w:rPr>
      </w:pPr>
      <w:r>
        <w:rPr>
          <w:rFonts w:ascii="Arial" w:cs="Arial" w:eastAsia="Arial" w:hAnsi="Arial"/>
          <w:sz w:val="18"/>
          <w:szCs w:val="18"/>
          <w:color w:val="auto"/>
        </w:rPr>
        <w:t>3.2.2 The Parties shall cooperate in seeking (separately and jointly) government funding for the 12LP Project Costs. In the event that Everspin receives government funding for 12LP Project Costs, the Parties will mutually agree upon a revised cost sharing model taking into consideration such government funding."</w:t>
      </w:r>
    </w:p>
    <w:p>
      <w:pPr>
        <w:spacing w:after="0" w:line="325" w:lineRule="exact"/>
        <w:rPr>
          <w:sz w:val="20"/>
          <w:szCs w:val="20"/>
          <w:color w:val="auto"/>
        </w:rPr>
      </w:pPr>
    </w:p>
    <w:p>
      <w:pPr>
        <w:ind w:left="802" w:hanging="627"/>
        <w:spacing w:after="0"/>
        <w:tabs>
          <w:tab w:leader="none" w:pos="8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3.8 is deleted in its entirety and replaced with the following:</w:t>
      </w:r>
    </w:p>
    <w:p>
      <w:pPr>
        <w:spacing w:after="0" w:line="197" w:lineRule="exact"/>
        <w:rPr>
          <w:rFonts w:ascii="Arial" w:cs="Arial" w:eastAsia="Arial" w:hAnsi="Arial"/>
          <w:sz w:val="18"/>
          <w:szCs w:val="18"/>
          <w:color w:val="auto"/>
        </w:rPr>
      </w:pPr>
    </w:p>
    <w:p>
      <w:pPr>
        <w:jc w:val="both"/>
        <w:ind w:left="802" w:right="1159" w:hanging="1"/>
        <w:spacing w:after="0" w:line="254" w:lineRule="auto"/>
        <w:rPr>
          <w:rFonts w:ascii="Arial" w:cs="Arial" w:eastAsia="Arial" w:hAnsi="Arial"/>
          <w:sz w:val="18"/>
          <w:szCs w:val="18"/>
          <w:color w:val="auto"/>
        </w:rPr>
      </w:pPr>
      <w:r>
        <w:rPr>
          <w:rFonts w:ascii="Arial" w:cs="Arial" w:eastAsia="Arial" w:hAnsi="Arial"/>
          <w:sz w:val="18"/>
          <w:szCs w:val="18"/>
          <w:color w:val="auto"/>
        </w:rPr>
        <w:t>"For avoidance of doubt, Project Costs do not include any engineering or product qualification expenses associated solely with Everspin products, the payment for which will be described in a separate Statement of Work and other costs determined by the terms and conditions of the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56832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ectPr>
          <w:pgSz w:w="11900" w:h="16838" w:orient="portrait"/>
          <w:cols w:equalWidth="0" w:num="1">
            <w:col w:w="9122"/>
          </w:cols>
          <w:pgMar w:left="1338" w:top="121" w:right="1440" w:bottom="1440" w:gutter="0" w:footer="0" w:header="0"/>
        </w:sectPr>
      </w:pPr>
    </w:p>
    <w:bookmarkStart w:id="85" w:name="page86"/>
    <w:bookmarkEnd w:id="85"/>
    <w:p>
      <w:pPr>
        <w:jc w:val="both"/>
        <w:ind w:left="700" w:right="1179"/>
        <w:spacing w:after="0" w:line="255" w:lineRule="auto"/>
        <w:rPr>
          <w:sz w:val="20"/>
          <w:szCs w:val="20"/>
          <w:color w:val="auto"/>
        </w:rPr>
      </w:pPr>
      <w:r>
        <w:rPr>
          <w:rFonts w:ascii="Arial" w:cs="Arial" w:eastAsia="Arial" w:hAnsi="Arial"/>
          <w:sz w:val="18"/>
          <w:szCs w:val="18"/>
          <w:color w:val="auto"/>
        </w:rPr>
        <w:t>for said products. Everspin will also be solely responsible for any unique development related to Everspin STT-MRAM Devices at the 12nm technology node, the details of which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335280</wp:posOffset>
            </wp:positionV>
            <wp:extent cx="56832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56832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86" w:name="page87"/>
    <w:bookmarkEnd w:id="86"/>
    <w:p>
      <w:pPr>
        <w:jc w:val="both"/>
        <w:ind w:left="760" w:right="1099" w:firstLine="6"/>
        <w:spacing w:after="0" w:line="259" w:lineRule="auto"/>
        <w:rPr>
          <w:sz w:val="20"/>
          <w:szCs w:val="20"/>
          <w:color w:val="auto"/>
        </w:rPr>
      </w:pPr>
      <w:r>
        <w:rPr>
          <w:rFonts w:ascii="Arial" w:cs="Arial" w:eastAsia="Arial" w:hAnsi="Arial"/>
          <w:sz w:val="18"/>
          <w:szCs w:val="18"/>
          <w:color w:val="auto"/>
        </w:rPr>
        <w:t>described in a separate Statement of Work. For purposes of clarification, Project Costs do include those associated with or related to equipment qualification under this Agreement provided that for the 12mn technology node, Everspin would only be solely responsible for costs associated with work performed exclusively at Everspin’ s request."</w:t>
      </w:r>
    </w:p>
    <w:p>
      <w:pPr>
        <w:spacing w:after="0" w:line="173" w:lineRule="exact"/>
        <w:rPr>
          <w:sz w:val="20"/>
          <w:szCs w:val="20"/>
          <w:color w:val="auto"/>
        </w:rPr>
      </w:pPr>
    </w:p>
    <w:p>
      <w:pPr>
        <w:ind w:left="740" w:hanging="626"/>
        <w:spacing w:after="0"/>
        <w:tabs>
          <w:tab w:leader="none" w:pos="7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4.10 is deleted in its entirety and replaced with the following:</w:t>
      </w:r>
    </w:p>
    <w:p>
      <w:pPr>
        <w:spacing w:after="0" w:line="211" w:lineRule="exact"/>
        <w:rPr>
          <w:rFonts w:ascii="Arial" w:cs="Arial" w:eastAsia="Arial" w:hAnsi="Arial"/>
          <w:sz w:val="18"/>
          <w:szCs w:val="18"/>
          <w:color w:val="auto"/>
        </w:rPr>
      </w:pPr>
    </w:p>
    <w:p>
      <w:pPr>
        <w:jc w:val="both"/>
        <w:ind w:left="740" w:right="1099" w:hanging="2"/>
        <w:spacing w:after="0" w:line="296" w:lineRule="auto"/>
        <w:rPr>
          <w:rFonts w:ascii="Arial" w:cs="Arial" w:eastAsia="Arial" w:hAnsi="Arial"/>
          <w:sz w:val="18"/>
          <w:szCs w:val="18"/>
          <w:color w:val="auto"/>
        </w:rPr>
      </w:pPr>
      <w:r>
        <w:rPr>
          <w:rFonts w:ascii="Arial" w:cs="Arial" w:eastAsia="Arial" w:hAnsi="Arial"/>
          <w:sz w:val="17"/>
          <w:szCs w:val="17"/>
          <w:color w:val="auto"/>
        </w:rPr>
        <w:t>"Everspin IP" means Foreground IP that is: (i) created, made, conceived or reduced to practice solely by Everspin or its respective Consultants during the term of this Agreement and in the performance of this Agreement with the exception of Process IP that is Joint IP and (ii) any Joint Invention allocated to Evers pin through the Invention Allocation Procedure."</w:t>
      </w:r>
    </w:p>
    <w:p>
      <w:pPr>
        <w:spacing w:after="0" w:line="142" w:lineRule="exact"/>
        <w:rPr>
          <w:rFonts w:ascii="Arial" w:cs="Arial" w:eastAsia="Arial" w:hAnsi="Arial"/>
          <w:sz w:val="18"/>
          <w:szCs w:val="18"/>
          <w:color w:val="auto"/>
        </w:rPr>
      </w:pPr>
    </w:p>
    <w:p>
      <w:pPr>
        <w:ind w:left="740" w:hanging="626"/>
        <w:spacing w:after="0"/>
        <w:tabs>
          <w:tab w:leader="none" w:pos="7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Section 4.21 is deleted in its entirety and replaced with the following:</w:t>
      </w:r>
    </w:p>
    <w:p>
      <w:pPr>
        <w:spacing w:after="0" w:line="211" w:lineRule="exact"/>
        <w:rPr>
          <w:rFonts w:ascii="Arial" w:cs="Arial" w:eastAsia="Arial" w:hAnsi="Arial"/>
          <w:sz w:val="18"/>
          <w:szCs w:val="18"/>
          <w:color w:val="auto"/>
        </w:rPr>
      </w:pPr>
    </w:p>
    <w:p>
      <w:pPr>
        <w:jc w:val="both"/>
        <w:ind w:left="720" w:right="1119" w:firstLine="14"/>
        <w:spacing w:after="0" w:line="270" w:lineRule="auto"/>
        <w:rPr>
          <w:rFonts w:ascii="Arial" w:cs="Arial" w:eastAsia="Arial" w:hAnsi="Arial"/>
          <w:sz w:val="18"/>
          <w:szCs w:val="18"/>
          <w:color w:val="auto"/>
        </w:rPr>
      </w:pPr>
      <w:r>
        <w:rPr>
          <w:rFonts w:ascii="Arial" w:cs="Arial" w:eastAsia="Arial" w:hAnsi="Arial"/>
          <w:sz w:val="17"/>
          <w:szCs w:val="17"/>
          <w:color w:val="auto"/>
        </w:rPr>
        <w:t>'"JOINT IP" means (i) all Foreground IP which does not fall under the definition of either GLOBALFOUNDRIES IP or Everspin IP, wherein GLOBALFOUNDRIES and Everspin and/or their Consultants both made substantial contributions to its development, and (ii) Process IP created, made, conceived or reduced to practice solely by Everspin employees as a result of working at a GLOBALFOUNDRIES facility during the term of this Agreement and in the performance of this Agreement. Where a layout, circuit design, product, technique, material, structure, method, or process consists of multiple parts, elements, or steps, each of which is capable of being subject to a claim of ownership, each such part, element or step will be analyzed separately to determine if it constitutes JOINT IP."</w:t>
      </w:r>
    </w:p>
    <w:p>
      <w:pPr>
        <w:spacing w:after="0" w:line="167" w:lineRule="exact"/>
        <w:rPr>
          <w:rFonts w:ascii="Arial" w:cs="Arial" w:eastAsia="Arial" w:hAnsi="Arial"/>
          <w:sz w:val="18"/>
          <w:szCs w:val="18"/>
          <w:color w:val="auto"/>
        </w:rPr>
      </w:pPr>
    </w:p>
    <w:p>
      <w:pPr>
        <w:ind w:left="700" w:hanging="62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Section 4.32 is added as follows:</w:t>
      </w:r>
    </w:p>
    <w:p>
      <w:pPr>
        <w:spacing w:after="0" w:line="225" w:lineRule="exact"/>
        <w:rPr>
          <w:rFonts w:ascii="Arial" w:cs="Arial" w:eastAsia="Arial" w:hAnsi="Arial"/>
          <w:sz w:val="18"/>
          <w:szCs w:val="18"/>
          <w:color w:val="auto"/>
        </w:rPr>
      </w:pPr>
    </w:p>
    <w:p>
      <w:pPr>
        <w:jc w:val="both"/>
        <w:ind w:left="720" w:right="1139" w:firstLine="2"/>
        <w:spacing w:after="0" w:line="290" w:lineRule="auto"/>
        <w:rPr>
          <w:rFonts w:ascii="Arial" w:cs="Arial" w:eastAsia="Arial" w:hAnsi="Arial"/>
          <w:sz w:val="18"/>
          <w:szCs w:val="18"/>
          <w:color w:val="auto"/>
        </w:rPr>
      </w:pPr>
      <w:r>
        <w:rPr>
          <w:rFonts w:ascii="Arial" w:cs="Arial" w:eastAsia="Arial" w:hAnsi="Arial"/>
          <w:sz w:val="17"/>
          <w:szCs w:val="17"/>
          <w:color w:val="auto"/>
        </w:rPr>
        <w:t>"4.32. "Process IP" means the Foreground IP related to design rules, design manuals, design rule check and other elements included in the PDK, process modules, recipes, process integration schemes, process flows, tools and associated tool settings used to manufacture semiconductor STT-MRAM Devices. For avoidance of doubt, (a) process modules are individual process steps or short process sequences and (b) recipes are unit process operating programs on the tools, controlling chemical flow, pressure, temperature, etc."</w:t>
      </w:r>
    </w:p>
    <w:p>
      <w:pPr>
        <w:spacing w:after="0" w:line="148" w:lineRule="exact"/>
        <w:rPr>
          <w:rFonts w:ascii="Arial" w:cs="Arial" w:eastAsia="Arial" w:hAnsi="Arial"/>
          <w:sz w:val="18"/>
          <w:szCs w:val="18"/>
          <w:color w:val="auto"/>
        </w:rPr>
      </w:pPr>
    </w:p>
    <w:p>
      <w:pPr>
        <w:ind w:left="700" w:hanging="62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7.2.3 is deleted in its entirety and replaced with the following:</w:t>
      </w:r>
    </w:p>
    <w:p>
      <w:pPr>
        <w:spacing w:after="0" w:line="211" w:lineRule="exact"/>
        <w:rPr>
          <w:rFonts w:ascii="Arial" w:cs="Arial" w:eastAsia="Arial" w:hAnsi="Arial"/>
          <w:sz w:val="18"/>
          <w:szCs w:val="18"/>
          <w:color w:val="auto"/>
        </w:rPr>
      </w:pPr>
    </w:p>
    <w:p>
      <w:pPr>
        <w:jc w:val="both"/>
        <w:ind w:left="700" w:right="1159" w:hanging="5"/>
        <w:spacing w:after="0" w:line="288" w:lineRule="auto"/>
        <w:rPr>
          <w:rFonts w:ascii="Arial" w:cs="Arial" w:eastAsia="Arial" w:hAnsi="Arial"/>
          <w:sz w:val="18"/>
          <w:szCs w:val="18"/>
          <w:color w:val="auto"/>
        </w:rPr>
      </w:pPr>
      <w:r>
        <w:rPr>
          <w:rFonts w:ascii="Arial" w:cs="Arial" w:eastAsia="Arial" w:hAnsi="Arial"/>
          <w:sz w:val="17"/>
          <w:szCs w:val="17"/>
          <w:color w:val="auto"/>
        </w:rPr>
        <w:t>"grant sublicenses thereunder (to the extent contained in the Design Information) to its Customers, contractors, university collaborators and IP providers/EDA vendors, and to such customers' contractors and IP providers/EDA vendors, (collectively, "GLOBALFOUNDRIES Sublicensees"), the sublicenses so granted to be of scope that includes only the Everspin IP that is necessary to design, develop and test, or assist GLOBALFOUNDRIES or GLOBALFOUNDRIES Customers with designing, developing and testing, STT-MRAM Devices to be manufactured solely by GLOBALFOUNDRIES, and that restricts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320675</wp:posOffset>
            </wp:positionV>
            <wp:extent cx="56832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56832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jc w:val="both"/>
        <w:ind w:left="740" w:right="1119" w:firstLine="12"/>
        <w:spacing w:after="0" w:line="270" w:lineRule="auto"/>
        <w:rPr>
          <w:sz w:val="20"/>
          <w:szCs w:val="20"/>
          <w:color w:val="auto"/>
        </w:rPr>
      </w:pPr>
      <w:r>
        <w:rPr>
          <w:rFonts w:ascii="Arial" w:cs="Arial" w:eastAsia="Arial" w:hAnsi="Arial"/>
          <w:sz w:val="18"/>
          <w:szCs w:val="18"/>
          <w:color w:val="auto"/>
        </w:rPr>
        <w:t>GLOBALFOUNDRIES Sublicensees from using such Everspin IP for any purposes other than designing, developing and testing, or assisting GLOBALFOUNDRIES or GLOBALFOUNDRIES Customers with designing, developing and testing, such STT-MRAM Devices. If such GLOBALFOUNDRIES Sublicensees are universities, GLOBALFOUNDRIES will notify Everspin, and any publication related to STT-MRAM design, development or testing allowed under this Section 7.2.3 shall include an acknowledgement to Everspin and/or GLOBALFOUNDRIES as relevant, and"</w:t>
      </w:r>
    </w:p>
    <w:p>
      <w:pPr>
        <w:spacing w:after="0" w:line="165" w:lineRule="exact"/>
        <w:rPr>
          <w:sz w:val="20"/>
          <w:szCs w:val="20"/>
          <w:color w:val="auto"/>
        </w:rPr>
      </w:pPr>
    </w:p>
    <w:p>
      <w:pPr>
        <w:ind w:left="700" w:hanging="613"/>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following shall be added as Section 7.8.1:</w:t>
      </w:r>
    </w:p>
    <w:p>
      <w:pPr>
        <w:spacing w:after="0" w:line="211" w:lineRule="exact"/>
        <w:rPr>
          <w:rFonts w:ascii="Arial" w:cs="Arial" w:eastAsia="Arial" w:hAnsi="Arial"/>
          <w:sz w:val="18"/>
          <w:szCs w:val="18"/>
          <w:color w:val="auto"/>
        </w:rPr>
      </w:pPr>
    </w:p>
    <w:p>
      <w:pPr>
        <w:jc w:val="both"/>
        <w:ind w:left="700" w:right="1119" w:firstLine="14"/>
        <w:spacing w:after="0" w:line="268" w:lineRule="auto"/>
        <w:rPr>
          <w:rFonts w:ascii="Arial" w:cs="Arial" w:eastAsia="Arial" w:hAnsi="Arial"/>
          <w:sz w:val="18"/>
          <w:szCs w:val="18"/>
          <w:color w:val="auto"/>
        </w:rPr>
      </w:pPr>
      <w:r>
        <w:rPr>
          <w:rFonts w:ascii="Arial" w:cs="Arial" w:eastAsia="Arial" w:hAnsi="Arial"/>
          <w:sz w:val="17"/>
          <w:szCs w:val="17"/>
          <w:color w:val="auto"/>
        </w:rPr>
        <w:t>"Solely with respect to Everspin IP and JOINT IP created under SOWs related to 40nm STT-MRAM or 28nm STT-MRAM and which is necessary to enable Everspin’ s STT-MRAM roadmap at processing nodes that GLOBALFOUNDRIES does not have in manufacturing, specifically 12" wafer technologies utilizing a DRAM (or DRAM-like) base process for high density STT-MRAM Devices, and/or those used to manufacture any STT-MRAM Devices on an 8" substrate (collectively, ''Non-Competitive Technologies"), the disclosure, disposal and license restrictions on Everspin detailed in Section 7.8 and manufacturing restriction on Everspin products in Section 7.4, above will not apply; provided however that any Everspin product manufactured on these Non- Competitive Technologies is not in competition with the GLOBALFOUNDRIES 40nm STT-MRAM or 28nm STT-MRAM offerings. For avoidance of doubt, Everspin may disclose, Everspin IP and/or JOINT IP at the 40nm and 28nm technology nodes to any foundry to develop STT-MRAM Devices at Non Competitive Technologies but may not disclose or utilize GLOBALFOUNDRIES IP for any purpose nor disclose Everspin IP and/or JOINT IP to any other foundry to develop STT-MRAM Devices at technology nodes other than Non-Competitive Technologies except as otherwise allowed by this Agreement."</w:t>
      </w:r>
    </w:p>
    <w:p>
      <w:pPr>
        <w:spacing w:after="0" w:line="168" w:lineRule="exact"/>
        <w:rPr>
          <w:rFonts w:ascii="Arial" w:cs="Arial" w:eastAsia="Arial" w:hAnsi="Arial"/>
          <w:sz w:val="18"/>
          <w:szCs w:val="18"/>
          <w:color w:val="auto"/>
        </w:rPr>
      </w:pPr>
    </w:p>
    <w:p>
      <w:pPr>
        <w:ind w:left="700" w:hanging="640"/>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7.9 is deleted in its entirety and replaced with the following:</w:t>
      </w:r>
    </w:p>
    <w:p>
      <w:pPr>
        <w:spacing w:after="0" w:line="211" w:lineRule="exact"/>
        <w:rPr>
          <w:rFonts w:ascii="Arial" w:cs="Arial" w:eastAsia="Arial" w:hAnsi="Arial"/>
          <w:sz w:val="18"/>
          <w:szCs w:val="18"/>
          <w:color w:val="auto"/>
        </w:rPr>
      </w:pPr>
    </w:p>
    <w:p>
      <w:pPr>
        <w:ind w:left="700" w:right="1159" w:firstLine="10"/>
        <w:spacing w:after="0" w:line="290" w:lineRule="auto"/>
        <w:rPr>
          <w:rFonts w:ascii="Arial" w:cs="Arial" w:eastAsia="Arial" w:hAnsi="Arial"/>
          <w:sz w:val="18"/>
          <w:szCs w:val="18"/>
          <w:color w:val="auto"/>
        </w:rPr>
      </w:pPr>
      <w:r>
        <w:rPr>
          <w:rFonts w:ascii="Arial" w:cs="Arial" w:eastAsia="Arial" w:hAnsi="Arial"/>
          <w:sz w:val="16"/>
          <w:szCs w:val="16"/>
          <w:color w:val="auto"/>
        </w:rPr>
        <w:t>“In addition to a Party's compliance with the non-disclosure and licensing restrictions corresponding to Background IP and Foreground IP as set forth herein, neither Party may disclose, dispose of or license any Foreground IP of the other Party to any cons01iium having a purpose of designing, including research and development with respect to non-bit-cell design, MRAM technology during the Exclusivity Period associated with the relevant STT-MRAM Device except as reasonably necessary to (i) perform the Joint Development Work as a Consultant of GLOBALFOUNDRIES or Everspin or (ii) conduct research. The restriction in this Section 7.9 shall not apply after the Exclusivity Period associated with such Foreground IP has expired."</w:t>
      </w:r>
    </w:p>
    <w:p>
      <w:pPr>
        <w:spacing w:after="0" w:line="165" w:lineRule="exact"/>
        <w:rPr>
          <w:rFonts w:ascii="Arial" w:cs="Arial" w:eastAsia="Arial" w:hAnsi="Arial"/>
          <w:sz w:val="18"/>
          <w:szCs w:val="18"/>
          <w:color w:val="auto"/>
        </w:rPr>
      </w:pPr>
    </w:p>
    <w:p>
      <w:pPr>
        <w:ind w:left="680" w:hanging="620"/>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17.1 et seq. is deleted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349250</wp:posOffset>
            </wp:positionV>
            <wp:extent cx="56832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88" w:name="page89"/>
    <w:bookmarkEnd w:id="88"/>
    <w:p>
      <w:pPr>
        <w:jc w:val="both"/>
        <w:ind w:left="668" w:right="1199" w:hanging="9"/>
        <w:spacing w:after="0" w:line="257" w:lineRule="auto"/>
        <w:rPr>
          <w:sz w:val="20"/>
          <w:szCs w:val="20"/>
          <w:color w:val="auto"/>
        </w:rPr>
      </w:pPr>
      <w:r>
        <w:rPr>
          <w:rFonts w:ascii="Arial" w:cs="Arial" w:eastAsia="Arial" w:hAnsi="Arial"/>
          <w:sz w:val="18"/>
          <w:szCs w:val="18"/>
          <w:color w:val="auto"/>
        </w:rPr>
        <w:t>"In the event GLOBALFOUNDRIES manufactures and sells or transfer wafers containing production qualified Embedded STT-MRAM Devices that utilize Design Information to Customers ("Royalty Wafer"), then pursuant to Section 17.4 GLOBALFOUNDRIES shall pay Everspin a royalty percentage of the net selling price, excluding all amounts for bump, packaging, and test, for each Royalty Wafer as shown below ("Royalty Amount").</w:t>
      </w:r>
    </w:p>
    <w:p>
      <w:pPr>
        <w:spacing w:after="0" w:line="185" w:lineRule="exact"/>
        <w:rPr>
          <w:sz w:val="20"/>
          <w:szCs w:val="20"/>
          <w:color w:val="auto"/>
        </w:rPr>
      </w:pPr>
    </w:p>
    <w:p>
      <w:pPr>
        <w:ind w:left="1288" w:right="1199" w:firstLine="10"/>
        <w:spacing w:after="0" w:line="256" w:lineRule="auto"/>
        <w:rPr>
          <w:sz w:val="20"/>
          <w:szCs w:val="20"/>
          <w:color w:val="auto"/>
        </w:rPr>
      </w:pPr>
      <w:r>
        <w:rPr>
          <w:rFonts w:ascii="Arial" w:cs="Arial" w:eastAsia="Arial" w:hAnsi="Arial"/>
          <w:sz w:val="20"/>
          <w:szCs w:val="20"/>
          <w:color w:val="auto"/>
        </w:rPr>
        <w:t xml:space="preserve">17.1.1 </w:t>
      </w:r>
      <w:r>
        <w:rPr>
          <w:rFonts w:ascii="Arial" w:cs="Arial" w:eastAsia="Arial" w:hAnsi="Arial"/>
          <w:sz w:val="17"/>
          <w:szCs w:val="17"/>
          <w:color w:val="auto"/>
        </w:rPr>
        <w:t>For all Royalty Wafers sold or transferred to Customers during the [*] years</w:t>
      </w:r>
      <w:r>
        <w:rPr>
          <w:rFonts w:ascii="Arial" w:cs="Arial" w:eastAsia="Arial" w:hAnsi="Arial"/>
          <w:sz w:val="20"/>
          <w:szCs w:val="20"/>
          <w:color w:val="auto"/>
        </w:rPr>
        <w:t xml:space="preserve"> </w:t>
      </w:r>
      <w:r>
        <w:rPr>
          <w:rFonts w:ascii="Arial" w:cs="Arial" w:eastAsia="Arial" w:hAnsi="Arial"/>
          <w:sz w:val="17"/>
          <w:szCs w:val="17"/>
          <w:color w:val="auto"/>
        </w:rPr>
        <w:t>following the sale of the first Royalty Wafer, a royalty of [*] %.</w:t>
      </w:r>
    </w:p>
    <w:p>
      <w:pPr>
        <w:spacing w:after="0" w:line="198" w:lineRule="exact"/>
        <w:rPr>
          <w:sz w:val="20"/>
          <w:szCs w:val="20"/>
          <w:color w:val="auto"/>
        </w:rPr>
      </w:pPr>
    </w:p>
    <w:p>
      <w:pPr>
        <w:ind w:left="1288" w:right="1219" w:firstLine="11"/>
        <w:spacing w:after="0" w:line="270" w:lineRule="auto"/>
        <w:rPr>
          <w:sz w:val="20"/>
          <w:szCs w:val="20"/>
          <w:color w:val="auto"/>
        </w:rPr>
      </w:pPr>
      <w:r>
        <w:rPr>
          <w:rFonts w:ascii="Arial" w:cs="Arial" w:eastAsia="Arial" w:hAnsi="Arial"/>
          <w:sz w:val="20"/>
          <w:szCs w:val="20"/>
          <w:color w:val="auto"/>
        </w:rPr>
        <w:t xml:space="preserve">17.1.2 </w:t>
      </w:r>
      <w:r>
        <w:rPr>
          <w:rFonts w:ascii="Arial" w:cs="Arial" w:eastAsia="Arial" w:hAnsi="Arial"/>
          <w:sz w:val="17"/>
          <w:szCs w:val="17"/>
          <w:color w:val="auto"/>
        </w:rPr>
        <w:t>For all Royalty Wafers sold or transferred to Customers during the [*] years</w:t>
      </w:r>
      <w:r>
        <w:rPr>
          <w:rFonts w:ascii="Arial" w:cs="Arial" w:eastAsia="Arial" w:hAnsi="Arial"/>
          <w:sz w:val="20"/>
          <w:szCs w:val="20"/>
          <w:color w:val="auto"/>
        </w:rPr>
        <w:t xml:space="preserve"> </w:t>
      </w:r>
      <w:r>
        <w:rPr>
          <w:rFonts w:ascii="Arial" w:cs="Arial" w:eastAsia="Arial" w:hAnsi="Arial"/>
          <w:sz w:val="17"/>
          <w:szCs w:val="17"/>
          <w:color w:val="auto"/>
        </w:rPr>
        <w:t>following the period set forth in Section 17.1.1, a royalty of [*] %.</w:t>
      </w:r>
    </w:p>
    <w:p>
      <w:pPr>
        <w:spacing w:after="0" w:line="174" w:lineRule="exact"/>
        <w:rPr>
          <w:sz w:val="20"/>
          <w:szCs w:val="20"/>
          <w:color w:val="auto"/>
        </w:rPr>
      </w:pPr>
    </w:p>
    <w:p>
      <w:pPr>
        <w:ind w:left="648" w:right="1299" w:hanging="1"/>
        <w:spacing w:after="0" w:line="293" w:lineRule="auto"/>
        <w:rPr>
          <w:sz w:val="20"/>
          <w:szCs w:val="20"/>
          <w:color w:val="auto"/>
        </w:rPr>
      </w:pPr>
      <w:r>
        <w:rPr>
          <w:rFonts w:ascii="Arial" w:cs="Arial" w:eastAsia="Arial" w:hAnsi="Arial"/>
          <w:sz w:val="18"/>
          <w:szCs w:val="18"/>
          <w:color w:val="auto"/>
        </w:rPr>
        <w:t>GLOBALFOUNDRIES' obligation to pay any royalties to Everspin pursuant to this Agreement will terminate when the time period set forth in Section 17.1.2 has passed."</w:t>
      </w:r>
    </w:p>
    <w:p>
      <w:pPr>
        <w:spacing w:after="0" w:line="143" w:lineRule="exact"/>
        <w:rPr>
          <w:sz w:val="20"/>
          <w:szCs w:val="20"/>
          <w:color w:val="auto"/>
        </w:rPr>
      </w:pPr>
    </w:p>
    <w:p>
      <w:pPr>
        <w:ind w:left="628" w:hanging="628"/>
        <w:spacing w:after="0"/>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left="628" w:right="599"/>
        <w:spacing w:after="0" w:line="272" w:lineRule="auto"/>
        <w:rPr>
          <w:rFonts w:ascii="Arial" w:cs="Arial" w:eastAsia="Arial" w:hAnsi="Arial"/>
          <w:sz w:val="18"/>
          <w:szCs w:val="18"/>
          <w:color w:val="auto"/>
        </w:rPr>
      </w:pPr>
      <w:r>
        <w:rPr>
          <w:rFonts w:ascii="Arial" w:cs="Arial" w:eastAsia="Arial" w:hAnsi="Arial"/>
          <w:sz w:val="18"/>
          <w:szCs w:val="18"/>
          <w:color w:val="auto"/>
        </w:rPr>
        <w:t>All references to the Agreement in any other document shall be deemed to refer to the Agreement as modified by this Amendment No. 4. Except as modified by this Amendment No. 4, all of the terms and conditions of the Agreement shall remain in full force and effect. In the event that the terms of this Amendment No. 4 conflict with the terms of the Agreement, the terms of this Amendment No. 4 shall control.</w:t>
      </w:r>
    </w:p>
    <w:p>
      <w:pPr>
        <w:spacing w:after="0" w:line="163" w:lineRule="exact"/>
        <w:rPr>
          <w:rFonts w:ascii="Arial" w:cs="Arial" w:eastAsia="Arial" w:hAnsi="Arial"/>
          <w:sz w:val="18"/>
          <w:szCs w:val="18"/>
          <w:color w:val="auto"/>
        </w:rPr>
      </w:pPr>
    </w:p>
    <w:p>
      <w:pPr>
        <w:ind w:left="628" w:hanging="628"/>
        <w:spacing w:after="0"/>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EXECUTION</w:t>
      </w:r>
    </w:p>
    <w:p>
      <w:pPr>
        <w:spacing w:after="0" w:line="225" w:lineRule="exact"/>
        <w:rPr>
          <w:rFonts w:ascii="Arial" w:cs="Arial" w:eastAsia="Arial" w:hAnsi="Arial"/>
          <w:sz w:val="18"/>
          <w:szCs w:val="18"/>
          <w:color w:val="auto"/>
        </w:rPr>
      </w:pPr>
    </w:p>
    <w:p>
      <w:pPr>
        <w:jc w:val="both"/>
        <w:ind w:left="628" w:right="599" w:firstLine="4"/>
        <w:spacing w:after="0" w:line="275" w:lineRule="auto"/>
        <w:rPr>
          <w:rFonts w:ascii="Arial" w:cs="Arial" w:eastAsia="Arial" w:hAnsi="Arial"/>
          <w:sz w:val="18"/>
          <w:szCs w:val="18"/>
          <w:color w:val="auto"/>
        </w:rPr>
      </w:pPr>
      <w:r>
        <w:rPr>
          <w:rFonts w:ascii="Arial" w:cs="Arial" w:eastAsia="Arial" w:hAnsi="Arial"/>
          <w:sz w:val="18"/>
          <w:szCs w:val="18"/>
          <w:color w:val="auto"/>
        </w:rPr>
        <w:t>This Amendment No. 4 may be executed in any number of counterpart originals, each of which shall be deemed an original instrument for all purposes, but all of which shall comprise one and the same instrument. This Amendment No. 4 may be delivered by electronic mail or facsimile, and a scanned version of this Amendment No. 4 shall be binding as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323850</wp:posOffset>
            </wp:positionV>
            <wp:extent cx="56832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ectPr>
          <w:pgSz w:w="11900" w:h="16838" w:orient="portrait"/>
          <w:cols w:equalWidth="0" w:num="1">
            <w:col w:w="9027"/>
          </w:cols>
          <w:pgMar w:left="1432" w:top="125" w:right="1440" w:bottom="1440" w:gutter="0" w:footer="0" w:header="0"/>
        </w:sectPr>
      </w:pPr>
    </w:p>
    <w:bookmarkStart w:id="89" w:name="page90"/>
    <w:bookmarkEnd w:id="89"/>
    <w:p>
      <w:pPr>
        <w:ind w:left="380" w:right="239" w:firstLine="8"/>
        <w:spacing w:after="0" w:line="293" w:lineRule="auto"/>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 effective as of the Amendment Effective Date.</w:t>
      </w:r>
    </w:p>
    <w:p>
      <w:pPr>
        <w:spacing w:after="0" w:line="148" w:lineRule="exact"/>
        <w:rPr>
          <w:sz w:val="20"/>
          <w:szCs w:val="20"/>
          <w:color w:val="auto"/>
        </w:rPr>
      </w:pPr>
    </w:p>
    <w:p>
      <w:pPr>
        <w:ind w:left="1100"/>
        <w:spacing w:after="0"/>
        <w:tabs>
          <w:tab w:leader="none" w:pos="5600" w:val="left"/>
        </w:tabs>
        <w:rPr>
          <w:sz w:val="20"/>
          <w:szCs w:val="20"/>
          <w:color w:val="auto"/>
        </w:rPr>
      </w:pPr>
      <w:r>
        <w:rPr>
          <w:rFonts w:ascii="Arial" w:cs="Arial" w:eastAsia="Arial" w:hAnsi="Arial"/>
          <w:sz w:val="18"/>
          <w:szCs w:val="18"/>
          <w:b w:val="1"/>
          <w:bCs w:val="1"/>
          <w:color w:val="auto"/>
        </w:rPr>
        <w:t>Everspin Technologies, Inc.</w:t>
      </w:r>
      <w:r>
        <w:rPr>
          <w:sz w:val="20"/>
          <w:szCs w:val="20"/>
          <w:color w:val="auto"/>
        </w:rPr>
        <w:tab/>
      </w:r>
      <w:r>
        <w:rPr>
          <w:rFonts w:ascii="Arial" w:cs="Arial" w:eastAsia="Arial" w:hAnsi="Arial"/>
          <w:sz w:val="17"/>
          <w:szCs w:val="17"/>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17"/>
        </w:trPr>
        <w:tc>
          <w:tcPr>
            <w:tcW w:w="4100" w:type="dxa"/>
            <w:vAlign w:val="bottom"/>
          </w:tcPr>
          <w:p>
            <w:pPr>
              <w:ind w:left="880"/>
              <w:spacing w:after="0"/>
              <w:rPr>
                <w:sz w:val="20"/>
                <w:szCs w:val="20"/>
                <w:color w:val="auto"/>
              </w:rPr>
            </w:pPr>
            <w:r>
              <w:rPr>
                <w:rFonts w:ascii="Arial" w:cs="Arial" w:eastAsia="Arial" w:hAnsi="Arial"/>
                <w:sz w:val="18"/>
                <w:szCs w:val="18"/>
                <w:color w:val="auto"/>
              </w:rPr>
              <w:t>By: /s/ Kevin Conley</w:t>
            </w:r>
          </w:p>
        </w:tc>
        <w:tc>
          <w:tcPr>
            <w:tcW w:w="4480" w:type="dxa"/>
            <w:vAlign w:val="bottom"/>
          </w:tcPr>
          <w:p>
            <w:pPr>
              <w:ind w:left="1080"/>
              <w:spacing w:after="0"/>
              <w:rPr>
                <w:sz w:val="20"/>
                <w:szCs w:val="20"/>
                <w:color w:val="auto"/>
              </w:rPr>
            </w:pPr>
            <w:r>
              <w:rPr>
                <w:rFonts w:ascii="Arial" w:cs="Arial" w:eastAsia="Arial" w:hAnsi="Arial"/>
                <w:sz w:val="18"/>
                <w:szCs w:val="18"/>
                <w:color w:val="auto"/>
              </w:rPr>
              <w:t>By: /s/ David Bennett</w:t>
            </w:r>
          </w:p>
        </w:tc>
      </w:tr>
      <w:tr>
        <w:trPr>
          <w:trHeight w:val="783"/>
        </w:trPr>
        <w:tc>
          <w:tcPr>
            <w:tcW w:w="4100" w:type="dxa"/>
            <w:vAlign w:val="bottom"/>
          </w:tcPr>
          <w:p>
            <w:pPr>
              <w:ind w:left="880"/>
              <w:spacing w:after="0"/>
              <w:rPr>
                <w:sz w:val="20"/>
                <w:szCs w:val="20"/>
                <w:color w:val="auto"/>
              </w:rPr>
            </w:pPr>
            <w:r>
              <w:rPr>
                <w:rFonts w:ascii="Arial" w:cs="Arial" w:eastAsia="Arial" w:hAnsi="Arial"/>
                <w:sz w:val="18"/>
                <w:szCs w:val="18"/>
                <w:color w:val="auto"/>
              </w:rPr>
              <w:t>Printed Name: Kevin Conley</w:t>
            </w:r>
          </w:p>
        </w:tc>
        <w:tc>
          <w:tcPr>
            <w:tcW w:w="4480" w:type="dxa"/>
            <w:vAlign w:val="bottom"/>
          </w:tcPr>
          <w:p>
            <w:pPr>
              <w:ind w:left="1160"/>
              <w:spacing w:after="0"/>
              <w:rPr>
                <w:sz w:val="20"/>
                <w:szCs w:val="20"/>
                <w:color w:val="auto"/>
              </w:rPr>
            </w:pPr>
            <w:r>
              <w:rPr>
                <w:rFonts w:ascii="Arial" w:cs="Arial" w:eastAsia="Arial" w:hAnsi="Arial"/>
                <w:sz w:val="18"/>
                <w:szCs w:val="18"/>
                <w:color w:val="auto"/>
              </w:rPr>
              <w:t>Printed Name: David Bennett</w:t>
            </w:r>
          </w:p>
        </w:tc>
      </w:tr>
      <w:tr>
        <w:trPr>
          <w:trHeight w:val="796"/>
        </w:trPr>
        <w:tc>
          <w:tcPr>
            <w:tcW w:w="4100" w:type="dxa"/>
            <w:vAlign w:val="bottom"/>
          </w:tcPr>
          <w:p>
            <w:pPr>
              <w:ind w:left="880"/>
              <w:spacing w:after="0"/>
              <w:rPr>
                <w:sz w:val="20"/>
                <w:szCs w:val="20"/>
                <w:color w:val="auto"/>
              </w:rPr>
            </w:pPr>
            <w:r>
              <w:rPr>
                <w:rFonts w:ascii="Arial" w:cs="Arial" w:eastAsia="Arial" w:hAnsi="Arial"/>
                <w:sz w:val="18"/>
                <w:szCs w:val="18"/>
                <w:color w:val="auto"/>
              </w:rPr>
              <w:t>Title: CEO</w:t>
            </w:r>
          </w:p>
        </w:tc>
        <w:tc>
          <w:tcPr>
            <w:tcW w:w="4480" w:type="dxa"/>
            <w:vAlign w:val="bottom"/>
          </w:tcPr>
          <w:p>
            <w:pPr>
              <w:ind w:left="980"/>
              <w:spacing w:after="0"/>
              <w:rPr>
                <w:sz w:val="20"/>
                <w:szCs w:val="20"/>
                <w:color w:val="auto"/>
              </w:rPr>
            </w:pPr>
            <w:r>
              <w:rPr>
                <w:rFonts w:ascii="Arial" w:cs="Arial" w:eastAsia="Arial" w:hAnsi="Arial"/>
                <w:sz w:val="18"/>
                <w:szCs w:val="18"/>
                <w:color w:val="auto"/>
              </w:rPr>
              <w:t>Title: VP Strategic Agreements</w:t>
            </w:r>
          </w:p>
        </w:tc>
      </w:tr>
      <w:tr>
        <w:trPr>
          <w:trHeight w:val="561"/>
        </w:trPr>
        <w:tc>
          <w:tcPr>
            <w:tcW w:w="4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9"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21"/>
          <w:szCs w:val="21"/>
          <w:b w:val="1"/>
          <w:bCs w:val="1"/>
          <w:color w:val="2D2D2D"/>
        </w:rPr>
        <w:t>Exhibit 10.25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2D2D2D"/>
        </w:rPr>
        <w:t>SEPARATION AGREEMENT AND RELEASE</w:t>
      </w:r>
    </w:p>
    <w:p>
      <w:pPr>
        <w:spacing w:after="0" w:line="224" w:lineRule="exact"/>
        <w:rPr>
          <w:sz w:val="20"/>
          <w:szCs w:val="20"/>
          <w:color w:val="auto"/>
        </w:rPr>
      </w:pPr>
    </w:p>
    <w:p>
      <w:pPr>
        <w:jc w:val="both"/>
        <w:ind w:firstLine="660"/>
        <w:spacing w:after="0" w:line="271" w:lineRule="auto"/>
        <w:rPr>
          <w:sz w:val="20"/>
          <w:szCs w:val="20"/>
          <w:color w:val="auto"/>
        </w:rPr>
      </w:pPr>
      <w:r>
        <w:rPr>
          <w:rFonts w:ascii="Arial" w:cs="Arial" w:eastAsia="Arial" w:hAnsi="Arial"/>
          <w:sz w:val="20"/>
          <w:szCs w:val="20"/>
          <w:color w:val="2D2D2D"/>
        </w:rPr>
        <w:t xml:space="preserve">This Separation Agreement and Release (this </w:t>
      </w:r>
      <w:r>
        <w:rPr>
          <w:rFonts w:ascii="Arial" w:cs="Arial" w:eastAsia="Arial" w:hAnsi="Arial"/>
          <w:sz w:val="20"/>
          <w:szCs w:val="20"/>
          <w:u w:val="single" w:color="auto"/>
          <w:color w:val="2D2D2D"/>
        </w:rPr>
        <w:t>"Agreement")</w:t>
      </w:r>
      <w:r>
        <w:rPr>
          <w:rFonts w:ascii="Arial" w:cs="Arial" w:eastAsia="Arial" w:hAnsi="Arial"/>
          <w:sz w:val="20"/>
          <w:szCs w:val="20"/>
          <w:color w:val="2D2D2D"/>
        </w:rPr>
        <w:t xml:space="preserve"> is made as a compromise and release between Everspin Technologies, Inc. (the </w:t>
      </w:r>
      <w:r>
        <w:rPr>
          <w:rFonts w:ascii="Arial" w:cs="Arial" w:eastAsia="Arial" w:hAnsi="Arial"/>
          <w:sz w:val="20"/>
          <w:szCs w:val="20"/>
          <w:u w:val="single" w:color="auto"/>
          <w:color w:val="2D2D2D"/>
        </w:rPr>
        <w:t>"Company")</w:t>
      </w:r>
      <w:r>
        <w:rPr>
          <w:rFonts w:ascii="Arial" w:cs="Arial" w:eastAsia="Arial" w:hAnsi="Arial"/>
          <w:sz w:val="20"/>
          <w:szCs w:val="20"/>
          <w:color w:val="2D2D2D"/>
        </w:rPr>
        <w:t xml:space="preserve"> and Kevin Conley (the </w:t>
      </w:r>
      <w:r>
        <w:rPr>
          <w:rFonts w:ascii="Arial" w:cs="Arial" w:eastAsia="Arial" w:hAnsi="Arial"/>
          <w:sz w:val="20"/>
          <w:szCs w:val="20"/>
          <w:u w:val="single" w:color="auto"/>
          <w:color w:val="2D2D2D"/>
        </w:rPr>
        <w:t>"Employee")</w:t>
      </w:r>
      <w:r>
        <w:rPr>
          <w:rFonts w:ascii="Arial" w:cs="Arial" w:eastAsia="Arial" w:hAnsi="Arial"/>
          <w:sz w:val="20"/>
          <w:szCs w:val="20"/>
          <w:color w:val="2D2D2D"/>
        </w:rPr>
        <w:t xml:space="preserve"> in the complete, final, and binding settlement of all claims and potential claims, if any, with respect to their employment relationship.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D2D2D"/>
        </w:rPr>
        <w:t>RECITALS</w:t>
      </w:r>
    </w:p>
    <w:p>
      <w:pPr>
        <w:spacing w:after="0" w:line="224" w:lineRule="exact"/>
        <w:rPr>
          <w:sz w:val="20"/>
          <w:szCs w:val="20"/>
          <w:color w:val="auto"/>
        </w:rPr>
      </w:pPr>
    </w:p>
    <w:p>
      <w:pPr>
        <w:ind w:firstLine="661"/>
        <w:spacing w:after="0" w:line="317" w:lineRule="auto"/>
        <w:tabs>
          <w:tab w:leader="none" w:pos="1474" w:val="left"/>
        </w:tabs>
        <w:numPr>
          <w:ilvl w:val="0"/>
          <w:numId w:val="46"/>
        </w:numPr>
        <w:rPr>
          <w:rFonts w:ascii="Arial" w:cs="Arial" w:eastAsia="Arial" w:hAnsi="Arial"/>
          <w:sz w:val="19"/>
          <w:szCs w:val="19"/>
          <w:color w:val="2D2D2D"/>
        </w:rPr>
      </w:pPr>
      <w:r>
        <w:rPr>
          <w:rFonts w:ascii="Arial" w:cs="Arial" w:eastAsia="Arial" w:hAnsi="Arial"/>
          <w:sz w:val="19"/>
          <w:szCs w:val="19"/>
          <w:color w:val="2D2D2D"/>
        </w:rPr>
        <w:t xml:space="preserve">Employee was employed by the Company as the Company's President and Chief Executive Officer pursuant to an Executive Employment Agreement, dated August 18, 2017 (the </w:t>
      </w:r>
      <w:r>
        <w:rPr>
          <w:rFonts w:ascii="Arial" w:cs="Arial" w:eastAsia="Arial" w:hAnsi="Arial"/>
          <w:sz w:val="19"/>
          <w:szCs w:val="19"/>
          <w:u w:val="single" w:color="auto"/>
          <w:color w:val="2D2D2D"/>
        </w:rPr>
        <w:t>"Employment Agreement");</w:t>
      </w:r>
    </w:p>
    <w:p>
      <w:pPr>
        <w:spacing w:after="0" w:line="124" w:lineRule="exact"/>
        <w:rPr>
          <w:rFonts w:ascii="Arial" w:cs="Arial" w:eastAsia="Arial" w:hAnsi="Arial"/>
          <w:sz w:val="19"/>
          <w:szCs w:val="19"/>
          <w:color w:val="2D2D2D"/>
        </w:rPr>
      </w:pPr>
    </w:p>
    <w:p>
      <w:pPr>
        <w:ind w:firstLine="661"/>
        <w:spacing w:after="0" w:line="348" w:lineRule="auto"/>
        <w:tabs>
          <w:tab w:leader="none" w:pos="1335" w:val="left"/>
        </w:tabs>
        <w:numPr>
          <w:ilvl w:val="0"/>
          <w:numId w:val="46"/>
        </w:numPr>
        <w:rPr>
          <w:rFonts w:ascii="Arial" w:cs="Arial" w:eastAsia="Arial" w:hAnsi="Arial"/>
          <w:sz w:val="18"/>
          <w:szCs w:val="18"/>
          <w:color w:val="2D2D2D"/>
        </w:rPr>
      </w:pPr>
      <w:r>
        <w:rPr>
          <w:rFonts w:ascii="Arial" w:cs="Arial" w:eastAsia="Arial" w:hAnsi="Arial"/>
          <w:sz w:val="18"/>
          <w:szCs w:val="18"/>
          <w:color w:val="2D2D2D"/>
        </w:rPr>
        <w:t>Based on Employee's resignation and the mutual agreement of Employee and the Company, Employee</w:t>
      </w:r>
      <w:r>
        <w:rPr>
          <w:rFonts w:ascii="Arial" w:cs="Arial" w:eastAsia="Arial" w:hAnsi="Arial"/>
          <w:sz w:val="18"/>
          <w:szCs w:val="18"/>
          <w:color w:val="494949"/>
        </w:rPr>
        <w:t>'</w:t>
      </w:r>
      <w:r>
        <w:rPr>
          <w:rFonts w:ascii="Arial" w:cs="Arial" w:eastAsia="Arial" w:hAnsi="Arial"/>
          <w:sz w:val="18"/>
          <w:szCs w:val="18"/>
          <w:color w:val="2D2D2D"/>
        </w:rPr>
        <w:t xml:space="preserve"> s at-will employment with the Company will be terminated effective January 30, 2021 (the </w:t>
      </w:r>
      <w:r>
        <w:rPr>
          <w:rFonts w:ascii="Arial" w:cs="Arial" w:eastAsia="Arial" w:hAnsi="Arial"/>
          <w:sz w:val="18"/>
          <w:szCs w:val="18"/>
          <w:u w:val="single" w:color="auto"/>
          <w:color w:val="2D2D2D"/>
        </w:rPr>
        <w:t>"Separation Date");</w:t>
      </w:r>
    </w:p>
    <w:p>
      <w:pPr>
        <w:spacing w:after="0" w:line="101" w:lineRule="exact"/>
        <w:rPr>
          <w:rFonts w:ascii="Arial" w:cs="Arial" w:eastAsia="Arial" w:hAnsi="Arial"/>
          <w:sz w:val="18"/>
          <w:szCs w:val="18"/>
          <w:color w:val="2D2D2D"/>
        </w:rPr>
      </w:pPr>
    </w:p>
    <w:p>
      <w:pPr>
        <w:jc w:val="both"/>
        <w:ind w:firstLine="655"/>
        <w:spacing w:after="0" w:line="283" w:lineRule="auto"/>
        <w:tabs>
          <w:tab w:leader="none" w:pos="1378" w:val="left"/>
        </w:tabs>
        <w:numPr>
          <w:ilvl w:val="0"/>
          <w:numId w:val="46"/>
        </w:numPr>
        <w:rPr>
          <w:rFonts w:ascii="Arial" w:cs="Arial" w:eastAsia="Arial" w:hAnsi="Arial"/>
          <w:sz w:val="19"/>
          <w:szCs w:val="19"/>
          <w:color w:val="2D2D2D"/>
        </w:rPr>
      </w:pPr>
      <w:r>
        <w:rPr>
          <w:rFonts w:ascii="Arial" w:cs="Arial" w:eastAsia="Arial" w:hAnsi="Arial"/>
          <w:sz w:val="19"/>
          <w:szCs w:val="19"/>
          <w:color w:val="2D2D2D"/>
        </w:rPr>
        <w:t>Employee acknowledges the receipt of all wages, salary, bonuses, benefits, expense reimbursement or any other monies owed by Company to Employee aside from any wages that Employee shall earn through the Separation Date. Aside from the separation benefits described below and wages earned through the Separation Date, Employee acknowledges that Employee is not entitled to any additional future compensation from the Company; and</w:t>
      </w:r>
    </w:p>
    <w:p>
      <w:pPr>
        <w:spacing w:after="0" w:line="157" w:lineRule="exact"/>
        <w:rPr>
          <w:rFonts w:ascii="Arial" w:cs="Arial" w:eastAsia="Arial" w:hAnsi="Arial"/>
          <w:sz w:val="19"/>
          <w:szCs w:val="19"/>
          <w:color w:val="2D2D2D"/>
        </w:rPr>
      </w:pPr>
    </w:p>
    <w:p>
      <w:pPr>
        <w:jc w:val="both"/>
        <w:ind w:firstLine="656"/>
        <w:spacing w:after="0" w:line="262" w:lineRule="auto"/>
        <w:tabs>
          <w:tab w:leader="none" w:pos="1658" w:val="left"/>
        </w:tabs>
        <w:numPr>
          <w:ilvl w:val="0"/>
          <w:numId w:val="46"/>
        </w:numPr>
        <w:rPr>
          <w:rFonts w:ascii="Arial" w:cs="Arial" w:eastAsia="Arial" w:hAnsi="Arial"/>
          <w:sz w:val="20"/>
          <w:szCs w:val="20"/>
          <w:color w:val="2D2D2D"/>
        </w:rPr>
      </w:pPr>
      <w:r>
        <w:rPr>
          <w:rFonts w:ascii="Arial" w:cs="Arial" w:eastAsia="Arial" w:hAnsi="Arial"/>
          <w:sz w:val="20"/>
          <w:szCs w:val="20"/>
          <w:color w:val="2D2D2D"/>
        </w:rPr>
        <w:t>Pursuant to Sections 3.2 and 4 of the Employment Agreement, the Company has offered, and Employee has accepted, the Separation Package as described below in exchange for a waiver and release of all claims, a waiver and release of any of the Company's obligations under the Employment Agreement, and other provisions in this Agreement. This Agreement is therefore entered into by the Company and Employee to document the parties' agreement regarding the terms of Employee's separation from the Company</w:t>
      </w:r>
      <w:r>
        <w:rPr>
          <w:rFonts w:ascii="Arial" w:cs="Arial" w:eastAsia="Arial" w:hAnsi="Arial"/>
          <w:sz w:val="20"/>
          <w:szCs w:val="20"/>
          <w:color w:val="494949"/>
        </w:rPr>
        <w: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21"/>
          <w:szCs w:val="21"/>
          <w:b w:val="1"/>
          <w:bCs w:val="1"/>
          <w:color w:val="2D2D2D"/>
        </w:rPr>
        <w:t xml:space="preserve">NOW, THEREFORE, </w:t>
      </w:r>
      <w:r>
        <w:rPr>
          <w:rFonts w:ascii="Arial" w:cs="Arial" w:eastAsia="Arial" w:hAnsi="Arial"/>
          <w:sz w:val="21"/>
          <w:szCs w:val="21"/>
          <w:color w:val="2D2D2D"/>
        </w:rPr>
        <w:t>IN</w:t>
      </w:r>
      <w:r>
        <w:rPr>
          <w:rFonts w:ascii="Arial" w:cs="Arial" w:eastAsia="Arial" w:hAnsi="Arial"/>
          <w:sz w:val="21"/>
          <w:szCs w:val="21"/>
          <w:b w:val="1"/>
          <w:bCs w:val="1"/>
          <w:color w:val="2D2D2D"/>
        </w:rPr>
        <w:t xml:space="preserve"> RELIANCE OF THE ABOVE RECITALS AND IN </w:t>
      </w:r>
      <w:r>
        <w:rPr>
          <w:rFonts w:ascii="Arial" w:cs="Arial" w:eastAsia="Arial" w:hAnsi="Arial"/>
          <w:sz w:val="19"/>
          <w:szCs w:val="19"/>
          <w:b w:val="1"/>
          <w:bCs w:val="1"/>
          <w:color w:val="2D2D2D"/>
        </w:rPr>
        <w:t>CONSIDERATION</w:t>
      </w:r>
      <w:r>
        <w:rPr>
          <w:rFonts w:ascii="Arial" w:cs="Arial" w:eastAsia="Arial" w:hAnsi="Arial"/>
          <w:sz w:val="21"/>
          <w:szCs w:val="21"/>
          <w:b w:val="1"/>
          <w:bCs w:val="1"/>
          <w:color w:val="2D2D2D"/>
        </w:rPr>
        <w:t xml:space="preserve"> </w:t>
      </w:r>
      <w:r>
        <w:rPr>
          <w:rFonts w:ascii="Arial" w:cs="Arial" w:eastAsia="Arial" w:hAnsi="Arial"/>
          <w:sz w:val="19"/>
          <w:szCs w:val="19"/>
          <w:color w:val="2D2D2D"/>
        </w:rPr>
        <w:t>of</w:t>
      </w:r>
      <w:r>
        <w:rPr>
          <w:rFonts w:ascii="Arial" w:cs="Arial" w:eastAsia="Arial" w:hAnsi="Arial"/>
          <w:sz w:val="21"/>
          <w:szCs w:val="21"/>
          <w:b w:val="1"/>
          <w:bCs w:val="1"/>
          <w:color w:val="2D2D2D"/>
        </w:rPr>
        <w:t xml:space="preserve"> </w:t>
      </w:r>
      <w:r>
        <w:rPr>
          <w:rFonts w:ascii="Arial" w:cs="Arial" w:eastAsia="Arial" w:hAnsi="Arial"/>
          <w:sz w:val="21"/>
          <w:szCs w:val="21"/>
          <w:color w:val="2D2D2D"/>
        </w:rPr>
        <w:t>the</w:t>
      </w:r>
      <w:r>
        <w:rPr>
          <w:rFonts w:ascii="Arial" w:cs="Arial" w:eastAsia="Arial" w:hAnsi="Arial"/>
          <w:sz w:val="21"/>
          <w:szCs w:val="21"/>
          <w:b w:val="1"/>
          <w:bCs w:val="1"/>
          <w:color w:val="2D2D2D"/>
        </w:rPr>
        <w:t xml:space="preserve"> </w:t>
      </w:r>
      <w:r>
        <w:rPr>
          <w:rFonts w:ascii="Arial" w:cs="Arial" w:eastAsia="Arial" w:hAnsi="Arial"/>
          <w:sz w:val="21"/>
          <w:szCs w:val="21"/>
          <w:color w:val="2D2D2D"/>
        </w:rPr>
        <w:t>promises, covenants and agreements herein contained, the parties agree as follows:</w:t>
      </w:r>
    </w:p>
    <w:p>
      <w:pPr>
        <w:spacing w:after="0" w:line="157" w:lineRule="exact"/>
        <w:rPr>
          <w:sz w:val="20"/>
          <w:szCs w:val="20"/>
          <w:color w:val="auto"/>
        </w:rPr>
      </w:pPr>
    </w:p>
    <w:p>
      <w:pPr>
        <w:jc w:val="both"/>
        <w:ind w:firstLine="657"/>
        <w:spacing w:after="0" w:line="259" w:lineRule="auto"/>
        <w:tabs>
          <w:tab w:leader="none" w:pos="1524" w:val="left"/>
        </w:tabs>
        <w:numPr>
          <w:ilvl w:val="0"/>
          <w:numId w:val="47"/>
        </w:numPr>
        <w:rPr>
          <w:rFonts w:ascii="Arial" w:cs="Arial" w:eastAsia="Arial" w:hAnsi="Arial"/>
          <w:sz w:val="20"/>
          <w:szCs w:val="20"/>
          <w:color w:val="2D2D2D"/>
        </w:rPr>
      </w:pPr>
      <w:r>
        <w:rPr>
          <w:rFonts w:ascii="Arial" w:cs="Arial" w:eastAsia="Arial" w:hAnsi="Arial"/>
          <w:sz w:val="20"/>
          <w:szCs w:val="20"/>
          <w:b w:val="1"/>
          <w:bCs w:val="1"/>
          <w:color w:val="2D2D2D"/>
        </w:rPr>
        <w:t xml:space="preserve">Separation Date. </w:t>
      </w:r>
      <w:r>
        <w:rPr>
          <w:rFonts w:ascii="Arial" w:cs="Arial" w:eastAsia="Arial" w:hAnsi="Arial"/>
          <w:sz w:val="20"/>
          <w:szCs w:val="20"/>
          <w:color w:val="2D2D2D"/>
        </w:rPr>
        <w:t>Employee's employment with the Company will terminate effective January 30,</w:t>
      </w:r>
      <w:r>
        <w:rPr>
          <w:rFonts w:ascii="Arial" w:cs="Arial" w:eastAsia="Arial" w:hAnsi="Arial"/>
          <w:sz w:val="20"/>
          <w:szCs w:val="20"/>
          <w:b w:val="1"/>
          <w:bCs w:val="1"/>
          <w:color w:val="2D2D2D"/>
        </w:rPr>
        <w:t xml:space="preserve"> </w:t>
      </w:r>
      <w:r>
        <w:rPr>
          <w:rFonts w:ascii="Arial" w:cs="Arial" w:eastAsia="Arial" w:hAnsi="Arial"/>
          <w:sz w:val="20"/>
          <w:szCs w:val="20"/>
          <w:color w:val="2D2D2D"/>
        </w:rPr>
        <w:t>2021. From December 14, 2020 through the Separation Date, Employee and the Company agree that Employee shall be responsible for providing the Company with transitional support, with the attendant transition of duties, responsibilities, and authorizations of Employee's position, the timing and scope of which are in the sole discretion of the Company. With respect to communications related to providing transitional support, Employee shall only speak to Darin Billerbeck, unless Darin Billerbeck explicitly requests that he speak to anyone else. By Employee's execution of this Agreement, and effective immediately as of the date of such execution, Employee also resigns any and all positions with the Company's Board of Directors.</w:t>
      </w:r>
    </w:p>
    <w:p>
      <w:pPr>
        <w:spacing w:after="0" w:line="174" w:lineRule="exact"/>
        <w:rPr>
          <w:rFonts w:ascii="Arial" w:cs="Arial" w:eastAsia="Arial" w:hAnsi="Arial"/>
          <w:sz w:val="20"/>
          <w:szCs w:val="20"/>
          <w:color w:val="2D2D2D"/>
        </w:rPr>
      </w:pPr>
    </w:p>
    <w:p>
      <w:pPr>
        <w:ind w:left="1340" w:hanging="686"/>
        <w:spacing w:after="0"/>
        <w:tabs>
          <w:tab w:leader="none" w:pos="1340" w:val="left"/>
        </w:tabs>
        <w:numPr>
          <w:ilvl w:val="0"/>
          <w:numId w:val="47"/>
        </w:numPr>
        <w:rPr>
          <w:rFonts w:ascii="Arial" w:cs="Arial" w:eastAsia="Arial" w:hAnsi="Arial"/>
          <w:sz w:val="20"/>
          <w:szCs w:val="20"/>
          <w:color w:val="2D2D2D"/>
        </w:rPr>
      </w:pPr>
      <w:r>
        <w:rPr>
          <w:rFonts w:ascii="Arial" w:cs="Arial" w:eastAsia="Arial" w:hAnsi="Arial"/>
          <w:sz w:val="21"/>
          <w:szCs w:val="21"/>
          <w:b w:val="1"/>
          <w:bCs w:val="1"/>
          <w:color w:val="2D2D2D"/>
        </w:rPr>
        <w:t xml:space="preserve">Consideration. </w:t>
      </w:r>
      <w:r>
        <w:rPr>
          <w:rFonts w:ascii="Arial" w:cs="Arial" w:eastAsia="Arial" w:hAnsi="Arial"/>
          <w:sz w:val="21"/>
          <w:szCs w:val="21"/>
          <w:color w:val="2D2D2D"/>
        </w:rPr>
        <w:t>In consideration for the releases and covenants by Employee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655955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91" w:name="page92"/>
    <w:bookmarkEnd w:id="91"/>
    <w:p>
      <w:pPr>
        <w:jc w:val="both"/>
        <w:spacing w:after="0" w:line="324" w:lineRule="auto"/>
        <w:rPr>
          <w:sz w:val="20"/>
          <w:szCs w:val="20"/>
          <w:color w:val="auto"/>
        </w:rPr>
      </w:pPr>
      <w:r>
        <w:rPr>
          <w:rFonts w:ascii="Arial" w:cs="Arial" w:eastAsia="Arial" w:hAnsi="Arial"/>
          <w:sz w:val="18"/>
          <w:szCs w:val="18"/>
          <w:color w:val="2D2D2D"/>
        </w:rPr>
        <w:t xml:space="preserve">Agreement, provided Employee signs and complies with this Agreement, re-executes and reaffirms the covenants and releases in this Agreement on or after Employee's Separation Date, and does not exercise the right to revocation under Section </w:t>
      </w:r>
      <w:r>
        <w:rPr>
          <w:rFonts w:ascii="Arial" w:cs="Arial" w:eastAsia="Arial" w:hAnsi="Arial"/>
          <w:sz w:val="16"/>
          <w:szCs w:val="16"/>
          <w:i w:val="1"/>
          <w:iCs w:val="1"/>
          <w:color w:val="2D2D2D"/>
        </w:rPr>
        <w:t>5</w:t>
      </w:r>
      <w:r>
        <w:rPr>
          <w:rFonts w:ascii="Arial" w:cs="Arial" w:eastAsia="Arial" w:hAnsi="Arial"/>
          <w:sz w:val="18"/>
          <w:szCs w:val="18"/>
          <w:color w:val="2D2D2D"/>
        </w:rPr>
        <w:t xml:space="preserve"> of this Agreement, Employee shall receive the following separation benefit(s) </w:t>
      </w:r>
      <w:r>
        <w:rPr>
          <w:rFonts w:ascii="Arial" w:cs="Arial" w:eastAsia="Arial" w:hAnsi="Arial"/>
          <w:sz w:val="18"/>
          <w:szCs w:val="18"/>
          <w:b w:val="1"/>
          <w:bCs w:val="1"/>
          <w:color w:val="2D2D2D"/>
        </w:rPr>
        <w:t>("Separation Package"):</w:t>
      </w:r>
    </w:p>
    <w:p>
      <w:pPr>
        <w:spacing w:after="0" w:line="120" w:lineRule="exact"/>
        <w:rPr>
          <w:sz w:val="20"/>
          <w:szCs w:val="20"/>
          <w:color w:val="auto"/>
        </w:rPr>
      </w:pPr>
    </w:p>
    <w:p>
      <w:pPr>
        <w:jc w:val="both"/>
        <w:ind w:left="1300" w:hanging="320"/>
        <w:spacing w:after="0" w:line="231" w:lineRule="auto"/>
        <w:tabs>
          <w:tab w:leader="none" w:pos="1417" w:val="left"/>
        </w:tabs>
        <w:numPr>
          <w:ilvl w:val="0"/>
          <w:numId w:val="48"/>
        </w:numPr>
        <w:rPr>
          <w:rFonts w:ascii="Arial" w:cs="Arial" w:eastAsia="Arial" w:hAnsi="Arial"/>
          <w:sz w:val="21"/>
          <w:szCs w:val="21"/>
          <w:color w:val="2D2D2D"/>
        </w:rPr>
      </w:pPr>
      <w:r>
        <w:rPr>
          <w:rFonts w:ascii="Arial" w:cs="Arial" w:eastAsia="Arial" w:hAnsi="Arial"/>
          <w:sz w:val="21"/>
          <w:szCs w:val="21"/>
          <w:color w:val="2D2D2D"/>
        </w:rPr>
        <w:t>Payment of Executive's base annual salary of $400,000 over twelve (12) months. These salary continuation payments will be paid on the Company's regular payroll schedule, subject to standard deductions and withholdings, over the twelve (12) month period following the Separation Date; provided, however, that no payments will be made prior to the 60</w:t>
      </w:r>
      <w:r>
        <w:rPr>
          <w:rFonts w:ascii="Arial" w:cs="Arial" w:eastAsia="Arial" w:hAnsi="Arial"/>
          <w:sz w:val="14"/>
          <w:szCs w:val="14"/>
          <w:color w:val="2D2D2D"/>
        </w:rPr>
        <w:t>th</w:t>
      </w:r>
      <w:r>
        <w:rPr>
          <w:rFonts w:ascii="Arial" w:cs="Arial" w:eastAsia="Arial" w:hAnsi="Arial"/>
          <w:sz w:val="21"/>
          <w:szCs w:val="21"/>
          <w:color w:val="2D2D2D"/>
        </w:rPr>
        <w:t xml:space="preserve"> day following Employee's Separation Date. On the 60</w:t>
      </w:r>
      <w:r>
        <w:rPr>
          <w:rFonts w:ascii="Arial" w:cs="Arial" w:eastAsia="Arial" w:hAnsi="Arial"/>
          <w:sz w:val="31"/>
          <w:szCs w:val="31"/>
          <w:color w:val="2D2D2D"/>
          <w:vertAlign w:val="superscript"/>
        </w:rPr>
        <w:t>th</w:t>
      </w:r>
      <w:r>
        <w:rPr>
          <w:rFonts w:ascii="Arial" w:cs="Arial" w:eastAsia="Arial" w:hAnsi="Arial"/>
          <w:sz w:val="21"/>
          <w:szCs w:val="21"/>
          <w:color w:val="2D2D2D"/>
        </w:rPr>
        <w:t xml:space="preserve"> day following the Executive's Separation Date, the Company will pay Executive in a lump sum the salary continuation payments the Executive would have received on or prior to such date under the original schedule with the balance of the cash severance being paid as originally scheduled. Each check will be mailed to Employee at the last known address provided to the Company by Employee.</w:t>
      </w:r>
    </w:p>
    <w:p>
      <w:pPr>
        <w:spacing w:after="0" w:line="200" w:lineRule="exact"/>
        <w:rPr>
          <w:rFonts w:ascii="Arial" w:cs="Arial" w:eastAsia="Arial" w:hAnsi="Arial"/>
          <w:sz w:val="21"/>
          <w:szCs w:val="21"/>
          <w:color w:val="2D2D2D"/>
        </w:rPr>
      </w:pPr>
    </w:p>
    <w:p>
      <w:pPr>
        <w:jc w:val="both"/>
        <w:ind w:left="1300" w:hanging="320"/>
        <w:spacing w:after="0" w:line="270" w:lineRule="auto"/>
        <w:tabs>
          <w:tab w:leader="none" w:pos="1344" w:val="left"/>
        </w:tabs>
        <w:numPr>
          <w:ilvl w:val="0"/>
          <w:numId w:val="48"/>
        </w:numPr>
        <w:rPr>
          <w:rFonts w:ascii="Arial" w:cs="Arial" w:eastAsia="Arial" w:hAnsi="Arial"/>
          <w:sz w:val="19"/>
          <w:szCs w:val="19"/>
          <w:color w:val="2D2D2D"/>
        </w:rPr>
      </w:pPr>
      <w:r>
        <w:rPr>
          <w:rFonts w:ascii="Arial" w:cs="Arial" w:eastAsia="Arial" w:hAnsi="Arial"/>
          <w:sz w:val="19"/>
          <w:szCs w:val="19"/>
          <w:color w:val="2D2D2D"/>
        </w:rPr>
        <w:t xml:space="preserve">Provided that Employee elects continued coverage under COBRA, the Company will pay Employee's COBRA premiums to continue Employee's coverage (including coverage for eligible dependents, if applicable) through the period </w:t>
      </w:r>
      <w:r>
        <w:rPr>
          <w:rFonts w:ascii="Arial" w:cs="Arial" w:eastAsia="Arial" w:hAnsi="Arial"/>
          <w:sz w:val="19"/>
          <w:szCs w:val="19"/>
          <w:u w:val="single" w:color="auto"/>
          <w:color w:val="2D2D2D"/>
        </w:rPr>
        <w:t>("COBRA Premium Period")</w:t>
      </w:r>
      <w:r>
        <w:rPr>
          <w:rFonts w:ascii="Arial" w:cs="Arial" w:eastAsia="Arial" w:hAnsi="Arial"/>
          <w:sz w:val="19"/>
          <w:szCs w:val="19"/>
          <w:color w:val="2D2D2D"/>
        </w:rPr>
        <w:t xml:space="preserve"> starting on Employee's Separation Date and ending on the earliest to occur of (i) twelve (12) months following the Separation Date, (ii) the date Employee becomes eligible for group health insurance coverage through a new employer; or (iii) the date Employee ceases to be eligible for COBRA continuation coverage for any reason, including plan termination. In the event Employee becomes covered under another employer's group health plan or otherwise ceases to be eligible for COBRA during the COBRA Premium Period, Employee must immediately notify the Company of such event. Notwithstanding the foregoing, if the Company determines, in its sole discretion, that it cannot pay the COBRA Premiums without a substantial risk of violating applicable </w:t>
      </w:r>
      <w:r>
        <w:rPr>
          <w:rFonts w:ascii="Arial" w:cs="Arial" w:eastAsia="Arial" w:hAnsi="Arial"/>
          <w:sz w:val="19"/>
          <w:szCs w:val="19"/>
          <w:color w:val="3B3B3B"/>
        </w:rPr>
        <w:t>law,</w:t>
      </w:r>
      <w:r>
        <w:rPr>
          <w:rFonts w:ascii="Arial" w:cs="Arial" w:eastAsia="Arial" w:hAnsi="Arial"/>
          <w:sz w:val="19"/>
          <w:szCs w:val="19"/>
          <w:color w:val="2D2D2D"/>
        </w:rPr>
        <w:t xml:space="preserve"> the Company instead shall pay to Employee, on the first day of each calendar month remaining in the COBRA Premium Period, a fully taxable cash payment equal to the applicable COBRA premiums for that month, subject to applicable tax withholdings, which Employee may, but is not obligated to, use toward the cost of COBRA premiums.</w:t>
      </w:r>
    </w:p>
    <w:p>
      <w:pPr>
        <w:spacing w:after="0" w:line="176" w:lineRule="exact"/>
        <w:rPr>
          <w:rFonts w:ascii="Arial" w:cs="Arial" w:eastAsia="Arial" w:hAnsi="Arial"/>
          <w:sz w:val="19"/>
          <w:szCs w:val="19"/>
          <w:color w:val="2D2D2D"/>
        </w:rPr>
      </w:pPr>
    </w:p>
    <w:p>
      <w:pPr>
        <w:jc w:val="both"/>
        <w:ind w:left="1300" w:hanging="320"/>
        <w:spacing w:after="0" w:line="292" w:lineRule="auto"/>
        <w:tabs>
          <w:tab w:leader="none" w:pos="1338" w:val="left"/>
        </w:tabs>
        <w:numPr>
          <w:ilvl w:val="0"/>
          <w:numId w:val="48"/>
        </w:numPr>
        <w:rPr>
          <w:rFonts w:ascii="Arial" w:cs="Arial" w:eastAsia="Arial" w:hAnsi="Arial"/>
          <w:sz w:val="19"/>
          <w:szCs w:val="19"/>
          <w:color w:val="2D2D2D"/>
        </w:rPr>
      </w:pPr>
      <w:r>
        <w:rPr>
          <w:rFonts w:ascii="Arial" w:cs="Arial" w:eastAsia="Arial" w:hAnsi="Arial"/>
          <w:sz w:val="19"/>
          <w:szCs w:val="19"/>
          <w:color w:val="2D2D2D"/>
        </w:rPr>
        <w:t>The vesting of Employee's stock awards shall be accelerated such that the shares subject to the stock awards that would have vested in the twelve (12) month period following the Separation Date shall be deemed immediately vested and exercisable as of Employee's last day of employment.</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21"/>
          <w:szCs w:val="21"/>
          <w:color w:val="2D2D2D"/>
        </w:rPr>
        <w:t xml:space="preserve">Employee understands that the Separation Package is an additional benefit for which Employee is not eligible unless Employee elects to sign, </w:t>
      </w:r>
      <w:r>
        <w:rPr>
          <w:rFonts w:ascii="Arial" w:cs="Arial" w:eastAsia="Arial" w:hAnsi="Arial"/>
          <w:sz w:val="21"/>
          <w:szCs w:val="21"/>
          <w:color w:val="3B3B3B"/>
        </w:rPr>
        <w:t>not</w:t>
      </w:r>
      <w:r>
        <w:rPr>
          <w:rFonts w:ascii="Arial" w:cs="Arial" w:eastAsia="Arial" w:hAnsi="Arial"/>
          <w:sz w:val="21"/>
          <w:szCs w:val="21"/>
          <w:color w:val="2D2D2D"/>
        </w:rPr>
        <w:t xml:space="preserve"> revoke, and reaffirm this Agreement.</w:t>
      </w:r>
    </w:p>
    <w:p>
      <w:pPr>
        <w:spacing w:after="0" w:line="170" w:lineRule="exact"/>
        <w:rPr>
          <w:sz w:val="20"/>
          <w:szCs w:val="20"/>
          <w:color w:val="auto"/>
        </w:rPr>
      </w:pPr>
    </w:p>
    <w:p>
      <w:pPr>
        <w:jc w:val="both"/>
        <w:ind w:firstLine="656"/>
        <w:spacing w:after="0" w:line="254" w:lineRule="auto"/>
        <w:tabs>
          <w:tab w:leader="none" w:pos="1354"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2D2D2D"/>
        </w:rPr>
        <w:t xml:space="preserve">Receipt of All Wages. </w:t>
      </w:r>
      <w:r>
        <w:rPr>
          <w:rFonts w:ascii="Arial" w:cs="Arial" w:eastAsia="Arial" w:hAnsi="Arial"/>
          <w:sz w:val="20"/>
          <w:szCs w:val="20"/>
          <w:color w:val="2D2D2D"/>
        </w:rPr>
        <w:t>Employee shall also be paid all earned and unpaid base wages and any accrued</w:t>
      </w:r>
      <w:r>
        <w:rPr>
          <w:rFonts w:ascii="Arial" w:cs="Arial" w:eastAsia="Arial" w:hAnsi="Arial"/>
          <w:sz w:val="22"/>
          <w:szCs w:val="22"/>
          <w:b w:val="1"/>
          <w:bCs w:val="1"/>
          <w:color w:val="2D2D2D"/>
        </w:rPr>
        <w:t xml:space="preserve"> </w:t>
      </w:r>
      <w:r>
        <w:rPr>
          <w:rFonts w:ascii="Arial" w:cs="Arial" w:eastAsia="Arial" w:hAnsi="Arial"/>
          <w:sz w:val="20"/>
          <w:szCs w:val="20"/>
          <w:color w:val="2D2D2D"/>
        </w:rPr>
        <w:t xml:space="preserve">but unused vacation/PTO if any, through the Separation Date ("Accrued Benefits"). Employee understands that Employee </w:t>
      </w:r>
      <w:r>
        <w:rPr>
          <w:rFonts w:ascii="Arial" w:cs="Arial" w:eastAsia="Arial" w:hAnsi="Arial"/>
          <w:sz w:val="20"/>
          <w:szCs w:val="20"/>
          <w:color w:val="3B3B3B"/>
        </w:rPr>
        <w:t>is</w:t>
      </w:r>
      <w:r>
        <w:rPr>
          <w:rFonts w:ascii="Arial" w:cs="Arial" w:eastAsia="Arial" w:hAnsi="Arial"/>
          <w:sz w:val="20"/>
          <w:szCs w:val="20"/>
          <w:color w:val="2D2D2D"/>
        </w:rPr>
        <w:t xml:space="preserve"> entitled to Employee's Accrued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1"/>
          <w:szCs w:val="21"/>
          <w:color w:val="2D2D2D"/>
        </w:rPr>
        <w:t xml:space="preserve">regardless of whether Employee signs this Agreement. Employee affirms and warrants that Employee has reported all hours worked and appropriately received all compensation, wages, </w:t>
      </w:r>
      <w:r>
        <w:rPr>
          <w:rFonts w:ascii="Arial" w:cs="Arial" w:eastAsia="Arial" w:hAnsi="Arial"/>
          <w:sz w:val="19"/>
          <w:szCs w:val="19"/>
          <w:color w:val="2D2D2D"/>
        </w:rPr>
        <w:t>overtime pay (if applicable), expense reimbursements,</w:t>
      </w:r>
      <w:r>
        <w:rPr>
          <w:rFonts w:ascii="Arial" w:cs="Arial" w:eastAsia="Arial" w:hAnsi="Arial"/>
          <w:sz w:val="21"/>
          <w:szCs w:val="21"/>
          <w:color w:val="2D2D2D"/>
        </w:rPr>
        <w:t xml:space="preserve"> </w:t>
      </w:r>
      <w:r>
        <w:rPr>
          <w:rFonts w:ascii="Arial" w:cs="Arial" w:eastAsia="Arial" w:hAnsi="Arial"/>
          <w:sz w:val="19"/>
          <w:szCs w:val="19"/>
          <w:color w:val="2D2D2D"/>
        </w:rPr>
        <w:t xml:space="preserve">bonuses, cotmmss1ons, incentive compensation, vacation pay/PTO, sick pay, meal and rest breaks, benefits and other payments to which Employee was entitled (hereinafter </w:t>
      </w:r>
      <w:r>
        <w:rPr>
          <w:rFonts w:ascii="Arial" w:cs="Arial" w:eastAsia="Arial" w:hAnsi="Arial"/>
          <w:sz w:val="19"/>
          <w:szCs w:val="19"/>
          <w:color w:val="3D3D3D"/>
        </w:rPr>
        <w:t>"Monies"),</w:t>
      </w:r>
      <w:r>
        <w:rPr>
          <w:rFonts w:ascii="Arial" w:cs="Arial" w:eastAsia="Arial" w:hAnsi="Arial"/>
          <w:sz w:val="19"/>
          <w:szCs w:val="19"/>
          <w:color w:val="2D2D2D"/>
        </w:rPr>
        <w:t xml:space="preserve"> including, but not limited to, those under the Fair Labor Standards Act and any other federal, state, or local wage and hour law, regulation, or ordinance. Except for the Separation Package and Accrued Benefits set forth herein in Sections 2 &amp; </w:t>
      </w:r>
      <w:r>
        <w:rPr>
          <w:rFonts w:ascii="Arial" w:cs="Arial" w:eastAsia="Arial" w:hAnsi="Arial"/>
          <w:sz w:val="20"/>
          <w:szCs w:val="20"/>
          <w:color w:val="2D2D2D"/>
        </w:rPr>
        <w:t>3,</w:t>
      </w:r>
      <w:r>
        <w:rPr>
          <w:rFonts w:ascii="Arial" w:cs="Arial" w:eastAsia="Arial" w:hAnsi="Arial"/>
          <w:sz w:val="19"/>
          <w:szCs w:val="19"/>
          <w:color w:val="2D2D2D"/>
        </w:rPr>
        <w:t xml:space="preserve"> Employee expressly acknowledges and agrees that the Company does not now owe and will not in the future owe Employee any additional Monies of any kind whatsoever. Employee further affirms and warrants that Employee has appropriately received any leave (paid and unpaid) to which Employee was entitled, including, but not limited to, leave under the Family and Medical Leave Act and any other federal, state, or local leave or disability accommodation law, regulation, or ordinance. Employee further acknowledges and agrees that Employee shall not be entitled to and shall not seek any other benefits or Monies from the Company following the Separation Date.</w:t>
      </w:r>
    </w:p>
    <w:p>
      <w:pPr>
        <w:spacing w:after="0" w:line="191" w:lineRule="exact"/>
        <w:rPr>
          <w:sz w:val="20"/>
          <w:szCs w:val="20"/>
          <w:color w:val="auto"/>
        </w:rPr>
      </w:pPr>
    </w:p>
    <w:p>
      <w:pPr>
        <w:jc w:val="both"/>
        <w:ind w:firstLine="656"/>
        <w:spacing w:after="0" w:line="269" w:lineRule="auto"/>
        <w:tabs>
          <w:tab w:leader="none" w:pos="1536" w:val="left"/>
        </w:tabs>
        <w:numPr>
          <w:ilvl w:val="0"/>
          <w:numId w:val="50"/>
        </w:numPr>
        <w:rPr>
          <w:rFonts w:ascii="Arial" w:cs="Arial" w:eastAsia="Arial" w:hAnsi="Arial"/>
          <w:sz w:val="19"/>
          <w:szCs w:val="19"/>
          <w:color w:val="auto"/>
        </w:rPr>
      </w:pPr>
      <w:r>
        <w:rPr>
          <w:rFonts w:ascii="Arial" w:cs="Arial" w:eastAsia="Arial" w:hAnsi="Arial"/>
          <w:sz w:val="20"/>
          <w:szCs w:val="20"/>
          <w:b w:val="1"/>
          <w:bCs w:val="1"/>
          <w:color w:val="2D2D2D"/>
        </w:rPr>
        <w:t xml:space="preserve">Release of Rights. </w:t>
      </w:r>
      <w:r>
        <w:rPr>
          <w:rFonts w:ascii="Arial" w:cs="Arial" w:eastAsia="Arial" w:hAnsi="Arial"/>
          <w:sz w:val="20"/>
          <w:szCs w:val="20"/>
          <w:color w:val="2D2D2D"/>
        </w:rPr>
        <w:t>In</w:t>
      </w:r>
      <w:r>
        <w:rPr>
          <w:rFonts w:ascii="Arial" w:cs="Arial" w:eastAsia="Arial" w:hAnsi="Arial"/>
          <w:sz w:val="20"/>
          <w:szCs w:val="20"/>
          <w:b w:val="1"/>
          <w:bCs w:val="1"/>
          <w:color w:val="2D2D2D"/>
        </w:rPr>
        <w:t xml:space="preserve"> </w:t>
      </w:r>
      <w:r>
        <w:rPr>
          <w:rFonts w:ascii="Arial" w:cs="Arial" w:eastAsia="Arial" w:hAnsi="Arial"/>
          <w:sz w:val="20"/>
          <w:szCs w:val="20"/>
          <w:color w:val="2D2D2D"/>
        </w:rPr>
        <w:t>consideration of the Company's payment to Employee of the Separation</w:t>
      </w:r>
      <w:r>
        <w:rPr>
          <w:rFonts w:ascii="Arial" w:cs="Arial" w:eastAsia="Arial" w:hAnsi="Arial"/>
          <w:sz w:val="20"/>
          <w:szCs w:val="20"/>
          <w:b w:val="1"/>
          <w:bCs w:val="1"/>
          <w:color w:val="2D2D2D"/>
        </w:rPr>
        <w:t xml:space="preserve"> </w:t>
      </w:r>
      <w:r>
        <w:rPr>
          <w:rFonts w:ascii="Arial" w:cs="Arial" w:eastAsia="Arial" w:hAnsi="Arial"/>
          <w:sz w:val="20"/>
          <w:szCs w:val="20"/>
          <w:color w:val="2D2D2D"/>
        </w:rPr>
        <w:t xml:space="preserve">Package as described in Section </w:t>
      </w:r>
      <w:r>
        <w:rPr>
          <w:rFonts w:ascii="Arial" w:cs="Arial" w:eastAsia="Arial" w:hAnsi="Arial"/>
          <w:sz w:val="18"/>
          <w:szCs w:val="18"/>
          <w:color w:val="2D2D2D"/>
        </w:rPr>
        <w:t>2,</w:t>
      </w:r>
      <w:r>
        <w:rPr>
          <w:rFonts w:ascii="Arial" w:cs="Arial" w:eastAsia="Arial" w:hAnsi="Arial"/>
          <w:sz w:val="20"/>
          <w:szCs w:val="20"/>
          <w:color w:val="2D2D2D"/>
        </w:rPr>
        <w:t xml:space="preserve"> the sufficiency for which is hereby acknowledged, Employee on Employee's own behalf and on behalf of Employee's spouse, dependents, heirs, successors and assigns, hereby covenants not to sue and releases the Company, its subsidiaries, parents or affiliated entities, and their respective directors, officers, members, managers, shareholders, partners, trustees, supervisors, employees, attorneys, consultants, receivers, insurers, and agents, and all persons acting by, through, under or in concert with any of them, and each of their respective heirs, predecessors, successors, and assigns (hereinafter collectively </w:t>
      </w:r>
      <w:r>
        <w:rPr>
          <w:rFonts w:ascii="Arial" w:cs="Arial" w:eastAsia="Arial" w:hAnsi="Arial"/>
          <w:sz w:val="20"/>
          <w:szCs w:val="20"/>
          <w:u w:val="single" w:color="auto"/>
          <w:color w:val="2D2D2D"/>
        </w:rPr>
        <w:t>"Releasees")</w:t>
      </w:r>
      <w:r>
        <w:rPr>
          <w:rFonts w:ascii="Arial" w:cs="Arial" w:eastAsia="Arial" w:hAnsi="Arial"/>
          <w:sz w:val="20"/>
          <w:szCs w:val="20"/>
          <w:color w:val="2D2D2D"/>
        </w:rPr>
        <w:t xml:space="preserve"> from and for all rights, claims, liabilities, actions and suits of all kinds and descriptions that Employee may have against any or all Releasees arising on or prior to the Separation Date and which arise out of Employee's employment with the Company or the termination thereof </w:t>
      </w:r>
      <w:r>
        <w:rPr>
          <w:rFonts w:ascii="Arial" w:cs="Arial" w:eastAsia="Arial" w:hAnsi="Arial"/>
          <w:sz w:val="20"/>
          <w:szCs w:val="20"/>
          <w:u w:val="single" w:color="auto"/>
          <w:color w:val="2D2D2D"/>
        </w:rPr>
        <w:t>("Claim"</w:t>
      </w:r>
      <w:r>
        <w:rPr>
          <w:rFonts w:ascii="Arial" w:cs="Arial" w:eastAsia="Arial" w:hAnsi="Arial"/>
          <w:sz w:val="20"/>
          <w:szCs w:val="20"/>
          <w:color w:val="2D2D2D"/>
        </w:rPr>
        <w:t xml:space="preserve"> or </w:t>
      </w:r>
      <w:r>
        <w:rPr>
          <w:rFonts w:ascii="Arial" w:cs="Arial" w:eastAsia="Arial" w:hAnsi="Arial"/>
          <w:sz w:val="20"/>
          <w:szCs w:val="20"/>
          <w:u w:val="single" w:color="auto"/>
          <w:color w:val="2D2D2D"/>
        </w:rPr>
        <w:t>"Claims"),</w:t>
      </w:r>
      <w:r>
        <w:rPr>
          <w:rFonts w:ascii="Arial" w:cs="Arial" w:eastAsia="Arial" w:hAnsi="Arial"/>
          <w:sz w:val="20"/>
          <w:szCs w:val="20"/>
          <w:color w:val="2D2D2D"/>
        </w:rPr>
        <w:t xml:space="preserve"> including, but not limited to, any claim for wages, bonus (including specifically any claim to an Executive Performance Bonus for </w:t>
      </w:r>
      <w:r>
        <w:rPr>
          <w:rFonts w:ascii="Arial" w:cs="Arial" w:eastAsia="Arial" w:hAnsi="Arial"/>
          <w:sz w:val="18"/>
          <w:szCs w:val="18"/>
          <w:color w:val="2D2D2D"/>
        </w:rPr>
        <w:t>2020),</w:t>
      </w:r>
      <w:r>
        <w:rPr>
          <w:rFonts w:ascii="Arial" w:cs="Arial" w:eastAsia="Arial" w:hAnsi="Arial"/>
          <w:sz w:val="20"/>
          <w:szCs w:val="20"/>
          <w:color w:val="2D2D2D"/>
        </w:rPr>
        <w:t xml:space="preserve"> incentive compensation, commissions, accrued vacation pay/PTO, sick </w:t>
      </w:r>
      <w:r>
        <w:rPr>
          <w:rFonts w:ascii="Arial" w:cs="Arial" w:eastAsia="Arial" w:hAnsi="Arial"/>
          <w:sz w:val="20"/>
          <w:szCs w:val="20"/>
          <w:color w:val="3D3D3D"/>
        </w:rPr>
        <w:t>leave,</w:t>
      </w:r>
      <w:r>
        <w:rPr>
          <w:rFonts w:ascii="Arial" w:cs="Arial" w:eastAsia="Arial" w:hAnsi="Arial"/>
          <w:sz w:val="20"/>
          <w:szCs w:val="20"/>
          <w:color w:val="2D2D2D"/>
        </w:rPr>
        <w:t xml:space="preserve"> holiday pay, meal</w:t>
      </w:r>
      <w:r>
        <w:rPr>
          <w:rFonts w:ascii="Arial" w:cs="Arial" w:eastAsia="Arial" w:hAnsi="Arial"/>
          <w:sz w:val="20"/>
          <w:szCs w:val="20"/>
          <w:color w:val="0F0F0F"/>
        </w:rPr>
        <w:t>/</w:t>
      </w:r>
      <w:r>
        <w:rPr>
          <w:rFonts w:ascii="Arial" w:cs="Arial" w:eastAsia="Arial" w:hAnsi="Arial"/>
          <w:sz w:val="20"/>
          <w:szCs w:val="20"/>
          <w:color w:val="2D2D2D"/>
        </w:rPr>
        <w:t xml:space="preserve">rest periods, severance pay, overtime, penalties, any wage and/or hour violation, breach of contract (including claims arising under the Employment Agreement), breach of quasi contract, breach of implied contract, entitlement under any leave laws, health or medical insurance, pension or retirement benefits, or any other employment benefits, any claim for employment discrimination, whether on the basis of race, age, sex, national origin, religion, sexual orientation, marital status, veterans status, disability, or any other protected basis, retaliation or harassment of any kind, wrongful termination, slander, defamation, invasion of privacy, or emotional distress. Without limiting the generality of the foregoing, Employee acknowledges and agrees that among the claims released &amp;re those arising under Title </w:t>
      </w:r>
      <w:r>
        <w:rPr>
          <w:rFonts w:ascii="Arial" w:cs="Arial" w:eastAsia="Arial" w:hAnsi="Arial"/>
          <w:sz w:val="18"/>
          <w:szCs w:val="18"/>
          <w:color w:val="2D2D2D"/>
        </w:rPr>
        <w:t>VII</w:t>
      </w:r>
      <w:r>
        <w:rPr>
          <w:rFonts w:ascii="Arial" w:cs="Arial" w:eastAsia="Arial" w:hAnsi="Arial"/>
          <w:sz w:val="20"/>
          <w:szCs w:val="20"/>
          <w:color w:val="2D2D2D"/>
        </w:rPr>
        <w:t xml:space="preserve"> of the Civil Rights Act of </w:t>
      </w:r>
      <w:r>
        <w:rPr>
          <w:rFonts w:ascii="Arial" w:cs="Arial" w:eastAsia="Arial" w:hAnsi="Arial"/>
          <w:sz w:val="18"/>
          <w:szCs w:val="18"/>
          <w:color w:val="2D2D2D"/>
        </w:rPr>
        <w:t>1964,</w:t>
      </w:r>
      <w:r>
        <w:rPr>
          <w:rFonts w:ascii="Arial" w:cs="Arial" w:eastAsia="Arial" w:hAnsi="Arial"/>
          <w:sz w:val="20"/>
          <w:szCs w:val="20"/>
          <w:color w:val="2D2D2D"/>
        </w:rPr>
        <w:t xml:space="preserve"> the Civil Rights Act of </w:t>
      </w:r>
      <w:r>
        <w:rPr>
          <w:rFonts w:ascii="Arial" w:cs="Arial" w:eastAsia="Arial" w:hAnsi="Arial"/>
          <w:sz w:val="18"/>
          <w:szCs w:val="18"/>
          <w:color w:val="2D2D2D"/>
        </w:rPr>
        <w:t>1991,</w:t>
      </w:r>
      <w:r>
        <w:rPr>
          <w:rFonts w:ascii="Arial" w:cs="Arial" w:eastAsia="Arial" w:hAnsi="Arial"/>
          <w:sz w:val="20"/>
          <w:szCs w:val="20"/>
          <w:color w:val="2D2D2D"/>
        </w:rPr>
        <w:t xml:space="preserve"> the Fair Labor Standards Act, the Equal Pay Act, the Americans with Disabilities Act, the Employee Retirement and Income Security Act, the Worker Adjustment and Retraining Notification Act, the Family and Medical Leave Act, the Genetic Information Non-Discrimination Act, the Lilly Ledbetter Fair Pay Act of </w:t>
      </w:r>
      <w:r>
        <w:rPr>
          <w:rFonts w:ascii="Arial" w:cs="Arial" w:eastAsia="Arial" w:hAnsi="Arial"/>
          <w:sz w:val="18"/>
          <w:szCs w:val="18"/>
          <w:color w:val="2D2D2D"/>
        </w:rPr>
        <w:t>2009,</w:t>
      </w:r>
      <w:r>
        <w:rPr>
          <w:rFonts w:ascii="Arial" w:cs="Arial" w:eastAsia="Arial" w:hAnsi="Arial"/>
          <w:sz w:val="20"/>
          <w:szCs w:val="20"/>
          <w:color w:val="2D2D2D"/>
        </w:rPr>
        <w:t xml:space="preserve"> the Fair Credit Reporting Act, the False Claims Act, the Sarbanes-Oxley Act, the Uniformed Services Employment and Reemployment Rights Act, the Occupational and Safety Health Act, Labor Management Relations Act, the National Labor Relations Act, the Age Discrimination in Employment Act, the Older Workers Benefit Protection Act, the Health Insurance Portability and Accountability Act, the California Fair Employment and Housing Act, the California Labor Code, the California Constitution, the California Family Rights Act,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640080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1"/>
          <w:szCs w:val="21"/>
          <w:color w:val="2D2D2D"/>
        </w:rPr>
        <w:t xml:space="preserve">California Business and Professions Code, and any other claim based upon any federal, </w:t>
      </w:r>
      <w:r>
        <w:rPr>
          <w:rFonts w:ascii="Arial" w:cs="Arial" w:eastAsia="Arial" w:hAnsi="Arial"/>
          <w:sz w:val="18"/>
          <w:szCs w:val="18"/>
          <w:color w:val="282828"/>
        </w:rPr>
        <w:t>state, or local law or any</w:t>
      </w:r>
      <w:r>
        <w:rPr>
          <w:rFonts w:ascii="Arial" w:cs="Arial" w:eastAsia="Arial" w:hAnsi="Arial"/>
          <w:sz w:val="21"/>
          <w:szCs w:val="21"/>
          <w:color w:val="2D2D2D"/>
        </w:rPr>
        <w:t xml:space="preserve"> </w:t>
      </w:r>
      <w:r>
        <w:rPr>
          <w:rFonts w:ascii="Arial" w:cs="Arial" w:eastAsia="Arial" w:hAnsi="Arial"/>
          <w:sz w:val="18"/>
          <w:szCs w:val="18"/>
          <w:color w:val="282828"/>
        </w:rPr>
        <w:t>alleged wrongful conduct or injury arising out of or in any way connected with any acts or omissions occurring on or prior to the Separation Date and which arise out of Employee's employment with the Company or the termination thereof.</w:t>
      </w:r>
    </w:p>
    <w:p>
      <w:pPr>
        <w:spacing w:after="0" w:line="179" w:lineRule="exact"/>
        <w:rPr>
          <w:sz w:val="20"/>
          <w:szCs w:val="20"/>
          <w:color w:val="auto"/>
        </w:rPr>
      </w:pPr>
    </w:p>
    <w:p>
      <w:pPr>
        <w:jc w:val="both"/>
        <w:ind w:firstLine="650"/>
        <w:spacing w:after="0" w:line="290" w:lineRule="auto"/>
        <w:rPr>
          <w:sz w:val="20"/>
          <w:szCs w:val="20"/>
          <w:color w:val="auto"/>
        </w:rPr>
      </w:pPr>
      <w:r>
        <w:rPr>
          <w:rFonts w:ascii="Arial" w:cs="Arial" w:eastAsia="Arial" w:hAnsi="Arial"/>
          <w:sz w:val="18"/>
          <w:szCs w:val="18"/>
          <w:color w:val="282828"/>
        </w:rPr>
        <w:t xml:space="preserve">This general release and waiver of claims however excludes, and the Employee does not waive, release, or discharge: (A) any right to file an administrative charge or complaint with the Equal Employment Opportunity Commission, the Department of Fair Employment and Housing, the Occupational Safety and Health Administration, and the Securities and Exchange Commission ("SEC") or other similar federal or state administrative agencies, although the Employee waives any right to monetary relief related to such a charge or administrative complaint; </w:t>
      </w:r>
      <w:r>
        <w:rPr>
          <w:rFonts w:ascii="Arial" w:cs="Arial" w:eastAsia="Arial" w:hAnsi="Arial"/>
          <w:sz w:val="18"/>
          <w:szCs w:val="18"/>
          <w:u w:val="single" w:color="auto"/>
          <w:color w:val="282828"/>
        </w:rPr>
        <w:t>provided, however,</w:t>
      </w:r>
      <w:r>
        <w:rPr>
          <w:rFonts w:ascii="Arial" w:cs="Arial" w:eastAsia="Arial" w:hAnsi="Arial"/>
          <w:sz w:val="18"/>
          <w:szCs w:val="18"/>
          <w:color w:val="282828"/>
        </w:rPr>
        <w:t xml:space="preserve"> that nothing herein shall be construed to waive or limit Employee's ability to receive any bounty or award for information provided to the SEC concerning suspected violations of law; (B) claims which cannot be waived by law; (C) any rights to vested benefits, such as pension or retirement benefits, the rights to which are governed by the terms of the applicable plan documents and award agreements; or (D) any rights of Employee under this Agreement.</w:t>
      </w:r>
    </w:p>
    <w:p>
      <w:pPr>
        <w:spacing w:after="0" w:line="146" w:lineRule="exact"/>
        <w:rPr>
          <w:sz w:val="20"/>
          <w:szCs w:val="20"/>
          <w:color w:val="auto"/>
        </w:rPr>
      </w:pPr>
    </w:p>
    <w:p>
      <w:pPr>
        <w:jc w:val="both"/>
        <w:ind w:firstLine="659"/>
        <w:spacing w:after="0" w:line="276" w:lineRule="auto"/>
        <w:tabs>
          <w:tab w:leader="none" w:pos="1391" w:val="left"/>
        </w:tabs>
        <w:numPr>
          <w:ilvl w:val="0"/>
          <w:numId w:val="51"/>
        </w:numPr>
        <w:rPr>
          <w:rFonts w:ascii="Arial" w:cs="Arial" w:eastAsia="Arial" w:hAnsi="Arial"/>
          <w:sz w:val="19"/>
          <w:szCs w:val="19"/>
          <w:color w:val="282828"/>
        </w:rPr>
      </w:pPr>
      <w:r>
        <w:rPr>
          <w:rFonts w:ascii="Arial" w:cs="Arial" w:eastAsia="Arial" w:hAnsi="Arial"/>
          <w:sz w:val="19"/>
          <w:szCs w:val="19"/>
          <w:b w:val="1"/>
          <w:bCs w:val="1"/>
          <w:color w:val="282828"/>
        </w:rPr>
        <w:t xml:space="preserve">ADEA Release. </w:t>
      </w:r>
      <w:r>
        <w:rPr>
          <w:rFonts w:ascii="Arial" w:cs="Arial" w:eastAsia="Arial" w:hAnsi="Arial"/>
          <w:sz w:val="19"/>
          <w:szCs w:val="19"/>
          <w:color w:val="282828"/>
        </w:rPr>
        <w:t>The general release contained herein specifically includes a waiver and release of all</w:t>
      </w:r>
      <w:r>
        <w:rPr>
          <w:rFonts w:ascii="Arial" w:cs="Arial" w:eastAsia="Arial" w:hAnsi="Arial"/>
          <w:sz w:val="19"/>
          <w:szCs w:val="19"/>
          <w:b w:val="1"/>
          <w:bCs w:val="1"/>
          <w:color w:val="282828"/>
        </w:rPr>
        <w:t xml:space="preserve"> </w:t>
      </w:r>
      <w:r>
        <w:rPr>
          <w:rFonts w:ascii="Arial" w:cs="Arial" w:eastAsia="Arial" w:hAnsi="Arial"/>
          <w:sz w:val="19"/>
          <w:szCs w:val="19"/>
          <w:color w:val="282828"/>
        </w:rPr>
        <w:t xml:space="preserve">claims which Employee has or may have under the Age Discrimination in Employment Act, as amended, 29 U.S.C. Sections 621, et seq. </w:t>
      </w:r>
      <w:r>
        <w:rPr>
          <w:rFonts w:ascii="Arial" w:cs="Arial" w:eastAsia="Arial" w:hAnsi="Arial"/>
          <w:sz w:val="19"/>
          <w:szCs w:val="19"/>
          <w:u w:val="single" w:color="auto"/>
          <w:color w:val="282828"/>
        </w:rPr>
        <w:t>("ADEA"),</w:t>
      </w:r>
      <w:r>
        <w:rPr>
          <w:rFonts w:ascii="Arial" w:cs="Arial" w:eastAsia="Arial" w:hAnsi="Arial"/>
          <w:sz w:val="19"/>
          <w:szCs w:val="19"/>
          <w:color w:val="282828"/>
        </w:rPr>
        <w:t xml:space="preserve"> based on Employee's employment, the separation from that employment, or any event, transaction, occurrence, act or omission occurring on or before Employee signs the reaffirmation of this Agreement. Employee acknowledges that Employee has been advised to consult with an attorney, if desired, concerning this Agreement and has received all advice Employee deems necessary concerning this Agreement. Employee has twenty-one (21) days after Employee receives this Agreement to decide whether or not to sign this Agreement, and should Employee execute this Agreement in fewer than twenty one (21) days, Employee does so with the express understanding that Employee has been given and declined the opportunity to consider the Agreement for a full twenty-one (21) days. Employee has seven (7) days after delivering to the Company an original of this Agreement signed by Employee to revoke this Agreement. Revocation may be made by delivering a written notice of revocation to the Company via Darin Billerbeck at the Company's physical address as well as to email address: dbillerbeck@hotmail.com. For the revocation to be effective, written notice must </w:t>
      </w:r>
      <w:r>
        <w:rPr>
          <w:rFonts w:ascii="Arial" w:cs="Arial" w:eastAsia="Arial" w:hAnsi="Arial"/>
          <w:sz w:val="17"/>
          <w:szCs w:val="17"/>
          <w:color w:val="282828"/>
        </w:rPr>
        <w:t>be actually received by the Company,</w:t>
      </w:r>
      <w:r>
        <w:rPr>
          <w:rFonts w:ascii="Arial" w:cs="Arial" w:eastAsia="Arial" w:hAnsi="Arial"/>
          <w:sz w:val="19"/>
          <w:szCs w:val="19"/>
          <w:color w:val="282828"/>
        </w:rPr>
        <w:t xml:space="preserve"> </w:t>
      </w:r>
      <w:r>
        <w:rPr>
          <w:rFonts w:ascii="Arial" w:cs="Arial" w:eastAsia="Arial" w:hAnsi="Arial"/>
          <w:sz w:val="17"/>
          <w:szCs w:val="17"/>
          <w:color w:val="282828"/>
        </w:rPr>
        <w:t xml:space="preserve">as evidenced by confirmation of delivery, no later than the </w:t>
      </w:r>
      <w:r>
        <w:rPr>
          <w:rFonts w:ascii="Arial" w:cs="Arial" w:eastAsia="Arial" w:hAnsi="Arial"/>
          <w:sz w:val="18"/>
          <w:szCs w:val="18"/>
          <w:color w:val="282828"/>
        </w:rPr>
        <w:t>close of business on the seventh calendar day after Employee</w:t>
      </w:r>
      <w:r>
        <w:rPr>
          <w:rFonts w:ascii="Arial" w:cs="Arial" w:eastAsia="Arial" w:hAnsi="Arial"/>
          <w:sz w:val="17"/>
          <w:szCs w:val="17"/>
          <w:color w:val="282828"/>
        </w:rPr>
        <w:t xml:space="preserve"> </w:t>
      </w:r>
      <w:r>
        <w:rPr>
          <w:rFonts w:ascii="Arial" w:cs="Arial" w:eastAsia="Arial" w:hAnsi="Arial"/>
          <w:sz w:val="18"/>
          <w:szCs w:val="18"/>
          <w:color w:val="282828"/>
        </w:rPr>
        <w:t xml:space="preserve">signs and delivers this Agreement, or, if mailed, postmarked by such date. This Agreement shall not become effective or enforceable until the revocation period has expired, which date of expiration shall be the </w:t>
      </w:r>
      <w:r>
        <w:rPr>
          <w:rFonts w:ascii="Arial" w:cs="Arial" w:eastAsia="Arial" w:hAnsi="Arial"/>
          <w:sz w:val="18"/>
          <w:szCs w:val="18"/>
          <w:u w:val="single" w:color="auto"/>
          <w:color w:val="282828"/>
        </w:rPr>
        <w:t>"Effective Date"</w:t>
      </w:r>
      <w:r>
        <w:rPr>
          <w:rFonts w:ascii="Arial" w:cs="Arial" w:eastAsia="Arial" w:hAnsi="Arial"/>
          <w:sz w:val="18"/>
          <w:szCs w:val="18"/>
          <w:color w:val="282828"/>
        </w:rPr>
        <w:t xml:space="preserve"> of this Agreement. The release contained herein does not waive any rights or claims that Employee may have under the ADEA which may arise after the date the Employee signs the reaffirmation of this Agreement. Employee hereby acknowledges and agrees that Employee has read this Agreement in its entirety and understands all of its terms and that Employee is knowingly and voluntarily waiving and releasing Employee's rights and claims only in exchange for consideration (something of value) in addition to anything of value to which Employee is already entitled. The Company and Employee agree that any changes made to the Agreement, whether material or immaterial, do not restart the running of the twenty-one (21) day period described above.</w:t>
      </w:r>
    </w:p>
    <w:p>
      <w:pPr>
        <w:spacing w:after="0" w:line="158" w:lineRule="exact"/>
        <w:rPr>
          <w:rFonts w:ascii="Arial" w:cs="Arial" w:eastAsia="Arial" w:hAnsi="Arial"/>
          <w:sz w:val="19"/>
          <w:szCs w:val="19"/>
          <w:color w:val="282828"/>
        </w:rPr>
      </w:pPr>
    </w:p>
    <w:p>
      <w:pPr>
        <w:jc w:val="both"/>
        <w:ind w:firstLine="656"/>
        <w:spacing w:after="0" w:line="255" w:lineRule="auto"/>
        <w:tabs>
          <w:tab w:leader="none" w:pos="1509" w:val="left"/>
        </w:tabs>
        <w:numPr>
          <w:ilvl w:val="0"/>
          <w:numId w:val="51"/>
        </w:numPr>
        <w:rPr>
          <w:rFonts w:ascii="Arial" w:cs="Arial" w:eastAsia="Arial" w:hAnsi="Arial"/>
          <w:sz w:val="21"/>
          <w:szCs w:val="21"/>
          <w:color w:val="auto"/>
        </w:rPr>
      </w:pPr>
      <w:r>
        <w:rPr>
          <w:rFonts w:ascii="Arial" w:cs="Arial" w:eastAsia="Arial" w:hAnsi="Arial"/>
          <w:sz w:val="21"/>
          <w:szCs w:val="21"/>
          <w:b w:val="1"/>
          <w:bCs w:val="1"/>
          <w:color w:val="282828"/>
        </w:rPr>
        <w:t xml:space="preserve">Waiver of Section 1542. </w:t>
      </w:r>
      <w:r>
        <w:rPr>
          <w:rFonts w:ascii="Arial" w:cs="Arial" w:eastAsia="Arial" w:hAnsi="Arial"/>
          <w:sz w:val="21"/>
          <w:szCs w:val="21"/>
          <w:color w:val="282828"/>
        </w:rPr>
        <w:t>It is understood and agreed that this is a full, complete and final general</w:t>
      </w:r>
      <w:r>
        <w:rPr>
          <w:rFonts w:ascii="Arial" w:cs="Arial" w:eastAsia="Arial" w:hAnsi="Arial"/>
          <w:sz w:val="21"/>
          <w:szCs w:val="21"/>
          <w:b w:val="1"/>
          <w:bCs w:val="1"/>
          <w:color w:val="282828"/>
        </w:rPr>
        <w:t xml:space="preserve"> </w:t>
      </w:r>
      <w:r>
        <w:rPr>
          <w:rFonts w:ascii="Arial" w:cs="Arial" w:eastAsia="Arial" w:hAnsi="Arial"/>
          <w:sz w:val="21"/>
          <w:szCs w:val="21"/>
          <w:color w:val="282828"/>
        </w:rPr>
        <w:t>release of any and all claims described as aforesaid, and that Employee agrees that it shall apply to all unknown, unanticipated, unsuspected and undisclosed claims,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2" w:right="999" w:bottom="1440" w:gutter="0" w:footer="0" w:header="0"/>
        </w:sectPr>
      </w:pPr>
    </w:p>
    <w:bookmarkStart w:id="94" w:name="page95"/>
    <w:bookmarkEnd w:id="94"/>
    <w:p>
      <w:pPr>
        <w:jc w:val="both"/>
        <w:spacing w:after="0" w:line="250" w:lineRule="auto"/>
        <w:rPr>
          <w:sz w:val="20"/>
          <w:szCs w:val="20"/>
          <w:color w:val="auto"/>
        </w:rPr>
      </w:pPr>
      <w:r>
        <w:rPr>
          <w:rFonts w:ascii="Arial" w:cs="Arial" w:eastAsia="Arial" w:hAnsi="Arial"/>
          <w:sz w:val="20"/>
          <w:szCs w:val="20"/>
          <w:color w:val="2A2A2A"/>
        </w:rPr>
        <w:t>liabilities, actions or causes of action, in law, equity or otherwise, as well as those which are now known, anticipated, suspected or disclosed. This release includes a release under§ 1542 of the Civil Code of the State of California. Section 1542 reads as follows:</w:t>
      </w:r>
    </w:p>
    <w:p>
      <w:pPr>
        <w:spacing w:after="0" w:line="184" w:lineRule="exact"/>
        <w:rPr>
          <w:sz w:val="20"/>
          <w:szCs w:val="20"/>
          <w:color w:val="auto"/>
        </w:rPr>
      </w:pPr>
    </w:p>
    <w:p>
      <w:pPr>
        <w:jc w:val="both"/>
        <w:ind w:left="1300"/>
        <w:spacing w:after="0" w:line="318" w:lineRule="auto"/>
        <w:rPr>
          <w:sz w:val="20"/>
          <w:szCs w:val="20"/>
          <w:color w:val="auto"/>
        </w:rPr>
      </w:pPr>
      <w:r>
        <w:rPr>
          <w:rFonts w:ascii="Arial" w:cs="Arial" w:eastAsia="Arial" w:hAnsi="Arial"/>
          <w:sz w:val="18"/>
          <w:szCs w:val="18"/>
          <w:b w:val="1"/>
          <w:bCs w:val="1"/>
          <w:color w:val="2A2A2A"/>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28" w:lineRule="exact"/>
        <w:rPr>
          <w:sz w:val="20"/>
          <w:szCs w:val="20"/>
          <w:color w:val="auto"/>
        </w:rPr>
      </w:pPr>
    </w:p>
    <w:p>
      <w:pPr>
        <w:ind w:hanging="1"/>
        <w:spacing w:after="0" w:line="264" w:lineRule="auto"/>
        <w:rPr>
          <w:sz w:val="20"/>
          <w:szCs w:val="20"/>
          <w:color w:val="auto"/>
        </w:rPr>
      </w:pPr>
      <w:r>
        <w:rPr>
          <w:rFonts w:ascii="Arial" w:cs="Arial" w:eastAsia="Arial" w:hAnsi="Arial"/>
          <w:sz w:val="21"/>
          <w:szCs w:val="21"/>
          <w:color w:val="2A2A2A"/>
        </w:rPr>
        <w:t>Employee hereby expressly waives and relinquishes all rights and benefits under that section and any law or legal principle of similar effect in any jurisdiction with respect to the release granted in this Agreement.</w:t>
      </w:r>
    </w:p>
    <w:p>
      <w:pPr>
        <w:spacing w:after="0" w:line="165" w:lineRule="exact"/>
        <w:rPr>
          <w:sz w:val="20"/>
          <w:szCs w:val="20"/>
          <w:color w:val="auto"/>
        </w:rPr>
      </w:pPr>
    </w:p>
    <w:p>
      <w:pPr>
        <w:jc w:val="both"/>
        <w:ind w:firstLine="660"/>
        <w:spacing w:after="0" w:line="285" w:lineRule="auto"/>
        <w:tabs>
          <w:tab w:leader="none" w:pos="1446" w:val="left"/>
        </w:tabs>
        <w:numPr>
          <w:ilvl w:val="0"/>
          <w:numId w:val="52"/>
        </w:numPr>
        <w:rPr>
          <w:rFonts w:ascii="Arial" w:cs="Arial" w:eastAsia="Arial" w:hAnsi="Arial"/>
          <w:sz w:val="18"/>
          <w:szCs w:val="18"/>
          <w:color w:val="2A2A2A"/>
        </w:rPr>
      </w:pPr>
      <w:r>
        <w:rPr>
          <w:rFonts w:ascii="Arial" w:cs="Arial" w:eastAsia="Arial" w:hAnsi="Arial"/>
          <w:sz w:val="18"/>
          <w:szCs w:val="18"/>
          <w:b w:val="1"/>
          <w:bCs w:val="1"/>
          <w:color w:val="2A2A2A"/>
        </w:rPr>
        <w:t xml:space="preserve">Confidential </w:t>
      </w:r>
      <w:r>
        <w:rPr>
          <w:rFonts w:ascii="Arial" w:cs="Arial" w:eastAsia="Arial" w:hAnsi="Arial"/>
          <w:sz w:val="18"/>
          <w:szCs w:val="18"/>
          <w:b w:val="1"/>
          <w:bCs w:val="1"/>
          <w:color w:val="3B3B3B"/>
        </w:rPr>
        <w:t>Information.</w:t>
      </w:r>
      <w:r>
        <w:rPr>
          <w:rFonts w:ascii="Arial" w:cs="Arial" w:eastAsia="Arial" w:hAnsi="Arial"/>
          <w:sz w:val="18"/>
          <w:szCs w:val="18"/>
          <w:b w:val="1"/>
          <w:bCs w:val="1"/>
          <w:color w:val="2A2A2A"/>
        </w:rPr>
        <w:t xml:space="preserve"> </w:t>
      </w:r>
      <w:r>
        <w:rPr>
          <w:rFonts w:ascii="Arial" w:cs="Arial" w:eastAsia="Arial" w:hAnsi="Arial"/>
          <w:sz w:val="18"/>
          <w:szCs w:val="18"/>
          <w:color w:val="2A2A2A"/>
        </w:rPr>
        <w:t>Employee acknowledges that Employee has acquired information, in the</w:t>
      </w:r>
      <w:r>
        <w:rPr>
          <w:rFonts w:ascii="Arial" w:cs="Arial" w:eastAsia="Arial" w:hAnsi="Arial"/>
          <w:sz w:val="18"/>
          <w:szCs w:val="18"/>
          <w:b w:val="1"/>
          <w:bCs w:val="1"/>
          <w:color w:val="2A2A2A"/>
        </w:rPr>
        <w:t xml:space="preserve"> </w:t>
      </w:r>
      <w:r>
        <w:rPr>
          <w:rFonts w:ascii="Arial" w:cs="Arial" w:eastAsia="Arial" w:hAnsi="Arial"/>
          <w:sz w:val="18"/>
          <w:szCs w:val="18"/>
          <w:color w:val="2A2A2A"/>
        </w:rPr>
        <w:t xml:space="preserve">course of Employee's employment with the Company, regarding the Releasees, which constitutes Confidential Information (as defined below), and which is and remains the exclusive property of the Releasees. Employee acknowledges that this Confidential Information could be used to the detriment of the Releasees. Therefore, Employee agrees that, subject to the exceptions stated in Section 13, and except as required by law, Employee shall not divulge to any other person, firm, corporation or legal entity, any Confidential Information or trade secret of any Releasee. The term </w:t>
      </w:r>
      <w:r>
        <w:rPr>
          <w:rFonts w:ascii="Arial" w:cs="Arial" w:eastAsia="Arial" w:hAnsi="Arial"/>
          <w:sz w:val="18"/>
          <w:szCs w:val="18"/>
          <w:u w:val="single" w:color="auto"/>
          <w:color w:val="2A2A2A"/>
        </w:rPr>
        <w:t>"Confidential Information"</w:t>
      </w:r>
      <w:r>
        <w:rPr>
          <w:rFonts w:ascii="Arial" w:cs="Arial" w:eastAsia="Arial" w:hAnsi="Arial"/>
          <w:sz w:val="18"/>
          <w:szCs w:val="18"/>
          <w:color w:val="2A2A2A"/>
        </w:rPr>
        <w:t xml:space="preserve"> as used herein, means all information or material not generally known by non-Company personnel which (i) gives the Company some competitive business advantage or the opportunity of obtaining such advantage or the disclosure of which could be detrimental to the interests of the Company; (ii) is owned by the Company or in which the Company has an interest (including information conceived, originated, discovered or developed in whole or in part by Employee); and (iii) is either (A) marked "Confidential Information," (B) known by Employee to be considered confidential by the Company, or (C) from all the relevant circumstances should reasonably be assumed by Employee to be confidential to the Company. Confidential Information includes, but is not limited to, the following types of information and other information of a similar nature (whether or not reduced to writing): trade secrets, products in development, names of products or services in development, processes, formulas, models, flow charts, diagrams, artistic designs or works of authorship however used, specifications, software in various stages of development, source code, object code, research and development procedures, test results, marketing techniques and materials, product packaging, marketing and development plans, price lists, pricing policies, pricing incentives, business plans, information relating to customers, clients and/or suppliers' identities, characteristics and agreements, financial information and projections, and employee files. Confidential </w:t>
      </w:r>
      <w:r>
        <w:rPr>
          <w:rFonts w:ascii="Arial" w:cs="Arial" w:eastAsia="Arial" w:hAnsi="Arial"/>
          <w:sz w:val="18"/>
          <w:szCs w:val="18"/>
          <w:color w:val="3B3B3B"/>
        </w:rPr>
        <w:t>Information</w:t>
      </w:r>
      <w:r>
        <w:rPr>
          <w:rFonts w:ascii="Arial" w:cs="Arial" w:eastAsia="Arial" w:hAnsi="Arial"/>
          <w:sz w:val="18"/>
          <w:szCs w:val="18"/>
          <w:color w:val="2A2A2A"/>
        </w:rPr>
        <w:t xml:space="preserve"> also includes any confidential, non-public information described above which any Releasee obtains from another party and treats as proprietary or designates as Confidential Information, whether or not owned or developed by such Releasee. Confidential Information does not include information which is or becomes generally available to the public through no fault of Employee.</w:t>
      </w:r>
    </w:p>
    <w:p>
      <w:pPr>
        <w:spacing w:after="0" w:line="200" w:lineRule="exact"/>
        <w:rPr>
          <w:rFonts w:ascii="Arial" w:cs="Arial" w:eastAsia="Arial" w:hAnsi="Arial"/>
          <w:sz w:val="18"/>
          <w:szCs w:val="18"/>
          <w:color w:val="2A2A2A"/>
        </w:rPr>
      </w:pPr>
    </w:p>
    <w:p>
      <w:pPr>
        <w:spacing w:after="0" w:line="211" w:lineRule="exact"/>
        <w:rPr>
          <w:rFonts w:ascii="Arial" w:cs="Arial" w:eastAsia="Arial" w:hAnsi="Arial"/>
          <w:sz w:val="18"/>
          <w:szCs w:val="18"/>
          <w:color w:val="2A2A2A"/>
        </w:rPr>
      </w:pPr>
    </w:p>
    <w:p>
      <w:pPr>
        <w:jc w:val="both"/>
        <w:ind w:firstLine="656"/>
        <w:spacing w:after="0" w:line="247" w:lineRule="auto"/>
        <w:tabs>
          <w:tab w:leader="none" w:pos="1408" w:val="left"/>
        </w:tabs>
        <w:numPr>
          <w:ilvl w:val="0"/>
          <w:numId w:val="52"/>
        </w:numPr>
        <w:rPr>
          <w:rFonts w:ascii="Arial" w:cs="Arial" w:eastAsia="Arial" w:hAnsi="Arial"/>
          <w:sz w:val="22"/>
          <w:szCs w:val="22"/>
          <w:color w:val="auto"/>
        </w:rPr>
      </w:pPr>
      <w:r>
        <w:rPr>
          <w:rFonts w:ascii="Arial" w:cs="Arial" w:eastAsia="Arial" w:hAnsi="Arial"/>
          <w:sz w:val="21"/>
          <w:szCs w:val="21"/>
          <w:b w:val="1"/>
          <w:bCs w:val="1"/>
          <w:color w:val="2A2A2A"/>
        </w:rPr>
        <w:t xml:space="preserve">Confidentiality. </w:t>
      </w:r>
      <w:r>
        <w:rPr>
          <w:rFonts w:ascii="Arial" w:cs="Arial" w:eastAsia="Arial" w:hAnsi="Arial"/>
          <w:sz w:val="21"/>
          <w:szCs w:val="21"/>
          <w:color w:val="2A2A2A"/>
        </w:rPr>
        <w:t>The terms of the Agreement shall be confidential, subject to the exceptions stated in</w:t>
      </w:r>
      <w:r>
        <w:rPr>
          <w:rFonts w:ascii="Arial" w:cs="Arial" w:eastAsia="Arial" w:hAnsi="Arial"/>
          <w:sz w:val="21"/>
          <w:szCs w:val="21"/>
          <w:b w:val="1"/>
          <w:bCs w:val="1"/>
          <w:color w:val="2A2A2A"/>
        </w:rPr>
        <w:t xml:space="preserve"> </w:t>
      </w:r>
      <w:r>
        <w:rPr>
          <w:rFonts w:ascii="Arial" w:cs="Arial" w:eastAsia="Arial" w:hAnsi="Arial"/>
          <w:sz w:val="21"/>
          <w:szCs w:val="21"/>
          <w:color w:val="2A2A2A"/>
        </w:rPr>
        <w:t>Section 13. Accordingly, Employee agrees to not make any public statement about, not disclose to any third party, the fact of, or contents or terms of this Agreement, unless necessary to implement or enforce its terms, or to seek tax or legal advice regarding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jc w:val="both"/>
        <w:spacing w:after="0" w:line="258" w:lineRule="auto"/>
        <w:rPr>
          <w:sz w:val="20"/>
          <w:szCs w:val="20"/>
          <w:color w:val="auto"/>
        </w:rPr>
      </w:pPr>
      <w:r>
        <w:rPr>
          <w:rFonts w:ascii="Arial" w:cs="Arial" w:eastAsia="Arial" w:hAnsi="Arial"/>
          <w:sz w:val="19"/>
          <w:szCs w:val="19"/>
          <w:color w:val="2B2B2B"/>
        </w:rPr>
        <w:t xml:space="preserve">Employee will not disclose information about this Agreement to Employee's spouse or Employee's financial, tax and legal advisors, until they have first been advised of this confidentiality provision. Specifically, Employee will not disclose any information about this Agreement, or the Separation Package made pursuant to this Agreement, to any current or former employee of the Company. In the event that Employee's attorney, financial or </w:t>
      </w:r>
      <w:r>
        <w:rPr>
          <w:rFonts w:ascii="Arial" w:cs="Arial" w:eastAsia="Arial" w:hAnsi="Arial"/>
          <w:sz w:val="17"/>
          <w:szCs w:val="17"/>
          <w:color w:val="2B2B2B"/>
        </w:rPr>
        <w:t>tax</w:t>
      </w:r>
      <w:r>
        <w:rPr>
          <w:rFonts w:ascii="Arial" w:cs="Arial" w:eastAsia="Arial" w:hAnsi="Arial"/>
          <w:sz w:val="19"/>
          <w:szCs w:val="19"/>
          <w:color w:val="2B2B2B"/>
        </w:rPr>
        <w:t xml:space="preserve"> advisor, or spouse engages in conduct that would breach this paragraph, such conduct shall constitute a breach of this paragraph just as if Employee had engaged in such conduct. Employee understands and agrees that any disclosures in violation of this section shall constitute and be treated as a material breach of this Agreement.</w:t>
      </w:r>
    </w:p>
    <w:p>
      <w:pPr>
        <w:spacing w:after="0" w:line="188" w:lineRule="exact"/>
        <w:rPr>
          <w:sz w:val="20"/>
          <w:szCs w:val="20"/>
          <w:color w:val="auto"/>
        </w:rPr>
      </w:pPr>
    </w:p>
    <w:p>
      <w:pPr>
        <w:jc w:val="both"/>
        <w:ind w:firstLine="656"/>
        <w:spacing w:after="0" w:line="286" w:lineRule="auto"/>
        <w:tabs>
          <w:tab w:leader="none" w:pos="1431" w:val="left"/>
        </w:tabs>
        <w:numPr>
          <w:ilvl w:val="0"/>
          <w:numId w:val="53"/>
        </w:numPr>
        <w:rPr>
          <w:rFonts w:ascii="Arial" w:cs="Arial" w:eastAsia="Arial" w:hAnsi="Arial"/>
          <w:sz w:val="20"/>
          <w:szCs w:val="20"/>
          <w:color w:val="2B2B2B"/>
        </w:rPr>
      </w:pPr>
      <w:r>
        <w:rPr>
          <w:rFonts w:ascii="Arial" w:cs="Arial" w:eastAsia="Arial" w:hAnsi="Arial"/>
          <w:sz w:val="19"/>
          <w:szCs w:val="19"/>
          <w:b w:val="1"/>
          <w:bCs w:val="1"/>
          <w:color w:val="2B2B2B"/>
        </w:rPr>
        <w:t xml:space="preserve">No Disparagement. </w:t>
      </w:r>
      <w:r>
        <w:rPr>
          <w:rFonts w:ascii="Arial" w:cs="Arial" w:eastAsia="Arial" w:hAnsi="Arial"/>
          <w:sz w:val="19"/>
          <w:szCs w:val="19"/>
          <w:color w:val="2B2B2B"/>
        </w:rPr>
        <w:t>To the fullest extent permitted by law, and subject to the exceptions stated in</w:t>
      </w:r>
      <w:r>
        <w:rPr>
          <w:rFonts w:ascii="Arial" w:cs="Arial" w:eastAsia="Arial" w:hAnsi="Arial"/>
          <w:sz w:val="19"/>
          <w:szCs w:val="19"/>
          <w:b w:val="1"/>
          <w:bCs w:val="1"/>
          <w:color w:val="2B2B2B"/>
        </w:rPr>
        <w:t xml:space="preserve"> </w:t>
      </w:r>
      <w:r>
        <w:rPr>
          <w:rFonts w:ascii="Arial" w:cs="Arial" w:eastAsia="Arial" w:hAnsi="Arial"/>
          <w:sz w:val="19"/>
          <w:szCs w:val="19"/>
          <w:color w:val="2B2B2B"/>
        </w:rPr>
        <w:t xml:space="preserve">Section </w:t>
      </w:r>
      <w:r>
        <w:rPr>
          <w:rFonts w:ascii="Arial" w:cs="Arial" w:eastAsia="Arial" w:hAnsi="Arial"/>
          <w:sz w:val="18"/>
          <w:szCs w:val="18"/>
          <w:color w:val="2B2B2B"/>
        </w:rPr>
        <w:t>13,</w:t>
      </w:r>
      <w:r>
        <w:rPr>
          <w:rFonts w:ascii="Arial" w:cs="Arial" w:eastAsia="Arial" w:hAnsi="Arial"/>
          <w:sz w:val="19"/>
          <w:szCs w:val="19"/>
          <w:color w:val="2B2B2B"/>
        </w:rPr>
        <w:t xml:space="preserve"> Employee agrees that Employee will not disparage or publish or disseminate information, whether oral or written (which includes, but is not limited to, statements made directly, indirectly or through any third person on or through any online, social media, electronic, digital or other media), that is derogatory in any manner to any Releasee or its business or his/her personal reputation, whether such information was acquired during or after Employee's employment with the Company. To the fullest extent permitted by law, Company agrees that the Company's officers, directors, executive management and those authorized to speak publicly on the Company's behalf will not disparage or publish or disseminate information, whether oral or written (which includes, but is not limited to, statements made directly, indirectly or through any third person on or through any online, social media, electronic, digital or other media), that is derogatory in any manner to Employee or his personal reputation, whether such information was acquired during or after Employee's employment with the Company.</w:t>
      </w:r>
    </w:p>
    <w:p>
      <w:pPr>
        <w:spacing w:after="0" w:line="159" w:lineRule="exact"/>
        <w:rPr>
          <w:rFonts w:ascii="Arial" w:cs="Arial" w:eastAsia="Arial" w:hAnsi="Arial"/>
          <w:sz w:val="20"/>
          <w:szCs w:val="20"/>
          <w:color w:val="2B2B2B"/>
        </w:rPr>
      </w:pPr>
    </w:p>
    <w:p>
      <w:pPr>
        <w:jc w:val="both"/>
        <w:ind w:firstLine="658"/>
        <w:spacing w:after="0" w:line="270" w:lineRule="auto"/>
        <w:tabs>
          <w:tab w:leader="none" w:pos="1406" w:val="left"/>
        </w:tabs>
        <w:numPr>
          <w:ilvl w:val="0"/>
          <w:numId w:val="53"/>
        </w:numPr>
        <w:rPr>
          <w:rFonts w:ascii="Arial" w:cs="Arial" w:eastAsia="Arial" w:hAnsi="Arial"/>
          <w:sz w:val="21"/>
          <w:szCs w:val="21"/>
          <w:color w:val="3B3B3B"/>
        </w:rPr>
      </w:pPr>
      <w:r>
        <w:rPr>
          <w:rFonts w:ascii="Arial" w:cs="Arial" w:eastAsia="Arial" w:hAnsi="Arial"/>
          <w:sz w:val="20"/>
          <w:szCs w:val="20"/>
          <w:b w:val="1"/>
          <w:bCs w:val="1"/>
          <w:color w:val="2B2B2B"/>
        </w:rPr>
        <w:t xml:space="preserve">Confirmation. </w:t>
      </w:r>
      <w:r>
        <w:rPr>
          <w:rFonts w:ascii="Arial" w:cs="Arial" w:eastAsia="Arial" w:hAnsi="Arial"/>
          <w:sz w:val="20"/>
          <w:szCs w:val="20"/>
          <w:color w:val="2B2B2B"/>
        </w:rPr>
        <w:t>Subject to the exceptions stated in Section 13, Employee represents and warrants</w:t>
      </w:r>
      <w:r>
        <w:rPr>
          <w:rFonts w:ascii="Arial" w:cs="Arial" w:eastAsia="Arial" w:hAnsi="Arial"/>
          <w:sz w:val="20"/>
          <w:szCs w:val="20"/>
          <w:b w:val="1"/>
          <w:bCs w:val="1"/>
          <w:color w:val="2B2B2B"/>
        </w:rPr>
        <w:t xml:space="preserve"> </w:t>
      </w:r>
      <w:r>
        <w:rPr>
          <w:rFonts w:ascii="Arial" w:cs="Arial" w:eastAsia="Arial" w:hAnsi="Arial"/>
          <w:sz w:val="20"/>
          <w:szCs w:val="20"/>
          <w:color w:val="2B2B2B"/>
        </w:rPr>
        <w:t xml:space="preserve">that Employee is not aware, to the best of Employee's knowledge, of any conduct on Employee's part or on the part of another Company employee that violated the </w:t>
      </w:r>
      <w:r>
        <w:rPr>
          <w:rFonts w:ascii="Arial" w:cs="Arial" w:eastAsia="Arial" w:hAnsi="Arial"/>
          <w:sz w:val="20"/>
          <w:szCs w:val="20"/>
          <w:color w:val="3B3B3B"/>
        </w:rPr>
        <w:t>law</w:t>
      </w:r>
      <w:r>
        <w:rPr>
          <w:rFonts w:ascii="Arial" w:cs="Arial" w:eastAsia="Arial" w:hAnsi="Arial"/>
          <w:sz w:val="20"/>
          <w:szCs w:val="20"/>
          <w:color w:val="2B2B2B"/>
        </w:rPr>
        <w:t xml:space="preserve"> or otherwise exposed the Company to any liability, whether criminal or civil, whether to any government, individual or other entity, and that Employee </w:t>
      </w:r>
      <w:r>
        <w:rPr>
          <w:rFonts w:ascii="Arial" w:cs="Arial" w:eastAsia="Arial" w:hAnsi="Arial"/>
          <w:sz w:val="20"/>
          <w:szCs w:val="20"/>
          <w:color w:val="3B3B3B"/>
        </w:rPr>
        <w:t>is</w:t>
      </w:r>
      <w:r>
        <w:rPr>
          <w:rFonts w:ascii="Arial" w:cs="Arial" w:eastAsia="Arial" w:hAnsi="Arial"/>
          <w:sz w:val="20"/>
          <w:szCs w:val="20"/>
          <w:color w:val="2B2B2B"/>
        </w:rPr>
        <w:t xml:space="preserve"> not aware of any material violations by the Company and/or its employees, officers, directors and agents of any statute, regulation or other rules that have not been addressed by the Company through appropriate compliance and/or corrective action. Further, Employee represents and warrants that Employee has not suffered any harassment or sexual abuse in connection with Employee's employment by the Company, or by any officer, manager, employee, agent, customer or supplier of the Company; that Employee is not currently aware of any facts or circumstances that would give rise to a harassment (including sexual harassment) or sexual abuse claim against the Company and/or any of the Releasees; and that this Agreement and the Separation Package is not a settlement or payment related to a harassment or sexual abuse claim.</w:t>
      </w:r>
    </w:p>
    <w:p>
      <w:pPr>
        <w:spacing w:after="0" w:line="176" w:lineRule="exact"/>
        <w:rPr>
          <w:rFonts w:ascii="Arial" w:cs="Arial" w:eastAsia="Arial" w:hAnsi="Arial"/>
          <w:sz w:val="21"/>
          <w:szCs w:val="21"/>
          <w:color w:val="3B3B3B"/>
        </w:rPr>
      </w:pPr>
    </w:p>
    <w:p>
      <w:pPr>
        <w:jc w:val="both"/>
        <w:ind w:firstLine="653"/>
        <w:spacing w:after="0" w:line="270" w:lineRule="auto"/>
        <w:tabs>
          <w:tab w:leader="none" w:pos="1366" w:val="left"/>
        </w:tabs>
        <w:numPr>
          <w:ilvl w:val="0"/>
          <w:numId w:val="53"/>
        </w:numPr>
        <w:rPr>
          <w:rFonts w:ascii="Arial" w:cs="Arial" w:eastAsia="Arial" w:hAnsi="Arial"/>
          <w:sz w:val="21"/>
          <w:szCs w:val="21"/>
          <w:color w:val="2B2B2B"/>
        </w:rPr>
      </w:pPr>
      <w:r>
        <w:rPr>
          <w:rFonts w:ascii="Arial" w:cs="Arial" w:eastAsia="Arial" w:hAnsi="Arial"/>
          <w:sz w:val="20"/>
          <w:szCs w:val="20"/>
          <w:b w:val="1"/>
          <w:bCs w:val="1"/>
          <w:color w:val="2B2B2B"/>
        </w:rPr>
        <w:t xml:space="preserve">Cooperation of Employee. </w:t>
      </w:r>
      <w:r>
        <w:rPr>
          <w:rFonts w:ascii="Arial" w:cs="Arial" w:eastAsia="Arial" w:hAnsi="Arial"/>
          <w:sz w:val="20"/>
          <w:szCs w:val="20"/>
          <w:color w:val="3B3B3B"/>
        </w:rPr>
        <w:t>In</w:t>
      </w:r>
      <w:r>
        <w:rPr>
          <w:rFonts w:ascii="Arial" w:cs="Arial" w:eastAsia="Arial" w:hAnsi="Arial"/>
          <w:sz w:val="20"/>
          <w:szCs w:val="20"/>
          <w:b w:val="1"/>
          <w:bCs w:val="1"/>
          <w:color w:val="2B2B2B"/>
        </w:rPr>
        <w:t xml:space="preserve"> </w:t>
      </w:r>
      <w:r>
        <w:rPr>
          <w:rFonts w:ascii="Arial" w:cs="Arial" w:eastAsia="Arial" w:hAnsi="Arial"/>
          <w:sz w:val="20"/>
          <w:szCs w:val="20"/>
          <w:color w:val="2B2B2B"/>
        </w:rPr>
        <w:t>the event that the Company or any of its affiliates becomes involved</w:t>
      </w:r>
      <w:r>
        <w:rPr>
          <w:rFonts w:ascii="Arial" w:cs="Arial" w:eastAsia="Arial" w:hAnsi="Arial"/>
          <w:sz w:val="20"/>
          <w:szCs w:val="20"/>
          <w:b w:val="1"/>
          <w:bCs w:val="1"/>
          <w:color w:val="2B2B2B"/>
        </w:rPr>
        <w:t xml:space="preserve"> </w:t>
      </w:r>
      <w:r>
        <w:rPr>
          <w:rFonts w:ascii="Arial" w:cs="Arial" w:eastAsia="Arial" w:hAnsi="Arial"/>
          <w:sz w:val="20"/>
          <w:szCs w:val="20"/>
          <w:color w:val="2B2B2B"/>
        </w:rPr>
        <w:t xml:space="preserve">in any civil or criminal litigation, administrative proceeding or governmental investigation, Employee shall, upon request, provide </w:t>
      </w:r>
      <w:r>
        <w:rPr>
          <w:rFonts w:ascii="Arial" w:cs="Arial" w:eastAsia="Arial" w:hAnsi="Arial"/>
          <w:sz w:val="20"/>
          <w:szCs w:val="20"/>
          <w:color w:val="3B3B3B"/>
        </w:rPr>
        <w:t>reasonable</w:t>
      </w:r>
      <w:r>
        <w:rPr>
          <w:rFonts w:ascii="Arial" w:cs="Arial" w:eastAsia="Arial" w:hAnsi="Arial"/>
          <w:sz w:val="20"/>
          <w:szCs w:val="20"/>
          <w:color w:val="2B2B2B"/>
        </w:rPr>
        <w:t xml:space="preserve"> cooperation and assistance to the Company, including without limitation, furnishing relevant information, attending meetings and providing statements and testimony. The Company will reimburse Employee for all reasonable and necessary expenses Employee incurs in complying with this Section 11 and will provide </w:t>
      </w:r>
      <w:r>
        <w:rPr>
          <w:rFonts w:ascii="Arial" w:cs="Arial" w:eastAsia="Arial" w:hAnsi="Arial"/>
          <w:sz w:val="19"/>
          <w:szCs w:val="19"/>
          <w:color w:val="2A2A2A"/>
        </w:rPr>
        <w:t>reasonable compensation for time Employee provides that is beyond ordinary cooperation and assistance, at a</w:t>
      </w:r>
      <w:r>
        <w:rPr>
          <w:rFonts w:ascii="Arial" w:cs="Arial" w:eastAsia="Arial" w:hAnsi="Arial"/>
          <w:sz w:val="20"/>
          <w:szCs w:val="20"/>
          <w:color w:val="2B2B2B"/>
        </w:rPr>
        <w:t xml:space="preserve"> </w:t>
      </w:r>
      <w:r>
        <w:rPr>
          <w:rFonts w:ascii="Arial" w:cs="Arial" w:eastAsia="Arial" w:hAnsi="Arial"/>
          <w:sz w:val="19"/>
          <w:szCs w:val="19"/>
          <w:color w:val="2A2A2A"/>
        </w:rPr>
        <w:t>rate to be negotiated at such a time. If necessary, for any employer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621030</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spacing w:after="0" w:line="264" w:lineRule="auto"/>
        <w:rPr>
          <w:sz w:val="20"/>
          <w:szCs w:val="20"/>
          <w:color w:val="auto"/>
        </w:rPr>
      </w:pPr>
      <w:r>
        <w:rPr>
          <w:rFonts w:ascii="Arial" w:cs="Arial" w:eastAsia="Arial" w:hAnsi="Arial"/>
          <w:sz w:val="21"/>
          <w:szCs w:val="21"/>
          <w:color w:val="2A2A2A"/>
        </w:rPr>
        <w:t>the Company will provide Employee with a proper subpoena in order to obtain Employee's reasonable cooperation with and assistance to the Company.</w:t>
      </w:r>
    </w:p>
    <w:p>
      <w:pPr>
        <w:spacing w:after="0" w:line="165" w:lineRule="exact"/>
        <w:rPr>
          <w:sz w:val="20"/>
          <w:szCs w:val="20"/>
          <w:color w:val="auto"/>
        </w:rPr>
      </w:pPr>
    </w:p>
    <w:p>
      <w:pPr>
        <w:jc w:val="both"/>
        <w:ind w:firstLine="656"/>
        <w:spacing w:after="0" w:line="260" w:lineRule="auto"/>
        <w:tabs>
          <w:tab w:leader="none" w:pos="1334" w:val="left"/>
        </w:tabs>
        <w:numPr>
          <w:ilvl w:val="0"/>
          <w:numId w:val="54"/>
        </w:numPr>
        <w:rPr>
          <w:rFonts w:ascii="Arial" w:cs="Arial" w:eastAsia="Arial" w:hAnsi="Arial"/>
          <w:sz w:val="20"/>
          <w:szCs w:val="20"/>
          <w:color w:val="2A2A2A"/>
        </w:rPr>
      </w:pPr>
      <w:r>
        <w:rPr>
          <w:rFonts w:ascii="Arial" w:cs="Arial" w:eastAsia="Arial" w:hAnsi="Arial"/>
          <w:sz w:val="20"/>
          <w:szCs w:val="20"/>
          <w:b w:val="1"/>
          <w:bCs w:val="1"/>
          <w:color w:val="2A2A2A"/>
        </w:rPr>
        <w:t>Non-admission/Inadmissibility</w:t>
      </w:r>
      <w:r>
        <w:rPr>
          <w:rFonts w:ascii="Arial" w:cs="Arial" w:eastAsia="Arial" w:hAnsi="Arial"/>
          <w:sz w:val="20"/>
          <w:szCs w:val="20"/>
          <w:b w:val="1"/>
          <w:bCs w:val="1"/>
          <w:color w:val="5B5B5B"/>
        </w:rPr>
        <w:t>.</w:t>
      </w:r>
      <w:r>
        <w:rPr>
          <w:rFonts w:ascii="Arial" w:cs="Arial" w:eastAsia="Arial" w:hAnsi="Arial"/>
          <w:sz w:val="20"/>
          <w:szCs w:val="20"/>
          <w:b w:val="1"/>
          <w:bCs w:val="1"/>
          <w:color w:val="2A2A2A"/>
        </w:rPr>
        <w:t xml:space="preserve"> </w:t>
      </w:r>
      <w:r>
        <w:rPr>
          <w:rFonts w:ascii="Arial" w:cs="Arial" w:eastAsia="Arial" w:hAnsi="Arial"/>
          <w:sz w:val="20"/>
          <w:szCs w:val="20"/>
          <w:color w:val="2A2A2A"/>
        </w:rPr>
        <w:t>This Agreement does not constitute an admission by any party hereto</w:t>
      </w:r>
      <w:r>
        <w:rPr>
          <w:rFonts w:ascii="Arial" w:cs="Arial" w:eastAsia="Arial" w:hAnsi="Arial"/>
          <w:sz w:val="20"/>
          <w:szCs w:val="20"/>
          <w:b w:val="1"/>
          <w:bCs w:val="1"/>
          <w:color w:val="2A2A2A"/>
        </w:rPr>
        <w:t xml:space="preserve"> </w:t>
      </w:r>
      <w:r>
        <w:rPr>
          <w:rFonts w:ascii="Arial" w:cs="Arial" w:eastAsia="Arial" w:hAnsi="Arial"/>
          <w:sz w:val="20"/>
          <w:szCs w:val="20"/>
          <w:color w:val="2A2A2A"/>
        </w:rPr>
        <w:t>that any action such party took with respect to the other party hereto was wrongful, unlawful or in violation of any local, state, or federal act, statute, or constitution, or susceptible of inflicting any damages or injury on such party, and each party specifically denies any such wrongdoing or violation. This Agreement is entered into solely to resolve fully all matters related to or arising out of Employee's employment with and termination from the Company, and its execution, and implementation may not be used as evidence, and shall not be admissible in a subsequent proceeding of any kind, except one alleging a breach of this Agreement.</w:t>
      </w:r>
    </w:p>
    <w:p>
      <w:pPr>
        <w:spacing w:after="0" w:line="172" w:lineRule="exact"/>
        <w:rPr>
          <w:rFonts w:ascii="Arial" w:cs="Arial" w:eastAsia="Arial" w:hAnsi="Arial"/>
          <w:sz w:val="20"/>
          <w:szCs w:val="20"/>
          <w:color w:val="2A2A2A"/>
        </w:rPr>
      </w:pPr>
    </w:p>
    <w:p>
      <w:pPr>
        <w:jc w:val="both"/>
        <w:ind w:firstLine="657"/>
        <w:spacing w:after="0" w:line="255" w:lineRule="auto"/>
        <w:tabs>
          <w:tab w:leader="none" w:pos="1686" w:val="left"/>
        </w:tabs>
        <w:numPr>
          <w:ilvl w:val="0"/>
          <w:numId w:val="54"/>
        </w:numPr>
        <w:rPr>
          <w:rFonts w:ascii="Arial" w:cs="Arial" w:eastAsia="Arial" w:hAnsi="Arial"/>
          <w:sz w:val="20"/>
          <w:szCs w:val="20"/>
          <w:color w:val="3B3B3B"/>
        </w:rPr>
      </w:pPr>
      <w:r>
        <w:rPr>
          <w:rFonts w:ascii="Arial" w:cs="Arial" w:eastAsia="Arial" w:hAnsi="Arial"/>
          <w:sz w:val="20"/>
          <w:szCs w:val="20"/>
          <w:b w:val="1"/>
          <w:bCs w:val="1"/>
          <w:color w:val="2A2A2A"/>
        </w:rPr>
        <w:t xml:space="preserve">No Prohibition. </w:t>
      </w:r>
      <w:r>
        <w:rPr>
          <w:rFonts w:ascii="Arial" w:cs="Arial" w:eastAsia="Arial" w:hAnsi="Arial"/>
          <w:sz w:val="20"/>
          <w:szCs w:val="20"/>
          <w:color w:val="2A2A2A"/>
        </w:rPr>
        <w:t>Employee is hereby advised, and by Employee's signature below, Employee</w:t>
      </w:r>
      <w:r>
        <w:rPr>
          <w:rFonts w:ascii="Arial" w:cs="Arial" w:eastAsia="Arial" w:hAnsi="Arial"/>
          <w:sz w:val="20"/>
          <w:szCs w:val="20"/>
          <w:b w:val="1"/>
          <w:bCs w:val="1"/>
          <w:color w:val="2A2A2A"/>
        </w:rPr>
        <w:t xml:space="preserve"> </w:t>
      </w:r>
      <w:r>
        <w:rPr>
          <w:rFonts w:ascii="Arial" w:cs="Arial" w:eastAsia="Arial" w:hAnsi="Arial"/>
          <w:sz w:val="20"/>
          <w:szCs w:val="20"/>
          <w:color w:val="2A2A2A"/>
        </w:rPr>
        <w:t xml:space="preserve">acknowledges that, nothing in this Agreement or in any agreement between Employee and the Company prohibits or limits Employee (or Employee's attorney) from initiating communications directly with, responding to any inquiry from, volunteering information to, or providing testimony before, the Securities and Exchange Commission, the Department of Justice, the Financial Industry Regulatory Authority Inc., or any other self-regulatory organization, governmental, law enforcement, or regulatory authority, regarding this Agreement and its underlying facts and circumstances, or any </w:t>
      </w:r>
      <w:r>
        <w:rPr>
          <w:rFonts w:ascii="Arial" w:cs="Arial" w:eastAsia="Arial" w:hAnsi="Arial"/>
          <w:sz w:val="20"/>
          <w:szCs w:val="20"/>
          <w:color w:val="3B3B3B"/>
        </w:rPr>
        <w:t>reporting</w:t>
      </w:r>
      <w:r>
        <w:rPr>
          <w:rFonts w:ascii="Arial" w:cs="Arial" w:eastAsia="Arial" w:hAnsi="Arial"/>
          <w:sz w:val="20"/>
          <w:szCs w:val="20"/>
          <w:color w:val="2A2A2A"/>
        </w:rPr>
        <w:t xml:space="preserve"> of, investigation into, or proceeding regarding suspected violations of </w:t>
      </w:r>
      <w:r>
        <w:rPr>
          <w:rFonts w:ascii="Arial" w:cs="Arial" w:eastAsia="Arial" w:hAnsi="Arial"/>
          <w:sz w:val="20"/>
          <w:szCs w:val="20"/>
          <w:color w:val="3B3B3B"/>
        </w:rPr>
        <w:t>law,</w:t>
      </w:r>
      <w:r>
        <w:rPr>
          <w:rFonts w:ascii="Arial" w:cs="Arial" w:eastAsia="Arial" w:hAnsi="Arial"/>
          <w:sz w:val="20"/>
          <w:szCs w:val="20"/>
          <w:color w:val="2A2A2A"/>
        </w:rPr>
        <w:t xml:space="preserve"> and that Employee is not required to advise or seek permission from the Company before engaging in any such activity. Employee further recognizes that, in connection with any such activity, Employee must inform such authority of the confidential nature of any confidential information that Employee provides, provided, further, that Employee is not permitted to </w:t>
      </w:r>
      <w:r>
        <w:rPr>
          <w:rFonts w:ascii="Arial" w:cs="Arial" w:eastAsia="Arial" w:hAnsi="Arial"/>
          <w:sz w:val="20"/>
          <w:szCs w:val="20"/>
          <w:color w:val="3B3B3B"/>
        </w:rPr>
        <w:t>reveal</w:t>
      </w:r>
      <w:r>
        <w:rPr>
          <w:rFonts w:ascii="Arial" w:cs="Arial" w:eastAsia="Arial" w:hAnsi="Arial"/>
          <w:sz w:val="20"/>
          <w:szCs w:val="20"/>
          <w:color w:val="2A2A2A"/>
        </w:rPr>
        <w:t xml:space="preserve"> any information that is protected by the attorney-client privilege or attorney work product protection or any other privilege belonging to the Company. Furthermore, nothing contained in this Agreement is intended to prohibit or restrict Employee in any way from making any disclosure of information required by law. Additionally, Employee understands and acknowledges that Employee is hereby notified that, under the Defend Trade Secrets Act (specifically, 18 USC §1833), Employee cannot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Employee also understands that Employee may not be held so liable for disclosures made in a complaint or other document filed in a lawsuit or other proceeding, if that filing is made under seal.</w:t>
      </w:r>
    </w:p>
    <w:p>
      <w:pPr>
        <w:spacing w:after="0" w:line="188" w:lineRule="exact"/>
        <w:rPr>
          <w:rFonts w:ascii="Arial" w:cs="Arial" w:eastAsia="Arial" w:hAnsi="Arial"/>
          <w:sz w:val="20"/>
          <w:szCs w:val="20"/>
          <w:color w:val="3B3B3B"/>
        </w:rPr>
      </w:pPr>
    </w:p>
    <w:p>
      <w:pPr>
        <w:jc w:val="both"/>
        <w:ind w:firstLine="662"/>
        <w:spacing w:after="0" w:line="264" w:lineRule="auto"/>
        <w:tabs>
          <w:tab w:leader="none" w:pos="1596" w:val="left"/>
        </w:tabs>
        <w:numPr>
          <w:ilvl w:val="0"/>
          <w:numId w:val="54"/>
        </w:numPr>
        <w:rPr>
          <w:rFonts w:ascii="Arial" w:cs="Arial" w:eastAsia="Arial" w:hAnsi="Arial"/>
          <w:sz w:val="20"/>
          <w:szCs w:val="20"/>
          <w:color w:val="2A2A2A"/>
        </w:rPr>
      </w:pPr>
      <w:r>
        <w:rPr>
          <w:rFonts w:ascii="Arial" w:cs="Arial" w:eastAsia="Arial" w:hAnsi="Arial"/>
          <w:sz w:val="20"/>
          <w:szCs w:val="20"/>
          <w:b w:val="1"/>
          <w:bCs w:val="1"/>
          <w:color w:val="2A2A2A"/>
        </w:rPr>
        <w:t xml:space="preserve">No Assignment. </w:t>
      </w:r>
      <w:r>
        <w:rPr>
          <w:rFonts w:ascii="Arial" w:cs="Arial" w:eastAsia="Arial" w:hAnsi="Arial"/>
          <w:sz w:val="20"/>
          <w:szCs w:val="20"/>
          <w:color w:val="2A2A2A"/>
        </w:rPr>
        <w:t>Employee represents and agrees that Employee has not heretofore assigned or</w:t>
      </w:r>
      <w:r>
        <w:rPr>
          <w:rFonts w:ascii="Arial" w:cs="Arial" w:eastAsia="Arial" w:hAnsi="Arial"/>
          <w:sz w:val="20"/>
          <w:szCs w:val="20"/>
          <w:b w:val="1"/>
          <w:bCs w:val="1"/>
          <w:color w:val="2A2A2A"/>
        </w:rPr>
        <w:t xml:space="preserve"> </w:t>
      </w:r>
      <w:r>
        <w:rPr>
          <w:rFonts w:ascii="Arial" w:cs="Arial" w:eastAsia="Arial" w:hAnsi="Arial"/>
          <w:sz w:val="20"/>
          <w:szCs w:val="20"/>
          <w:color w:val="2A2A2A"/>
        </w:rPr>
        <w:t>transferred, or purported to have assigned or transferred, to any person whomsoever, any Claim or portion thereof or interest therein, and Employee agrees to indemnify, defend and hold harmless each and all of the Releasees against any and all Claims based on, arising out of, or in connection with any such transfer or assignment, or purported transfer or assignment, of any Claims or any portion thereof or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7" w:name="page98"/>
    <w:bookmarkEnd w:id="97"/>
    <w:p>
      <w:pPr>
        <w:jc w:val="both"/>
        <w:ind w:left="-460" w:firstLine="658"/>
        <w:spacing w:after="0" w:line="274" w:lineRule="auto"/>
        <w:tabs>
          <w:tab w:leader="none" w:pos="1065" w:val="left"/>
        </w:tabs>
        <w:numPr>
          <w:ilvl w:val="0"/>
          <w:numId w:val="55"/>
        </w:numPr>
        <w:rPr>
          <w:rFonts w:ascii="Arial" w:cs="Arial" w:eastAsia="Arial" w:hAnsi="Arial"/>
          <w:sz w:val="20"/>
          <w:szCs w:val="20"/>
          <w:color w:val="2A2A2A"/>
        </w:rPr>
      </w:pPr>
      <w:r>
        <w:rPr>
          <w:rFonts w:ascii="Arial" w:cs="Arial" w:eastAsia="Arial" w:hAnsi="Arial"/>
          <w:sz w:val="20"/>
          <w:szCs w:val="20"/>
          <w:b w:val="1"/>
          <w:bCs w:val="1"/>
          <w:color w:val="2A2A2A"/>
        </w:rPr>
        <w:t xml:space="preserve">Binding. </w:t>
      </w:r>
      <w:r>
        <w:rPr>
          <w:rFonts w:ascii="Arial" w:cs="Arial" w:eastAsia="Arial" w:hAnsi="Arial"/>
          <w:sz w:val="20"/>
          <w:szCs w:val="20"/>
          <w:color w:val="2A2A2A"/>
        </w:rPr>
        <w:t>This Agreement shall be binding upon Employee and Employee's heirs, representatives,</w:t>
      </w:r>
      <w:r>
        <w:rPr>
          <w:rFonts w:ascii="Arial" w:cs="Arial" w:eastAsia="Arial" w:hAnsi="Arial"/>
          <w:sz w:val="20"/>
          <w:szCs w:val="20"/>
          <w:b w:val="1"/>
          <w:bCs w:val="1"/>
          <w:color w:val="2A2A2A"/>
        </w:rPr>
        <w:t xml:space="preserve"> </w:t>
      </w:r>
      <w:r>
        <w:rPr>
          <w:rFonts w:ascii="Arial" w:cs="Arial" w:eastAsia="Arial" w:hAnsi="Arial"/>
          <w:sz w:val="20"/>
          <w:szCs w:val="20"/>
          <w:color w:val="2A2A2A"/>
        </w:rPr>
        <w:t>executors, administrators, successors and assigns, and shall inure to the benefit of each and all of the Releasees, and to their heirs, representatives, executors, administrators, successors and assigns.</w:t>
      </w:r>
    </w:p>
    <w:p>
      <w:pPr>
        <w:spacing w:after="0" w:line="157" w:lineRule="exact"/>
        <w:rPr>
          <w:rFonts w:ascii="Arial" w:cs="Arial" w:eastAsia="Arial" w:hAnsi="Arial"/>
          <w:sz w:val="20"/>
          <w:szCs w:val="20"/>
          <w:color w:val="2A2A2A"/>
        </w:rPr>
      </w:pPr>
    </w:p>
    <w:p>
      <w:pPr>
        <w:jc w:val="both"/>
        <w:ind w:left="-460" w:firstLine="658"/>
        <w:spacing w:after="0" w:line="274" w:lineRule="auto"/>
        <w:tabs>
          <w:tab w:leader="none" w:pos="903" w:val="left"/>
        </w:tabs>
        <w:numPr>
          <w:ilvl w:val="0"/>
          <w:numId w:val="55"/>
        </w:numPr>
        <w:rPr>
          <w:rFonts w:ascii="Arial" w:cs="Arial" w:eastAsia="Arial" w:hAnsi="Arial"/>
          <w:sz w:val="19"/>
          <w:szCs w:val="19"/>
          <w:color w:val="2A2A2A"/>
        </w:rPr>
      </w:pPr>
      <w:r>
        <w:rPr>
          <w:rFonts w:ascii="Arial" w:cs="Arial" w:eastAsia="Arial" w:hAnsi="Arial"/>
          <w:sz w:val="19"/>
          <w:szCs w:val="19"/>
          <w:b w:val="1"/>
          <w:bCs w:val="1"/>
          <w:color w:val="2A2A2A"/>
        </w:rPr>
        <w:t xml:space="preserve">Severability. </w:t>
      </w:r>
      <w:r>
        <w:rPr>
          <w:rFonts w:ascii="Arial" w:cs="Arial" w:eastAsia="Arial" w:hAnsi="Arial"/>
          <w:sz w:val="19"/>
          <w:szCs w:val="19"/>
          <w:color w:val="2A2A2A"/>
        </w:rPr>
        <w:t>Should any part, term, or provision of this Agreement, with the exception of the releases</w:t>
      </w:r>
      <w:r>
        <w:rPr>
          <w:rFonts w:ascii="Arial" w:cs="Arial" w:eastAsia="Arial" w:hAnsi="Arial"/>
          <w:sz w:val="19"/>
          <w:szCs w:val="19"/>
          <w:b w:val="1"/>
          <w:bCs w:val="1"/>
          <w:color w:val="2A2A2A"/>
        </w:rPr>
        <w:t xml:space="preserve"> </w:t>
      </w:r>
      <w:r>
        <w:rPr>
          <w:rFonts w:ascii="Arial" w:cs="Arial" w:eastAsia="Arial" w:hAnsi="Arial"/>
          <w:sz w:val="19"/>
          <w:szCs w:val="19"/>
          <w:color w:val="2A2A2A"/>
        </w:rPr>
        <w:t xml:space="preserve">embodied in Sections 4 and 5, be declared or determined by any Court or other tribunal of appropriate jurisdiction to be invalid or unenforceable, any such invalid or unenforceable part, term or provision shall be deemed stricken and severed from this Agreement and any and all of the other terms of the Agreement shall remain in full force and effect to the fullest extent permitted by </w:t>
      </w:r>
      <w:r>
        <w:rPr>
          <w:rFonts w:ascii="Arial" w:cs="Arial" w:eastAsia="Arial" w:hAnsi="Arial"/>
          <w:sz w:val="19"/>
          <w:szCs w:val="19"/>
          <w:color w:val="3B3B3B"/>
        </w:rPr>
        <w:t>law</w:t>
      </w:r>
      <w:r>
        <w:rPr>
          <w:rFonts w:ascii="Arial" w:cs="Arial" w:eastAsia="Arial" w:hAnsi="Arial"/>
          <w:sz w:val="19"/>
          <w:szCs w:val="19"/>
          <w:color w:val="545454"/>
        </w:rPr>
        <w:t>.</w:t>
      </w:r>
      <w:r>
        <w:rPr>
          <w:rFonts w:ascii="Arial" w:cs="Arial" w:eastAsia="Arial" w:hAnsi="Arial"/>
          <w:sz w:val="19"/>
          <w:szCs w:val="19"/>
          <w:color w:val="2A2A2A"/>
        </w:rPr>
        <w:t xml:space="preserve"> The releases embodied in Sections 4 and 5 are the essence of this Agreement and should these Sections 4 or 5 be deemed invalid or unenforceable in a final unappealable judgment (an "Invalidity Determination"), this Agreement may be declared null and void by the Company; provided, however, that in no event shall Employee be required to return any consideration received under this Agreement as a result of an Invalidity Determination unless such Invalidity Determination was sought in a legal action initiated by Employee.</w:t>
      </w:r>
    </w:p>
    <w:p>
      <w:pPr>
        <w:spacing w:after="0" w:line="158" w:lineRule="exact"/>
        <w:rPr>
          <w:rFonts w:ascii="Arial" w:cs="Arial" w:eastAsia="Arial" w:hAnsi="Arial"/>
          <w:sz w:val="19"/>
          <w:szCs w:val="19"/>
          <w:color w:val="2A2A2A"/>
        </w:rPr>
      </w:pPr>
    </w:p>
    <w:p>
      <w:pPr>
        <w:ind w:left="-460" w:firstLine="661"/>
        <w:spacing w:after="0" w:line="270" w:lineRule="auto"/>
        <w:tabs>
          <w:tab w:leader="none" w:pos="959" w:val="left"/>
        </w:tabs>
        <w:numPr>
          <w:ilvl w:val="0"/>
          <w:numId w:val="55"/>
        </w:numPr>
        <w:rPr>
          <w:rFonts w:ascii="Arial" w:cs="Arial" w:eastAsia="Arial" w:hAnsi="Arial"/>
          <w:sz w:val="21"/>
          <w:szCs w:val="21"/>
          <w:color w:val="2A2A2A"/>
        </w:rPr>
      </w:pPr>
      <w:r>
        <w:rPr>
          <w:rFonts w:ascii="Arial" w:cs="Arial" w:eastAsia="Arial" w:hAnsi="Arial"/>
          <w:sz w:val="21"/>
          <w:szCs w:val="21"/>
          <w:b w:val="1"/>
          <w:bCs w:val="1"/>
          <w:color w:val="2A2A2A"/>
        </w:rPr>
        <w:t xml:space="preserve">Governing Law. </w:t>
      </w:r>
      <w:r>
        <w:rPr>
          <w:rFonts w:ascii="Arial" w:cs="Arial" w:eastAsia="Arial" w:hAnsi="Arial"/>
          <w:sz w:val="21"/>
          <w:szCs w:val="21"/>
          <w:color w:val="2A2A2A"/>
        </w:rPr>
        <w:t>This Agreement shall be construed and enforced in accordance with, and governed</w:t>
      </w:r>
      <w:r>
        <w:rPr>
          <w:rFonts w:ascii="Arial" w:cs="Arial" w:eastAsia="Arial" w:hAnsi="Arial"/>
          <w:sz w:val="21"/>
          <w:szCs w:val="21"/>
          <w:b w:val="1"/>
          <w:bCs w:val="1"/>
          <w:color w:val="2A2A2A"/>
        </w:rPr>
        <w:t xml:space="preserve"> </w:t>
      </w:r>
      <w:r>
        <w:rPr>
          <w:rFonts w:ascii="Arial" w:cs="Arial" w:eastAsia="Arial" w:hAnsi="Arial"/>
          <w:sz w:val="21"/>
          <w:szCs w:val="21"/>
          <w:color w:val="2A2A2A"/>
        </w:rPr>
        <w:t>by, the laws of the State of California, without regard to its conflicts of law provisions.</w:t>
      </w:r>
    </w:p>
    <w:p>
      <w:pPr>
        <w:spacing w:after="0" w:line="158" w:lineRule="exact"/>
        <w:rPr>
          <w:rFonts w:ascii="Arial" w:cs="Arial" w:eastAsia="Arial" w:hAnsi="Arial"/>
          <w:sz w:val="21"/>
          <w:szCs w:val="21"/>
          <w:color w:val="2A2A2A"/>
        </w:rPr>
      </w:pPr>
    </w:p>
    <w:p>
      <w:pPr>
        <w:jc w:val="both"/>
        <w:ind w:left="-460" w:firstLine="658"/>
        <w:spacing w:after="0" w:line="245" w:lineRule="exact"/>
        <w:tabs>
          <w:tab w:leader="none" w:pos="943" w:val="left"/>
        </w:tabs>
        <w:numPr>
          <w:ilvl w:val="0"/>
          <w:numId w:val="55"/>
        </w:numPr>
        <w:rPr>
          <w:rFonts w:ascii="Arial" w:cs="Arial" w:eastAsia="Arial" w:hAnsi="Arial"/>
          <w:sz w:val="18"/>
          <w:szCs w:val="18"/>
          <w:color w:val="2A2A2A"/>
        </w:rPr>
      </w:pPr>
      <w:r>
        <w:rPr>
          <w:rFonts w:ascii="Arial" w:cs="Arial" w:eastAsia="Arial" w:hAnsi="Arial"/>
          <w:sz w:val="18"/>
          <w:szCs w:val="18"/>
          <w:b w:val="1"/>
          <w:bCs w:val="1"/>
          <w:color w:val="2A2A2A"/>
        </w:rPr>
        <w:t xml:space="preserve">Entire Agreement. </w:t>
      </w:r>
      <w:r>
        <w:rPr>
          <w:rFonts w:ascii="Arial" w:cs="Arial" w:eastAsia="Arial" w:hAnsi="Arial"/>
          <w:sz w:val="18"/>
          <w:szCs w:val="18"/>
          <w:color w:val="2A2A2A"/>
        </w:rPr>
        <w:t>This Agreement constitutes and contains the entire agreement and understanding</w:t>
      </w:r>
      <w:r>
        <w:rPr>
          <w:rFonts w:ascii="Arial" w:cs="Arial" w:eastAsia="Arial" w:hAnsi="Arial"/>
          <w:sz w:val="18"/>
          <w:szCs w:val="18"/>
          <w:b w:val="1"/>
          <w:bCs w:val="1"/>
          <w:color w:val="2A2A2A"/>
        </w:rPr>
        <w:t xml:space="preserve"> </w:t>
      </w:r>
      <w:r>
        <w:rPr>
          <w:rFonts w:ascii="Arial" w:cs="Arial" w:eastAsia="Arial" w:hAnsi="Arial"/>
          <w:sz w:val="18"/>
          <w:szCs w:val="18"/>
          <w:color w:val="2A2A2A"/>
        </w:rPr>
        <w:t xml:space="preserve">between the parties and supersedes all prior negotiations and all agreements proposed or otherwise, whether written or oral, concerning the subject matter hereof. The Company has made no promises to Employee other than those contained </w:t>
      </w:r>
      <w:r>
        <w:rPr>
          <w:rFonts w:ascii="Arial" w:cs="Arial" w:eastAsia="Arial" w:hAnsi="Arial"/>
          <w:sz w:val="18"/>
          <w:szCs w:val="18"/>
          <w:color w:val="3B3B3B"/>
        </w:rPr>
        <w:t>in</w:t>
      </w:r>
      <w:r>
        <w:rPr>
          <w:rFonts w:ascii="Arial" w:cs="Arial" w:eastAsia="Arial" w:hAnsi="Arial"/>
          <w:sz w:val="18"/>
          <w:szCs w:val="18"/>
          <w:color w:val="2A2A2A"/>
        </w:rPr>
        <w:t xml:space="preserve"> this Agreement. This Agreement may not be modified, or any provision waived, except by a signed written agreement of the affected parties. Notwithstanding the foregoing, any confidential information and/or non</w:t>
      </w:r>
      <w:r>
        <w:rPr>
          <w:rFonts w:ascii="MS PGothic" w:cs="MS PGothic" w:eastAsia="MS PGothic" w:hAnsi="MS PGothic"/>
          <w:sz w:val="18"/>
          <w:szCs w:val="18"/>
          <w:color w:val="2A2A2A"/>
        </w:rPr>
        <w:t>‐</w:t>
      </w:r>
      <w:r>
        <w:rPr>
          <w:rFonts w:ascii="Arial" w:cs="Arial" w:eastAsia="Arial" w:hAnsi="Arial"/>
          <w:sz w:val="18"/>
          <w:szCs w:val="18"/>
          <w:color w:val="2A2A2A"/>
        </w:rPr>
        <w:t xml:space="preserve"> disclosure agreement which Employee entered into with the Company, shall remain in full force and effect whether or not Employee executes this Agreement. This Agreement, including but not limited to this Section </w:t>
      </w:r>
      <w:r>
        <w:rPr>
          <w:rFonts w:ascii="Arial" w:cs="Arial" w:eastAsia="Arial" w:hAnsi="Arial"/>
          <w:sz w:val="18"/>
          <w:szCs w:val="18"/>
          <w:color w:val="3B3B3B"/>
        </w:rPr>
        <w:t>18</w:t>
      </w:r>
      <w:r>
        <w:rPr>
          <w:rFonts w:ascii="Arial" w:cs="Arial" w:eastAsia="Arial" w:hAnsi="Arial"/>
          <w:sz w:val="18"/>
          <w:szCs w:val="18"/>
          <w:color w:val="2A2A2A"/>
        </w:rPr>
        <w:t xml:space="preserve"> and the representations and warranties in Section 10 shall not eliminate, diminish or reduce: (a) the Company's indemnification obligations to Employee by virtue of Employee's Indemnity Agreement with the Company, the Company's Amended &amp; Restated Certificate of Incorporation, applicable law, or otherwise, or (b) Employee's entitlement to coverage under directors and officers liability insurance or other forms of insurance carried by the Company.</w:t>
      </w:r>
    </w:p>
    <w:p>
      <w:pPr>
        <w:spacing w:after="0" w:line="194" w:lineRule="exact"/>
        <w:rPr>
          <w:rFonts w:ascii="Arial" w:cs="Arial" w:eastAsia="Arial" w:hAnsi="Arial"/>
          <w:sz w:val="18"/>
          <w:szCs w:val="18"/>
          <w:color w:val="2A2A2A"/>
        </w:rPr>
      </w:pPr>
    </w:p>
    <w:p>
      <w:pPr>
        <w:jc w:val="both"/>
        <w:ind w:left="-460" w:firstLine="653"/>
        <w:spacing w:after="0" w:line="255" w:lineRule="auto"/>
        <w:tabs>
          <w:tab w:leader="none" w:pos="925" w:val="left"/>
        </w:tabs>
        <w:numPr>
          <w:ilvl w:val="0"/>
          <w:numId w:val="55"/>
        </w:numPr>
        <w:rPr>
          <w:rFonts w:ascii="Arial" w:cs="Arial" w:eastAsia="Arial" w:hAnsi="Arial"/>
          <w:sz w:val="21"/>
          <w:szCs w:val="21"/>
          <w:color w:val="2A2A2A"/>
        </w:rPr>
      </w:pPr>
      <w:r>
        <w:rPr>
          <w:rFonts w:ascii="Arial" w:cs="Arial" w:eastAsia="Arial" w:hAnsi="Arial"/>
          <w:sz w:val="21"/>
          <w:szCs w:val="21"/>
          <w:b w:val="1"/>
          <w:bCs w:val="1"/>
          <w:color w:val="2A2A2A"/>
        </w:rPr>
        <w:t xml:space="preserve">Captions. </w:t>
      </w:r>
      <w:r>
        <w:rPr>
          <w:rFonts w:ascii="Arial" w:cs="Arial" w:eastAsia="Arial" w:hAnsi="Arial"/>
          <w:sz w:val="21"/>
          <w:szCs w:val="21"/>
          <w:color w:val="2A2A2A"/>
        </w:rPr>
        <w:t>Captions and heading of the sections and paragraphs of this Agreement are intended solely</w:t>
      </w:r>
      <w:r>
        <w:rPr>
          <w:rFonts w:ascii="Arial" w:cs="Arial" w:eastAsia="Arial" w:hAnsi="Arial"/>
          <w:sz w:val="21"/>
          <w:szCs w:val="21"/>
          <w:b w:val="1"/>
          <w:bCs w:val="1"/>
          <w:color w:val="2A2A2A"/>
        </w:rPr>
        <w:t xml:space="preserve"> </w:t>
      </w:r>
      <w:r>
        <w:rPr>
          <w:rFonts w:ascii="Arial" w:cs="Arial" w:eastAsia="Arial" w:hAnsi="Arial"/>
          <w:sz w:val="21"/>
          <w:szCs w:val="21"/>
          <w:color w:val="2A2A2A"/>
        </w:rPr>
        <w:t>for convenience, and no provision of this Agreement is to be construed by reference to the caption or heading of any section or paragraph.</w:t>
      </w:r>
    </w:p>
    <w:p>
      <w:pPr>
        <w:spacing w:after="0" w:line="175" w:lineRule="exact"/>
        <w:rPr>
          <w:rFonts w:ascii="Arial" w:cs="Arial" w:eastAsia="Arial" w:hAnsi="Arial"/>
          <w:sz w:val="21"/>
          <w:szCs w:val="21"/>
          <w:color w:val="2A2A2A"/>
        </w:rPr>
      </w:pPr>
    </w:p>
    <w:p>
      <w:pPr>
        <w:ind w:left="-460" w:right="20" w:firstLine="651"/>
        <w:spacing w:after="0" w:line="323" w:lineRule="auto"/>
        <w:tabs>
          <w:tab w:leader="none" w:pos="909" w:val="left"/>
        </w:tabs>
        <w:numPr>
          <w:ilvl w:val="0"/>
          <w:numId w:val="55"/>
        </w:numPr>
        <w:rPr>
          <w:rFonts w:ascii="Arial" w:cs="Arial" w:eastAsia="Arial" w:hAnsi="Arial"/>
          <w:sz w:val="19"/>
          <w:szCs w:val="19"/>
          <w:color w:val="2A2A2A"/>
        </w:rPr>
      </w:pPr>
      <w:r>
        <w:rPr>
          <w:rFonts w:ascii="Arial" w:cs="Arial" w:eastAsia="Arial" w:hAnsi="Arial"/>
          <w:sz w:val="19"/>
          <w:szCs w:val="19"/>
          <w:b w:val="1"/>
          <w:bCs w:val="1"/>
          <w:color w:val="2A2A2A"/>
        </w:rPr>
        <w:t xml:space="preserve">No Presumption against Drafter. </w:t>
      </w:r>
      <w:r>
        <w:rPr>
          <w:rFonts w:ascii="Arial" w:cs="Arial" w:eastAsia="Arial" w:hAnsi="Arial"/>
          <w:sz w:val="19"/>
          <w:szCs w:val="19"/>
          <w:color w:val="2A2A2A"/>
        </w:rPr>
        <w:t>Employee agrees that this Agreement has been negotiated and that</w:t>
      </w:r>
      <w:r>
        <w:rPr>
          <w:rFonts w:ascii="Arial" w:cs="Arial" w:eastAsia="Arial" w:hAnsi="Arial"/>
          <w:sz w:val="19"/>
          <w:szCs w:val="19"/>
          <w:b w:val="1"/>
          <w:bCs w:val="1"/>
          <w:color w:val="2A2A2A"/>
        </w:rPr>
        <w:t xml:space="preserve"> </w:t>
      </w:r>
      <w:r>
        <w:rPr>
          <w:rFonts w:ascii="Arial" w:cs="Arial" w:eastAsia="Arial" w:hAnsi="Arial"/>
          <w:sz w:val="19"/>
          <w:szCs w:val="19"/>
          <w:color w:val="2A2A2A"/>
        </w:rPr>
        <w:t>no provision contained herein shall be interpreted against any party because that party drafted the provision.</w:t>
      </w:r>
    </w:p>
    <w:p>
      <w:pPr>
        <w:spacing w:after="0" w:line="113" w:lineRule="exact"/>
        <w:rPr>
          <w:rFonts w:ascii="Arial" w:cs="Arial" w:eastAsia="Arial" w:hAnsi="Arial"/>
          <w:sz w:val="19"/>
          <w:szCs w:val="19"/>
          <w:color w:val="2A2A2A"/>
        </w:rPr>
      </w:pPr>
    </w:p>
    <w:p>
      <w:pPr>
        <w:ind w:left="-460" w:firstLine="664"/>
        <w:spacing w:after="0" w:line="270" w:lineRule="auto"/>
        <w:tabs>
          <w:tab w:leader="none" w:pos="1044" w:val="left"/>
        </w:tabs>
        <w:numPr>
          <w:ilvl w:val="0"/>
          <w:numId w:val="55"/>
        </w:numPr>
        <w:rPr>
          <w:rFonts w:ascii="Arial" w:cs="Arial" w:eastAsia="Arial" w:hAnsi="Arial"/>
          <w:sz w:val="21"/>
          <w:szCs w:val="21"/>
          <w:color w:val="2A2A2A"/>
        </w:rPr>
      </w:pPr>
      <w:r>
        <w:rPr>
          <w:rFonts w:ascii="Arial" w:cs="Arial" w:eastAsia="Arial" w:hAnsi="Arial"/>
          <w:sz w:val="21"/>
          <w:szCs w:val="21"/>
          <w:b w:val="1"/>
          <w:bCs w:val="1"/>
          <w:color w:val="2A2A2A"/>
        </w:rPr>
        <w:t xml:space="preserve">Acknowledgement. </w:t>
      </w:r>
      <w:r>
        <w:rPr>
          <w:rFonts w:ascii="Arial" w:cs="Arial" w:eastAsia="Arial" w:hAnsi="Arial"/>
          <w:sz w:val="21"/>
          <w:szCs w:val="21"/>
          <w:color w:val="2A2A2A"/>
        </w:rPr>
        <w:t>Employee acknowledges and affirms that Employee has no known workplace</w:t>
      </w:r>
      <w:r>
        <w:rPr>
          <w:rFonts w:ascii="Arial" w:cs="Arial" w:eastAsia="Arial" w:hAnsi="Arial"/>
          <w:sz w:val="21"/>
          <w:szCs w:val="21"/>
          <w:b w:val="1"/>
          <w:bCs w:val="1"/>
          <w:color w:val="2A2A2A"/>
        </w:rPr>
        <w:t xml:space="preserve"> </w:t>
      </w:r>
      <w:r>
        <w:rPr>
          <w:rFonts w:ascii="Arial" w:cs="Arial" w:eastAsia="Arial" w:hAnsi="Arial"/>
          <w:sz w:val="21"/>
          <w:szCs w:val="21"/>
          <w:color w:val="2A2A2A"/>
        </w:rPr>
        <w:t>injuries or occupational diseases for which Employee has not already filed a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619125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0" w:right="999" w:bottom="1440" w:gutter="0" w:footer="0" w:header="0"/>
        </w:sectPr>
      </w:pPr>
    </w:p>
    <w:bookmarkStart w:id="98" w:name="page99"/>
    <w:bookmarkEnd w:id="98"/>
    <w:p>
      <w:pPr>
        <w:jc w:val="both"/>
        <w:ind w:firstLine="660"/>
        <w:spacing w:after="0" w:line="295" w:lineRule="auto"/>
        <w:tabs>
          <w:tab w:leader="none" w:pos="1621" w:val="left"/>
        </w:tabs>
        <w:numPr>
          <w:ilvl w:val="0"/>
          <w:numId w:val="56"/>
        </w:numPr>
        <w:rPr>
          <w:rFonts w:ascii="Arial" w:cs="Arial" w:eastAsia="Arial" w:hAnsi="Arial"/>
          <w:sz w:val="19"/>
          <w:szCs w:val="19"/>
          <w:color w:val="2A2A2A"/>
        </w:rPr>
      </w:pPr>
      <w:r>
        <w:rPr>
          <w:rFonts w:ascii="Arial" w:cs="Arial" w:eastAsia="Arial" w:hAnsi="Arial"/>
          <w:sz w:val="19"/>
          <w:szCs w:val="19"/>
          <w:b w:val="1"/>
          <w:bCs w:val="1"/>
          <w:color w:val="2A2A2A"/>
        </w:rPr>
        <w:t xml:space="preserve">Capacity. </w:t>
      </w:r>
      <w:r>
        <w:rPr>
          <w:rFonts w:ascii="Arial" w:cs="Arial" w:eastAsia="Arial" w:hAnsi="Arial"/>
          <w:sz w:val="19"/>
          <w:szCs w:val="19"/>
          <w:color w:val="2A2A2A"/>
        </w:rPr>
        <w:t>Employee represents and warrants that in negotiating and executing this Agreement,</w:t>
      </w:r>
      <w:r>
        <w:rPr>
          <w:rFonts w:ascii="Arial" w:cs="Arial" w:eastAsia="Arial" w:hAnsi="Arial"/>
          <w:sz w:val="19"/>
          <w:szCs w:val="19"/>
          <w:b w:val="1"/>
          <w:bCs w:val="1"/>
          <w:color w:val="2A2A2A"/>
        </w:rPr>
        <w:t xml:space="preserve"> </w:t>
      </w:r>
      <w:r>
        <w:rPr>
          <w:rFonts w:ascii="Arial" w:cs="Arial" w:eastAsia="Arial" w:hAnsi="Arial"/>
          <w:sz w:val="19"/>
          <w:szCs w:val="19"/>
          <w:color w:val="2A2A2A"/>
        </w:rPr>
        <w:t>Employee is not, and has not been, under the influence of any drugs, medications or other substances which might in any way impair Employee's judgment or ability to understand the terms of this Agreement.</w:t>
      </w:r>
    </w:p>
    <w:p>
      <w:pPr>
        <w:spacing w:after="0" w:line="139" w:lineRule="exact"/>
        <w:rPr>
          <w:rFonts w:ascii="Arial" w:cs="Arial" w:eastAsia="Arial" w:hAnsi="Arial"/>
          <w:sz w:val="19"/>
          <w:szCs w:val="19"/>
          <w:color w:val="2A2A2A"/>
        </w:rPr>
      </w:pPr>
    </w:p>
    <w:p>
      <w:pPr>
        <w:jc w:val="both"/>
        <w:ind w:firstLine="659"/>
        <w:spacing w:after="0" w:line="251" w:lineRule="auto"/>
        <w:tabs>
          <w:tab w:leader="none" w:pos="1337" w:val="left"/>
        </w:tabs>
        <w:numPr>
          <w:ilvl w:val="0"/>
          <w:numId w:val="56"/>
        </w:numPr>
        <w:rPr>
          <w:rFonts w:ascii="Arial" w:cs="Arial" w:eastAsia="Arial" w:hAnsi="Arial"/>
          <w:sz w:val="21"/>
          <w:szCs w:val="21"/>
          <w:color w:val="2A2A2A"/>
        </w:rPr>
      </w:pPr>
      <w:r>
        <w:rPr>
          <w:rFonts w:ascii="Arial" w:cs="Arial" w:eastAsia="Arial" w:hAnsi="Arial"/>
          <w:sz w:val="21"/>
          <w:szCs w:val="21"/>
          <w:b w:val="1"/>
          <w:bCs w:val="1"/>
          <w:color w:val="2A2A2A"/>
        </w:rPr>
        <w:t xml:space="preserve">No Reliance. </w:t>
      </w:r>
      <w:r>
        <w:rPr>
          <w:rFonts w:ascii="Arial" w:cs="Arial" w:eastAsia="Arial" w:hAnsi="Arial"/>
          <w:sz w:val="21"/>
          <w:szCs w:val="21"/>
          <w:color w:val="2A2A2A"/>
        </w:rPr>
        <w:t>Employee represents and acknowledges that in executing this Agreement Employee does</w:t>
      </w:r>
      <w:r>
        <w:rPr>
          <w:rFonts w:ascii="Arial" w:cs="Arial" w:eastAsia="Arial" w:hAnsi="Arial"/>
          <w:sz w:val="21"/>
          <w:szCs w:val="21"/>
          <w:b w:val="1"/>
          <w:bCs w:val="1"/>
          <w:color w:val="2A2A2A"/>
        </w:rPr>
        <w:t xml:space="preserve"> </w:t>
      </w:r>
      <w:r>
        <w:rPr>
          <w:rFonts w:ascii="Arial" w:cs="Arial" w:eastAsia="Arial" w:hAnsi="Arial"/>
          <w:sz w:val="21"/>
          <w:szCs w:val="21"/>
          <w:color w:val="2A2A2A"/>
        </w:rPr>
        <w:t>not rely upon, and has not relied upon, any representation or statement not set forth herein made by any Releasee or by their agents, representatives, or attorneys with regard to the subject matter, basis or effect of this Agreement or otherwise.</w:t>
      </w:r>
    </w:p>
    <w:p>
      <w:pPr>
        <w:spacing w:after="0" w:line="177" w:lineRule="exact"/>
        <w:rPr>
          <w:rFonts w:ascii="Arial" w:cs="Arial" w:eastAsia="Arial" w:hAnsi="Arial"/>
          <w:sz w:val="21"/>
          <w:szCs w:val="21"/>
          <w:color w:val="2A2A2A"/>
        </w:rPr>
      </w:pPr>
    </w:p>
    <w:p>
      <w:pPr>
        <w:ind w:firstLine="661"/>
        <w:spacing w:after="0" w:line="270" w:lineRule="auto"/>
        <w:tabs>
          <w:tab w:leader="none" w:pos="1433" w:val="left"/>
        </w:tabs>
        <w:numPr>
          <w:ilvl w:val="0"/>
          <w:numId w:val="56"/>
        </w:numPr>
        <w:rPr>
          <w:rFonts w:ascii="Arial" w:cs="Arial" w:eastAsia="Arial" w:hAnsi="Arial"/>
          <w:sz w:val="21"/>
          <w:szCs w:val="21"/>
          <w:color w:val="2A2A2A"/>
        </w:rPr>
      </w:pPr>
      <w:r>
        <w:rPr>
          <w:rFonts w:ascii="Arial" w:cs="Arial" w:eastAsia="Arial" w:hAnsi="Arial"/>
          <w:sz w:val="21"/>
          <w:szCs w:val="21"/>
          <w:b w:val="1"/>
          <w:bCs w:val="1"/>
          <w:color w:val="2A2A2A"/>
        </w:rPr>
        <w:t xml:space="preserve">Costs. </w:t>
      </w:r>
      <w:r>
        <w:rPr>
          <w:rFonts w:ascii="Arial" w:cs="Arial" w:eastAsia="Arial" w:hAnsi="Arial"/>
          <w:sz w:val="21"/>
          <w:szCs w:val="21"/>
          <w:color w:val="2A2A2A"/>
        </w:rPr>
        <w:t>Each of the Parties to this Agreement will pay his, her, or its own costs and expenses, if any,</w:t>
      </w:r>
      <w:r>
        <w:rPr>
          <w:rFonts w:ascii="Arial" w:cs="Arial" w:eastAsia="Arial" w:hAnsi="Arial"/>
          <w:sz w:val="21"/>
          <w:szCs w:val="21"/>
          <w:b w:val="1"/>
          <w:bCs w:val="1"/>
          <w:color w:val="2A2A2A"/>
        </w:rPr>
        <w:t xml:space="preserve"> </w:t>
      </w:r>
      <w:r>
        <w:rPr>
          <w:rFonts w:ascii="Arial" w:cs="Arial" w:eastAsia="Arial" w:hAnsi="Arial"/>
          <w:sz w:val="21"/>
          <w:szCs w:val="21"/>
          <w:color w:val="2A2A2A"/>
        </w:rPr>
        <w:t>relative to the negotiation and preparation of this Agreement.</w:t>
      </w:r>
    </w:p>
    <w:p>
      <w:pPr>
        <w:spacing w:after="0" w:line="158" w:lineRule="exact"/>
        <w:rPr>
          <w:rFonts w:ascii="Arial" w:cs="Arial" w:eastAsia="Arial" w:hAnsi="Arial"/>
          <w:sz w:val="21"/>
          <w:szCs w:val="21"/>
          <w:color w:val="2A2A2A"/>
        </w:rPr>
      </w:pPr>
    </w:p>
    <w:p>
      <w:pPr>
        <w:jc w:val="both"/>
        <w:ind w:firstLine="658"/>
        <w:spacing w:after="0" w:line="287" w:lineRule="auto"/>
        <w:tabs>
          <w:tab w:leader="none" w:pos="1322" w:val="left"/>
        </w:tabs>
        <w:numPr>
          <w:ilvl w:val="0"/>
          <w:numId w:val="56"/>
        </w:numPr>
        <w:rPr>
          <w:rFonts w:ascii="Arial" w:cs="Arial" w:eastAsia="Arial" w:hAnsi="Arial"/>
          <w:sz w:val="18"/>
          <w:szCs w:val="18"/>
          <w:color w:val="2A2A2A"/>
        </w:rPr>
      </w:pPr>
      <w:r>
        <w:rPr>
          <w:rFonts w:ascii="Arial" w:cs="Arial" w:eastAsia="Arial" w:hAnsi="Arial"/>
          <w:sz w:val="18"/>
          <w:szCs w:val="18"/>
          <w:b w:val="1"/>
          <w:bCs w:val="1"/>
          <w:color w:val="2A2A2A"/>
        </w:rPr>
        <w:t xml:space="preserve">409A. </w:t>
      </w:r>
      <w:r>
        <w:rPr>
          <w:rFonts w:ascii="Arial" w:cs="Arial" w:eastAsia="Arial" w:hAnsi="Arial"/>
          <w:sz w:val="18"/>
          <w:szCs w:val="18"/>
          <w:color w:val="2A2A2A"/>
        </w:rPr>
        <w:t>This Agreement is intended to comply with Section 409A of the Internal Revenue Code of 1986,</w:t>
      </w:r>
      <w:r>
        <w:rPr>
          <w:rFonts w:ascii="Arial" w:cs="Arial" w:eastAsia="Arial" w:hAnsi="Arial"/>
          <w:sz w:val="18"/>
          <w:szCs w:val="18"/>
          <w:b w:val="1"/>
          <w:bCs w:val="1"/>
          <w:color w:val="2A2A2A"/>
        </w:rPr>
        <w:t xml:space="preserve"> </w:t>
      </w:r>
      <w:r>
        <w:rPr>
          <w:rFonts w:ascii="Arial" w:cs="Arial" w:eastAsia="Arial" w:hAnsi="Arial"/>
          <w:sz w:val="18"/>
          <w:szCs w:val="18"/>
          <w:color w:val="2A2A2A"/>
        </w:rPr>
        <w:t>as amended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Employee on account of non- compliance with Section 409A. All payments due pursuant to this Agreement will be made on or before the end of the second calendar year following the Separation Date.</w:t>
      </w:r>
    </w:p>
    <w:p>
      <w:pPr>
        <w:spacing w:after="0" w:line="152" w:lineRule="exact"/>
        <w:rPr>
          <w:rFonts w:ascii="Arial" w:cs="Arial" w:eastAsia="Arial" w:hAnsi="Arial"/>
          <w:sz w:val="18"/>
          <w:szCs w:val="18"/>
          <w:color w:val="2A2A2A"/>
        </w:rPr>
      </w:pPr>
    </w:p>
    <w:p>
      <w:pPr>
        <w:jc w:val="both"/>
        <w:ind w:firstLine="663"/>
        <w:spacing w:after="0" w:line="255" w:lineRule="auto"/>
        <w:tabs>
          <w:tab w:leader="none" w:pos="1368" w:val="left"/>
        </w:tabs>
        <w:numPr>
          <w:ilvl w:val="0"/>
          <w:numId w:val="56"/>
        </w:numPr>
        <w:rPr>
          <w:rFonts w:ascii="Arial" w:cs="Arial" w:eastAsia="Arial" w:hAnsi="Arial"/>
          <w:sz w:val="21"/>
          <w:szCs w:val="21"/>
          <w:color w:val="2A2A2A"/>
        </w:rPr>
      </w:pPr>
      <w:r>
        <w:rPr>
          <w:rFonts w:ascii="Arial" w:cs="Arial" w:eastAsia="Arial" w:hAnsi="Arial"/>
          <w:sz w:val="21"/>
          <w:szCs w:val="21"/>
          <w:b w:val="1"/>
          <w:bCs w:val="1"/>
          <w:color w:val="2A2A2A"/>
        </w:rPr>
        <w:t xml:space="preserve">Counterparts. </w:t>
      </w:r>
      <w:r>
        <w:rPr>
          <w:rFonts w:ascii="Arial" w:cs="Arial" w:eastAsia="Arial" w:hAnsi="Arial"/>
          <w:sz w:val="21"/>
          <w:szCs w:val="21"/>
          <w:color w:val="2A2A2A"/>
        </w:rPr>
        <w:t>This Agreement may be executed in any number of counterparts, all of which together</w:t>
      </w:r>
      <w:r>
        <w:rPr>
          <w:rFonts w:ascii="Arial" w:cs="Arial" w:eastAsia="Arial" w:hAnsi="Arial"/>
          <w:sz w:val="21"/>
          <w:szCs w:val="21"/>
          <w:b w:val="1"/>
          <w:bCs w:val="1"/>
          <w:color w:val="2A2A2A"/>
        </w:rPr>
        <w:t xml:space="preserve"> </w:t>
      </w:r>
      <w:r>
        <w:rPr>
          <w:rFonts w:ascii="Arial" w:cs="Arial" w:eastAsia="Arial" w:hAnsi="Arial"/>
          <w:sz w:val="21"/>
          <w:szCs w:val="21"/>
          <w:color w:val="2A2A2A"/>
        </w:rPr>
        <w:t>shall constitute one original Agreement, and it may be executed by a signature transmitted via facsimile or email transmission.</w:t>
      </w:r>
    </w:p>
    <w:p>
      <w:pPr>
        <w:spacing w:after="0" w:line="175" w:lineRule="exact"/>
        <w:rPr>
          <w:rFonts w:ascii="Arial" w:cs="Arial" w:eastAsia="Arial" w:hAnsi="Arial"/>
          <w:sz w:val="21"/>
          <w:szCs w:val="21"/>
          <w:color w:val="2A2A2A"/>
        </w:rPr>
      </w:pPr>
    </w:p>
    <w:p>
      <w:pPr>
        <w:jc w:val="both"/>
        <w:ind w:firstLine="656"/>
        <w:spacing w:after="0" w:line="251" w:lineRule="auto"/>
        <w:tabs>
          <w:tab w:leader="none" w:pos="1456" w:val="left"/>
        </w:tabs>
        <w:numPr>
          <w:ilvl w:val="0"/>
          <w:numId w:val="56"/>
        </w:numPr>
        <w:rPr>
          <w:rFonts w:ascii="Arial" w:cs="Arial" w:eastAsia="Arial" w:hAnsi="Arial"/>
          <w:sz w:val="21"/>
          <w:szCs w:val="21"/>
          <w:color w:val="2A2A2A"/>
        </w:rPr>
      </w:pPr>
      <w:r>
        <w:rPr>
          <w:rFonts w:ascii="Arial" w:cs="Arial" w:eastAsia="Arial" w:hAnsi="Arial"/>
          <w:sz w:val="21"/>
          <w:szCs w:val="21"/>
          <w:b w:val="1"/>
          <w:bCs w:val="1"/>
          <w:color w:val="2A2A2A"/>
        </w:rPr>
        <w:t xml:space="preserve">Certification. </w:t>
      </w:r>
      <w:r>
        <w:rPr>
          <w:rFonts w:ascii="Arial" w:cs="Arial" w:eastAsia="Arial" w:hAnsi="Arial"/>
          <w:sz w:val="21"/>
          <w:szCs w:val="21"/>
          <w:color w:val="2A2A2A"/>
        </w:rPr>
        <w:t>Employee certifies that Employee has received any advice of counsel that Employee</w:t>
      </w:r>
      <w:r>
        <w:rPr>
          <w:rFonts w:ascii="Arial" w:cs="Arial" w:eastAsia="Arial" w:hAnsi="Arial"/>
          <w:sz w:val="21"/>
          <w:szCs w:val="21"/>
          <w:b w:val="1"/>
          <w:bCs w:val="1"/>
          <w:color w:val="2A2A2A"/>
        </w:rPr>
        <w:t xml:space="preserve"> </w:t>
      </w:r>
      <w:r>
        <w:rPr>
          <w:rFonts w:ascii="Arial" w:cs="Arial" w:eastAsia="Arial" w:hAnsi="Arial"/>
          <w:sz w:val="21"/>
          <w:szCs w:val="21"/>
          <w:color w:val="2A2A2A"/>
        </w:rPr>
        <w:t>deems necessary regarding this Agreement and has read and understands all of this Agreement and freely, voluntarily and knowingly entered into this Agreement, having full knowledge and understanding of its contents, its effect, and the rights Employee may be waiving.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2A2A2A"/>
        </w:rPr>
        <w:t>IN WITNESS WHEREOF, each of the parties hereto has executed this Agreement as of the date written below.</w:t>
      </w:r>
    </w:p>
    <w:p>
      <w:pPr>
        <w:spacing w:after="0" w:line="252" w:lineRule="exact"/>
        <w:rPr>
          <w:sz w:val="20"/>
          <w:szCs w:val="20"/>
          <w:color w:val="auto"/>
        </w:rPr>
      </w:pPr>
    </w:p>
    <w:p>
      <w:pPr>
        <w:ind w:firstLine="4"/>
        <w:spacing w:after="0" w:line="264" w:lineRule="auto"/>
        <w:rPr>
          <w:sz w:val="20"/>
          <w:szCs w:val="20"/>
          <w:color w:val="auto"/>
        </w:rPr>
      </w:pPr>
      <w:r>
        <w:rPr>
          <w:rFonts w:ascii="Arial" w:cs="Arial" w:eastAsia="Arial" w:hAnsi="Arial"/>
          <w:sz w:val="21"/>
          <w:szCs w:val="21"/>
          <w:color w:val="2A2A2A"/>
        </w:rPr>
        <w:t>PLEASE READ CAREFULLY. THIS AGREEMENT INCLUDES A RELEASE OF ALL KNOWN AND UNKNOWN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99" w:name="page100"/>
    <w:bookmarkEnd w:id="99"/>
    <w:p>
      <w:pPr>
        <w:jc w:val="both"/>
        <w:spacing w:after="0" w:line="255" w:lineRule="auto"/>
        <w:rPr>
          <w:sz w:val="20"/>
          <w:szCs w:val="20"/>
          <w:color w:val="auto"/>
        </w:rPr>
      </w:pPr>
      <w:r>
        <w:rPr>
          <w:rFonts w:ascii="Arial" w:cs="Arial" w:eastAsia="Arial" w:hAnsi="Arial"/>
          <w:sz w:val="21"/>
          <w:szCs w:val="21"/>
          <w:b w:val="1"/>
          <w:bCs w:val="1"/>
          <w:color w:val="2A2A2A"/>
        </w:rPr>
        <w:t>EMPLOYEE FREELY AND KNOWINGLY, AND AFTER DUE CONSIDERATION, ENTERS INTO THIS AGREEMENT INTENDING TO WAIVE, SETTLE AND RELEASE ALL CLAIMS EMPLOYEE HAS OR MIGHT HAVE AGAINST RELEASEES.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2A2A2A"/>
        </w:rPr>
        <w:t>By signing this Agreement before the twenty-one (21) day period described above in Section 5 expires, Employee waives Employee's right under the ADEA to Twenty-one (21) days to consider the terms of this Agreement. In any case, however, Employee retains the right to revoke this Agreement within seven (7) days, as described above in Section 5.</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2A2A2A"/>
        </w:rPr>
        <w:t>The Parties knowingly and voluntarily sign this Agreement as of the date(s)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60" w:type="dxa"/>
            <w:vAlign w:val="bottom"/>
            <w:gridSpan w:val="3"/>
          </w:tcPr>
          <w:p>
            <w:pPr>
              <w:spacing w:after="0"/>
              <w:rPr>
                <w:sz w:val="20"/>
                <w:szCs w:val="20"/>
                <w:color w:val="auto"/>
              </w:rPr>
            </w:pPr>
            <w:r>
              <w:rPr>
                <w:rFonts w:ascii="Arial" w:cs="Arial" w:eastAsia="Arial" w:hAnsi="Arial"/>
                <w:sz w:val="21"/>
                <w:szCs w:val="21"/>
                <w:color w:val="2A2A2A"/>
              </w:rPr>
              <w:t>KEVIN CONLEY</w:t>
            </w:r>
          </w:p>
        </w:tc>
        <w:tc>
          <w:tcPr>
            <w:tcW w:w="5060" w:type="dxa"/>
            <w:vAlign w:val="bottom"/>
            <w:gridSpan w:val="3"/>
          </w:tcPr>
          <w:p>
            <w:pPr>
              <w:ind w:left="180"/>
              <w:spacing w:after="0"/>
              <w:rPr>
                <w:sz w:val="20"/>
                <w:szCs w:val="20"/>
                <w:color w:val="auto"/>
              </w:rPr>
            </w:pPr>
            <w:r>
              <w:rPr>
                <w:rFonts w:ascii="Arial" w:cs="Arial" w:eastAsia="Arial" w:hAnsi="Arial"/>
                <w:sz w:val="21"/>
                <w:szCs w:val="21"/>
                <w:color w:val="2A2A2A"/>
              </w:rPr>
              <w:t>EVERSPIN TECHNOLOGIES, INC.</w:t>
            </w:r>
          </w:p>
        </w:tc>
      </w:tr>
      <w:tr>
        <w:trPr>
          <w:trHeight w:val="513"/>
        </w:trPr>
        <w:tc>
          <w:tcPr>
            <w:tcW w:w="4860" w:type="dxa"/>
            <w:vAlign w:val="bottom"/>
            <w:gridSpan w:val="3"/>
          </w:tcPr>
          <w:p>
            <w:pPr>
              <w:spacing w:after="0"/>
              <w:rPr>
                <w:sz w:val="20"/>
                <w:szCs w:val="20"/>
                <w:color w:val="auto"/>
              </w:rPr>
            </w:pPr>
            <w:r>
              <w:rPr>
                <w:rFonts w:ascii="Arial" w:cs="Arial" w:eastAsia="Arial" w:hAnsi="Arial"/>
                <w:sz w:val="21"/>
                <w:szCs w:val="21"/>
                <w:color w:val="2A2A2A"/>
              </w:rPr>
              <w:t>/s/ Kevin Conley</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w w:val="93"/>
              </w:rPr>
              <w:t>By:</w:t>
            </w:r>
            <w:r>
              <w:rPr>
                <w:rFonts w:ascii="Arial" w:cs="Arial" w:eastAsia="Arial" w:hAnsi="Arial"/>
                <w:sz w:val="21"/>
                <w:szCs w:val="21"/>
                <w:color w:val="2A2A2A"/>
                <w:w w:val="93"/>
              </w:rPr>
              <w:t>/s/ Darin Billerbeck</w:t>
            </w:r>
          </w:p>
        </w:tc>
      </w:tr>
      <w:tr>
        <w:trPr>
          <w:trHeight w:val="242"/>
        </w:trPr>
        <w:tc>
          <w:tcPr>
            <w:tcW w:w="20" w:type="dxa"/>
            <w:vAlign w:val="bottom"/>
          </w:tcPr>
          <w:p>
            <w:pPr>
              <w:spacing w:after="0"/>
              <w:rPr>
                <w:sz w:val="21"/>
                <w:szCs w:val="21"/>
                <w:color w:val="auto"/>
              </w:rPr>
            </w:pPr>
          </w:p>
        </w:tc>
        <w:tc>
          <w:tcPr>
            <w:tcW w:w="48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2A2A2A"/>
              </w:rPr>
              <w:t>DATE: Dec 21, 2020</w:t>
            </w:r>
          </w:p>
        </w:tc>
        <w:tc>
          <w:tcPr>
            <w:tcW w:w="800" w:type="dxa"/>
            <w:vAlign w:val="bottom"/>
          </w:tcPr>
          <w:p>
            <w:pPr>
              <w:ind w:left="180"/>
              <w:spacing w:after="0"/>
              <w:rPr>
                <w:sz w:val="20"/>
                <w:szCs w:val="20"/>
                <w:color w:val="auto"/>
              </w:rPr>
            </w:pPr>
            <w:r>
              <w:rPr>
                <w:rFonts w:ascii="Arial" w:cs="Arial" w:eastAsia="Arial" w:hAnsi="Arial"/>
                <w:sz w:val="21"/>
                <w:szCs w:val="21"/>
                <w:color w:val="2A2A2A"/>
                <w:w w:val="96"/>
              </w:rPr>
              <w:t>Name:</w:t>
            </w:r>
          </w:p>
        </w:tc>
        <w:tc>
          <w:tcPr>
            <w:tcW w:w="426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2A2A2A"/>
              </w:rPr>
              <w:t>Darin Billerbeck</w:t>
            </w:r>
          </w:p>
        </w:tc>
      </w:tr>
      <w:tr>
        <w:trPr>
          <w:trHeight w:val="247"/>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20" w:type="dxa"/>
            <w:vAlign w:val="bottom"/>
            <w:tcBorders>
              <w:top w:val="single" w:sz="8" w:color="auto"/>
            </w:tcBorders>
          </w:tcPr>
          <w:p>
            <w:pPr>
              <w:spacing w:after="0"/>
              <w:rPr>
                <w:sz w:val="21"/>
                <w:szCs w:val="21"/>
                <w:color w:val="auto"/>
              </w:rPr>
            </w:pPr>
          </w:p>
        </w:tc>
        <w:tc>
          <w:tcPr>
            <w:tcW w:w="820" w:type="dxa"/>
            <w:vAlign w:val="bottom"/>
            <w:gridSpan w:val="2"/>
          </w:tcPr>
          <w:p>
            <w:pPr>
              <w:ind w:left="180"/>
              <w:spacing w:after="0"/>
              <w:rPr>
                <w:sz w:val="20"/>
                <w:szCs w:val="20"/>
                <w:color w:val="auto"/>
              </w:rPr>
            </w:pPr>
            <w:r>
              <w:rPr>
                <w:rFonts w:ascii="Arial" w:cs="Arial" w:eastAsia="Arial" w:hAnsi="Arial"/>
                <w:sz w:val="21"/>
                <w:szCs w:val="21"/>
                <w:color w:val="2A2A2A"/>
              </w:rPr>
              <w:t>Its:</w:t>
            </w:r>
          </w:p>
        </w:tc>
        <w:tc>
          <w:tcPr>
            <w:tcW w:w="4240" w:type="dxa"/>
            <w:vAlign w:val="bottom"/>
            <w:tcBorders>
              <w:top w:val="single" w:sz="8" w:color="auto"/>
              <w:bottom w:val="single" w:sz="8" w:color="auto"/>
            </w:tcBorders>
          </w:tcPr>
          <w:p>
            <w:pPr>
              <w:spacing w:after="0"/>
              <w:rPr>
                <w:sz w:val="21"/>
                <w:szCs w:val="21"/>
                <w:color w:val="auto"/>
              </w:rPr>
            </w:pPr>
          </w:p>
        </w:tc>
      </w:tr>
      <w:tr>
        <w:trPr>
          <w:trHeight w:val="50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060" w:type="dxa"/>
            <w:vAlign w:val="bottom"/>
            <w:gridSpan w:val="3"/>
          </w:tcPr>
          <w:p>
            <w:pPr>
              <w:ind w:left="180"/>
              <w:spacing w:after="0"/>
              <w:rPr>
                <w:sz w:val="20"/>
                <w:szCs w:val="20"/>
                <w:color w:val="auto"/>
              </w:rPr>
            </w:pPr>
            <w:r>
              <w:rPr>
                <w:rFonts w:ascii="Arial" w:cs="Arial" w:eastAsia="Arial" w:hAnsi="Arial"/>
                <w:sz w:val="21"/>
                <w:szCs w:val="21"/>
                <w:color w:val="2A2A2A"/>
              </w:rPr>
              <w:t>DATE: Dec 22, 2020</w:t>
            </w:r>
          </w:p>
        </w:tc>
      </w:tr>
      <w:tr>
        <w:trPr>
          <w:trHeight w:val="800"/>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120" w:right="99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10.26</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December 30, 2020</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Darin Billerbeck</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9420 Hawkshead Road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Reno,Nevada, 89521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Dear Darin,</w:t>
      </w:r>
    </w:p>
    <w:p>
      <w:pPr>
        <w:spacing w:after="0" w:line="218" w:lineRule="exact"/>
        <w:rPr>
          <w:sz w:val="20"/>
          <w:szCs w:val="20"/>
          <w:color w:val="auto"/>
        </w:rPr>
      </w:pPr>
    </w:p>
    <w:p>
      <w:pPr>
        <w:jc w:val="both"/>
        <w:ind w:right="20" w:firstLine="9"/>
        <w:spacing w:after="0" w:line="252" w:lineRule="auto"/>
        <w:rPr>
          <w:sz w:val="20"/>
          <w:szCs w:val="20"/>
          <w:color w:val="auto"/>
        </w:rPr>
      </w:pPr>
      <w:r>
        <w:rPr>
          <w:rFonts w:ascii="Arial" w:cs="Arial" w:eastAsia="Arial" w:hAnsi="Arial"/>
          <w:sz w:val="21"/>
          <w:szCs w:val="21"/>
          <w:color w:val="auto"/>
        </w:rPr>
        <w:t>We are very pleased to offer you employment with Everspin Technologies, Inc. as its interim Chief Executive Officer, which includes a management Director position on the Board of Directors. Your employment is subject to the terms and conditions set forth in this letter.</w:t>
      </w:r>
    </w:p>
    <w:p>
      <w:pPr>
        <w:spacing w:after="0" w:line="184" w:lineRule="exact"/>
        <w:rPr>
          <w:sz w:val="20"/>
          <w:szCs w:val="20"/>
          <w:color w:val="auto"/>
        </w:rPr>
      </w:pPr>
    </w:p>
    <w:p>
      <w:pPr>
        <w:jc w:val="both"/>
        <w:ind w:firstLine="1"/>
        <w:spacing w:after="0" w:line="247" w:lineRule="auto"/>
        <w:rPr>
          <w:sz w:val="20"/>
          <w:szCs w:val="20"/>
          <w:color w:val="auto"/>
        </w:rPr>
      </w:pPr>
      <w:r>
        <w:rPr>
          <w:rFonts w:ascii="Arial" w:cs="Arial" w:eastAsia="Arial" w:hAnsi="Arial"/>
          <w:sz w:val="21"/>
          <w:szCs w:val="21"/>
          <w:color w:val="auto"/>
        </w:rPr>
        <w:t>This letter is to confirm our understanding with respect to your employment by Everspin Technologies, Inc. or any present or future parent, subsidiary, affiliate, or successor thereof (collectively, the "Company"). The terms and conditions agreed to in this letter are referred to as the "Offer". In consideration of the mutual promises and covenants contained in this Offer, and for other good and valuable consideration, the receipt and sufficiency of which are mutually acknowledged, we have agreed as follows: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Employment</w:t>
      </w:r>
    </w:p>
    <w:p>
      <w:pPr>
        <w:spacing w:after="0" w:line="224" w:lineRule="exact"/>
        <w:rPr>
          <w:sz w:val="20"/>
          <w:szCs w:val="20"/>
          <w:color w:val="auto"/>
        </w:rPr>
      </w:pPr>
    </w:p>
    <w:p>
      <w:pPr>
        <w:jc w:val="both"/>
        <w:ind w:firstLine="3"/>
        <w:spacing w:after="0" w:line="247" w:lineRule="auto"/>
        <w:rPr>
          <w:sz w:val="20"/>
          <w:szCs w:val="20"/>
          <w:color w:val="auto"/>
        </w:rPr>
      </w:pPr>
      <w:r>
        <w:rPr>
          <w:rFonts w:ascii="Arial" w:cs="Arial" w:eastAsia="Arial" w:hAnsi="Arial"/>
          <w:sz w:val="21"/>
          <w:szCs w:val="21"/>
          <w:color w:val="auto"/>
        </w:rPr>
        <w:t>Subject to the terms and conditions of this Offer, you will be employed by the Company as a full time interim Chief Executive Officer ("CEO") reporting to the Company's Board of Directors ("Board"). You will have the responsibilities, duties and authority commensurate with the position of CEO as determined by the Board from time to time. You agree to devote your full business time, attention and best efforts to the performance of your duties and to the furtherance of the Company's interests during your employment.</w:t>
      </w:r>
    </w:p>
    <w:p>
      <w:pPr>
        <w:spacing w:after="0" w:line="188" w:lineRule="exact"/>
        <w:rPr>
          <w:sz w:val="20"/>
          <w:szCs w:val="20"/>
          <w:color w:val="auto"/>
        </w:rPr>
      </w:pPr>
    </w:p>
    <w:p>
      <w:pPr>
        <w:jc w:val="both"/>
        <w:ind w:firstLine="3"/>
        <w:spacing w:after="0" w:line="249" w:lineRule="auto"/>
        <w:rPr>
          <w:sz w:val="20"/>
          <w:szCs w:val="20"/>
          <w:color w:val="auto"/>
        </w:rPr>
      </w:pPr>
      <w:r>
        <w:rPr>
          <w:rFonts w:ascii="Arial" w:cs="Arial" w:eastAsia="Arial" w:hAnsi="Arial"/>
          <w:sz w:val="21"/>
          <w:szCs w:val="21"/>
          <w:color w:val="auto"/>
        </w:rPr>
        <w:t>Subject to the terms described in this letter, your employment will be deemed to have commenced on January 1, 2021. Your employment with the Company is deemed to be "at will" and can be terminated by the Company or you at any time without prior notice or without reason. The at will nature of your employment can only be changed by a written document issued by the Company's Board.</w:t>
      </w:r>
    </w:p>
    <w:p>
      <w:pPr>
        <w:spacing w:after="0" w:line="186" w:lineRule="exact"/>
        <w:rPr>
          <w:sz w:val="20"/>
          <w:szCs w:val="20"/>
          <w:color w:val="auto"/>
        </w:rPr>
      </w:pPr>
    </w:p>
    <w:p>
      <w:pPr>
        <w:ind w:right="1300"/>
        <w:spacing w:after="0" w:line="456" w:lineRule="auto"/>
        <w:rPr>
          <w:sz w:val="20"/>
          <w:szCs w:val="20"/>
          <w:color w:val="auto"/>
        </w:rPr>
      </w:pPr>
      <w:r>
        <w:rPr>
          <w:rFonts w:ascii="Arial" w:cs="Arial" w:eastAsia="Arial" w:hAnsi="Arial"/>
          <w:sz w:val="21"/>
          <w:szCs w:val="21"/>
          <w:color w:val="auto"/>
        </w:rPr>
        <w:t xml:space="preserve">The principal location at which you will perform such services will be our facility in Chandler, Arizona. </w:t>
      </w:r>
      <w:r>
        <w:rPr>
          <w:rFonts w:ascii="Arial" w:cs="Arial" w:eastAsia="Arial" w:hAnsi="Arial"/>
          <w:sz w:val="21"/>
          <w:szCs w:val="21"/>
          <w:b w:val="1"/>
          <w:bCs w:val="1"/>
          <w:u w:val="single" w:color="auto"/>
          <w:color w:val="auto"/>
        </w:rPr>
        <w:t>Compensation</w:t>
      </w:r>
    </w:p>
    <w:p>
      <w:pPr>
        <w:jc w:val="both"/>
        <w:ind w:firstLine="9"/>
        <w:spacing w:after="0" w:line="247" w:lineRule="auto"/>
        <w:rPr>
          <w:sz w:val="20"/>
          <w:szCs w:val="20"/>
          <w:color w:val="auto"/>
        </w:rPr>
      </w:pPr>
      <w:r>
        <w:rPr>
          <w:rFonts w:ascii="Arial" w:cs="Arial" w:eastAsia="Arial" w:hAnsi="Arial"/>
          <w:sz w:val="21"/>
          <w:szCs w:val="21"/>
          <w:color w:val="auto"/>
        </w:rPr>
        <w:t xml:space="preserve">While you are employed, you will be paid as an exempt status employee with a base salary at the annual rate of $400,000.00 (the "Base Salary"). The Base Salary will be paid in bi-weekly installments in accordance with the Company's payroll practices as in effect, as may be amended from time to time. The Company will deduct from each such installment any amounts required to be deducted or withheld under applicable law or under any employee benefit plan </w:t>
      </w:r>
      <w:r>
        <w:rPr>
          <w:rFonts w:ascii="Arial" w:cs="Arial" w:eastAsia="Arial" w:hAnsi="Arial"/>
          <w:sz w:val="19"/>
          <w:szCs w:val="19"/>
          <w:color w:val="auto"/>
        </w:rPr>
        <w:t>in</w:t>
      </w:r>
      <w:r>
        <w:rPr>
          <w:rFonts w:ascii="Arial" w:cs="Arial" w:eastAsia="Arial" w:hAnsi="Arial"/>
          <w:sz w:val="21"/>
          <w:szCs w:val="21"/>
          <w:color w:val="auto"/>
        </w:rPr>
        <w:t xml:space="preserve"> which you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633730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b w:val="1"/>
          <w:bCs w:val="1"/>
          <w:u w:val="single" w:color="auto"/>
          <w:color w:val="auto"/>
        </w:rPr>
        <w:t>Bonus</w:t>
      </w:r>
    </w:p>
    <w:p>
      <w:pPr>
        <w:spacing w:after="0" w:line="224" w:lineRule="exact"/>
        <w:rPr>
          <w:sz w:val="20"/>
          <w:szCs w:val="20"/>
          <w:color w:val="auto"/>
        </w:rPr>
      </w:pPr>
    </w:p>
    <w:p>
      <w:pPr>
        <w:jc w:val="both"/>
        <w:ind w:firstLine="14"/>
        <w:spacing w:after="0" w:line="283" w:lineRule="auto"/>
        <w:rPr>
          <w:sz w:val="20"/>
          <w:szCs w:val="20"/>
          <w:color w:val="auto"/>
        </w:rPr>
      </w:pPr>
      <w:r>
        <w:rPr>
          <w:rFonts w:ascii="Arial" w:cs="Arial" w:eastAsia="Arial" w:hAnsi="Arial"/>
          <w:sz w:val="19"/>
          <w:szCs w:val="19"/>
          <w:color w:val="auto"/>
        </w:rPr>
        <w:t>You will be eligible to participate in the Company ' s 2021 Executive Bonus Program. In order to be eligible to receive any bonus under this Program, you must be employed at the time of any bonus payout. Any bonus payout under this Program would be subject to the review and discretion of the Company' s Compensation Committee, including a review of your performance with regard to the Company' s goals and the terms of this Program.</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Equity Compensation</w:t>
      </w:r>
    </w:p>
    <w:p>
      <w:pPr>
        <w:spacing w:after="0" w:line="224" w:lineRule="exact"/>
        <w:rPr>
          <w:sz w:val="20"/>
          <w:szCs w:val="20"/>
          <w:color w:val="auto"/>
        </w:rPr>
      </w:pPr>
    </w:p>
    <w:p>
      <w:pPr>
        <w:jc w:val="both"/>
        <w:ind w:firstLine="7"/>
        <w:spacing w:after="0" w:line="247" w:lineRule="auto"/>
        <w:rPr>
          <w:sz w:val="20"/>
          <w:szCs w:val="20"/>
          <w:color w:val="auto"/>
        </w:rPr>
      </w:pPr>
      <w:r>
        <w:rPr>
          <w:rFonts w:ascii="Arial" w:cs="Arial" w:eastAsia="Arial" w:hAnsi="Arial"/>
          <w:sz w:val="21"/>
          <w:szCs w:val="21"/>
          <w:color w:val="auto"/>
        </w:rPr>
        <w:t>Subject to the approval of the Company ' s Board of Directors and any other necessary approvals, you will be granted 75,000 RSUs on the day you accept this offer (the "Grant Date"). The RSU price will be the price at the market close on the Grant Date with vesting to occur at a rate of 6,250 RSUs per month, so long as you continue in the role of CEO. No right to any RSUs is earned or accrued until such time that vesting occurs, nor does the grant confer any right to continue vesting or employment.</w:t>
      </w:r>
    </w:p>
    <w:p>
      <w:pPr>
        <w:spacing w:after="0" w:line="188" w:lineRule="exact"/>
        <w:rPr>
          <w:sz w:val="20"/>
          <w:szCs w:val="20"/>
          <w:color w:val="auto"/>
        </w:rPr>
      </w:pPr>
    </w:p>
    <w:p>
      <w:pPr>
        <w:jc w:val="both"/>
        <w:ind w:firstLine="2"/>
        <w:spacing w:after="0" w:line="252" w:lineRule="auto"/>
        <w:rPr>
          <w:sz w:val="20"/>
          <w:szCs w:val="20"/>
          <w:color w:val="auto"/>
        </w:rPr>
      </w:pPr>
      <w:r>
        <w:rPr>
          <w:rFonts w:ascii="Arial" w:cs="Arial" w:eastAsia="Arial" w:hAnsi="Arial"/>
          <w:sz w:val="21"/>
          <w:szCs w:val="21"/>
          <w:color w:val="auto"/>
        </w:rPr>
        <w:t>Notwithstanding anything to the contrary, all terms and conditions of any RSUs granted to you shall be governed by the terms and conditions of the applicable agreement (as may be amended from time to time), which you will be required to sign.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Vacation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You will be entitled to vacation days in accordance with the Company' s policies as in effect from time to time.</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Benefits</w:t>
      </w:r>
    </w:p>
    <w:p>
      <w:pPr>
        <w:spacing w:after="0" w:line="224" w:lineRule="exact"/>
        <w:rPr>
          <w:sz w:val="20"/>
          <w:szCs w:val="20"/>
          <w:color w:val="auto"/>
        </w:rPr>
      </w:pPr>
    </w:p>
    <w:p>
      <w:pPr>
        <w:jc w:val="both"/>
        <w:ind w:firstLine="6"/>
        <w:spacing w:after="0" w:line="265" w:lineRule="auto"/>
        <w:rPr>
          <w:sz w:val="20"/>
          <w:szCs w:val="20"/>
          <w:color w:val="auto"/>
        </w:rPr>
      </w:pPr>
      <w:r>
        <w:rPr>
          <w:rFonts w:ascii="Arial" w:cs="Arial" w:eastAsia="Arial" w:hAnsi="Arial"/>
          <w:sz w:val="20"/>
          <w:szCs w:val="20"/>
          <w:color w:val="auto"/>
        </w:rPr>
        <w:t>If this offer is accepted and you begin employment with the Company, you will be eligible to participate in any benefit plans and programs in effect from time to time, including group medical and life insurance and disability benefits, and other fringe benefits as are made available to other similarly situated employees of the Company, in accordance with and subject to the eligibility and other provisions of such plans and programs.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Monthly Stipend/Reimbursement of Expenses</w:t>
      </w:r>
    </w:p>
    <w:p>
      <w:pPr>
        <w:spacing w:after="0" w:line="224" w:lineRule="exact"/>
        <w:rPr>
          <w:sz w:val="20"/>
          <w:szCs w:val="20"/>
          <w:color w:val="auto"/>
        </w:rPr>
      </w:pPr>
    </w:p>
    <w:p>
      <w:pPr>
        <w:jc w:val="both"/>
        <w:ind w:firstLine="1"/>
        <w:spacing w:after="0" w:line="247" w:lineRule="auto"/>
        <w:rPr>
          <w:sz w:val="20"/>
          <w:szCs w:val="20"/>
          <w:color w:val="auto"/>
        </w:rPr>
      </w:pPr>
      <w:r>
        <w:rPr>
          <w:rFonts w:ascii="Arial" w:cs="Arial" w:eastAsia="Arial" w:hAnsi="Arial"/>
          <w:sz w:val="21"/>
          <w:szCs w:val="21"/>
          <w:color w:val="auto"/>
        </w:rPr>
        <w:t>The Company shall provide you with a monthly stipend of approximately $2,500.00 to cover the cost of executive housing. The Company shall also reimburse you for all reasonable out-of-pocket expenses necessarily incurred by you in connection with the performance of your duties in accordance with its regular reimbursement policies as in effect from time to time and upon receipt of itemized vouchers and such other supporting information as dictated by the Board-approved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633730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b w:val="1"/>
          <w:bCs w:val="1"/>
          <w:u w:val="single" w:color="auto"/>
          <w:color w:val="auto"/>
        </w:rPr>
        <w:t>Confidentiality Agreement</w:t>
      </w:r>
    </w:p>
    <w:p>
      <w:pPr>
        <w:spacing w:after="0" w:line="224" w:lineRule="exact"/>
        <w:rPr>
          <w:sz w:val="20"/>
          <w:szCs w:val="20"/>
          <w:color w:val="auto"/>
        </w:rPr>
      </w:pPr>
    </w:p>
    <w:p>
      <w:pPr>
        <w:jc w:val="both"/>
        <w:ind w:firstLine="7"/>
        <w:spacing w:after="0" w:line="249" w:lineRule="auto"/>
        <w:rPr>
          <w:sz w:val="20"/>
          <w:szCs w:val="20"/>
          <w:color w:val="auto"/>
        </w:rPr>
      </w:pPr>
      <w:r>
        <w:rPr>
          <w:rFonts w:ascii="Arial" w:cs="Arial" w:eastAsia="Arial" w:hAnsi="Arial"/>
          <w:sz w:val="21"/>
          <w:szCs w:val="21"/>
          <w:color w:val="auto"/>
        </w:rPr>
        <w:t>You shall be required to execute a Confidentiality and Non-Competition Agreement and remain subject to the Confidentiality and Non-Competition Agreement between you and the Company. The Confidentiality and Non-Competition Agreement will survive termination of your employment with the Company (regardless of the reason, if any, of such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This offer of employment is contingent upon the satisfactory completion of the following:</w:t>
      </w:r>
    </w:p>
    <w:p>
      <w:pPr>
        <w:spacing w:after="0" w:line="218" w:lineRule="exact"/>
        <w:rPr>
          <w:sz w:val="20"/>
          <w:szCs w:val="20"/>
          <w:color w:val="auto"/>
        </w:rPr>
      </w:pPr>
    </w:p>
    <w:p>
      <w:pPr>
        <w:jc w:val="both"/>
        <w:ind w:right="20" w:firstLine="10"/>
        <w:spacing w:after="0" w:line="252" w:lineRule="auto"/>
        <w:tabs>
          <w:tab w:leader="none" w:pos="357" w:val="left"/>
        </w:tabs>
        <w:numPr>
          <w:ilvl w:val="0"/>
          <w:numId w:val="57"/>
        </w:numPr>
        <w:rPr>
          <w:rFonts w:ascii="Arial" w:cs="Arial" w:eastAsia="Arial" w:hAnsi="Arial"/>
          <w:sz w:val="21"/>
          <w:szCs w:val="21"/>
          <w:color w:val="auto"/>
        </w:rPr>
      </w:pPr>
      <w:r>
        <w:rPr>
          <w:rFonts w:ascii="Arial" w:cs="Arial" w:eastAsia="Arial" w:hAnsi="Arial"/>
          <w:sz w:val="21"/>
          <w:szCs w:val="21"/>
          <w:color w:val="auto"/>
        </w:rPr>
        <w:t>Verification of your right to work in the United States, as demonstrated by your completion of the I-9 form upon hire and your submission of acceptable documentation (as noted on the I-9 form) verifying your identity and work authorization within three days of starting employment.</w:t>
      </w:r>
    </w:p>
    <w:p>
      <w:pPr>
        <w:spacing w:after="0" w:line="184" w:lineRule="exact"/>
        <w:rPr>
          <w:rFonts w:ascii="Arial" w:cs="Arial" w:eastAsia="Arial" w:hAnsi="Arial"/>
          <w:sz w:val="21"/>
          <w:szCs w:val="21"/>
          <w:color w:val="auto"/>
        </w:rPr>
      </w:pPr>
    </w:p>
    <w:p>
      <w:pPr>
        <w:ind w:left="340" w:hanging="334"/>
        <w:spacing w:after="0"/>
        <w:tabs>
          <w:tab w:leader="none" w:pos="3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Your execution of the Company' s form of Employee Proprietary Information and Inventions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This offer will be withdrawn if any of the above conditions are not satisfied:</w:t>
      </w:r>
    </w:p>
    <w:p>
      <w:pPr>
        <w:spacing w:after="0" w:line="218" w:lineRule="exact"/>
        <w:rPr>
          <w:sz w:val="20"/>
          <w:szCs w:val="20"/>
          <w:color w:val="auto"/>
        </w:rPr>
      </w:pPr>
    </w:p>
    <w:p>
      <w:pPr>
        <w:jc w:val="both"/>
        <w:ind w:firstLine="7"/>
        <w:spacing w:after="0" w:line="258" w:lineRule="auto"/>
        <w:rPr>
          <w:sz w:val="20"/>
          <w:szCs w:val="20"/>
          <w:color w:val="auto"/>
        </w:rPr>
      </w:pPr>
      <w:r>
        <w:rPr>
          <w:rFonts w:ascii="Arial" w:cs="Arial" w:eastAsia="Arial" w:hAnsi="Arial"/>
          <w:sz w:val="20"/>
          <w:szCs w:val="20"/>
          <w:color w:val="auto"/>
        </w:rPr>
        <w:t>By accepting this offer, you confirm that you are able to accept this job and carry out the work that it would involve without breaching any legal restrictions on your activities, such as restrictions imposed by a current or former employer. You also confirm that you will inform the Company about any such restrictions and provide the Company with as much infom1ation about them as possible, including any agreements between you and your current or former employer describing such restrictions on your activities. You further confirm that you will not remove or take any documents or proprietary data or materials of any kind, electronic or otherwise, with you from your current or former employer to the Company without written authorization from your current or former employer. If you have any questions about the ownership of particular documents or other information, discuss such questions with your former employer before removing or copying the documents or information.</w:t>
      </w:r>
    </w:p>
    <w:p>
      <w:pPr>
        <w:spacing w:after="0" w:line="178" w:lineRule="exact"/>
        <w:rPr>
          <w:sz w:val="20"/>
          <w:szCs w:val="20"/>
          <w:color w:val="auto"/>
        </w:rPr>
      </w:pPr>
    </w:p>
    <w:p>
      <w:pPr>
        <w:jc w:val="both"/>
        <w:ind w:firstLine="9"/>
        <w:spacing w:after="0" w:line="292" w:lineRule="auto"/>
        <w:rPr>
          <w:sz w:val="20"/>
          <w:szCs w:val="20"/>
          <w:color w:val="auto"/>
        </w:rPr>
      </w:pPr>
      <w:r>
        <w:rPr>
          <w:rFonts w:ascii="Arial" w:cs="Arial" w:eastAsia="Arial" w:hAnsi="Arial"/>
          <w:sz w:val="19"/>
          <w:szCs w:val="19"/>
          <w:color w:val="auto"/>
        </w:rPr>
        <w:t>You will be subject to all applicable employment and other policies of the Company, as outlined in the Company's employee handbook and elsewhere. Your employment will be at-will, meaning that you or the Company may terminate the employment relationship at any tin1e, with or without cause, and with or without notice.</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This letter sets forth the entire agreement between us and supersedes any prior agreements or understandings between us pertaining to the subject matter of this letter. You acknowledge you have not signed this letter based on any representation that is not expressly stated in this letter.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All of us at the Company are excited at the prospect of you shifting into this role. If you have any questions about the above details, please call me immediately. If you wish to accept this position, please sign below and return this letter agreement to me within five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103" w:name="page104"/>
    <w:bookmarkEnd w:id="103"/>
    <w:p>
      <w:pPr>
        <w:spacing w:after="0"/>
        <w:rPr>
          <w:sz w:val="20"/>
          <w:szCs w:val="20"/>
          <w:color w:val="auto"/>
        </w:rPr>
      </w:pPr>
      <w:r>
        <w:rPr>
          <w:rFonts w:ascii="Arial" w:cs="Arial" w:eastAsia="Arial" w:hAnsi="Arial"/>
          <w:sz w:val="21"/>
          <w:szCs w:val="21"/>
          <w:color w:val="auto"/>
        </w:rPr>
        <w:t>Yours sincerely,</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/s/ Michael B. Gustafson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Michael B. Gustafson</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Chair of Compensation Committee</w:t>
      </w:r>
    </w:p>
    <w:p>
      <w:pPr>
        <w:spacing w:after="0" w:line="200" w:lineRule="exact"/>
        <w:rPr>
          <w:sz w:val="20"/>
          <w:szCs w:val="20"/>
          <w:color w:val="auto"/>
        </w:rPr>
      </w:pPr>
    </w:p>
    <w:p>
      <w:pPr>
        <w:ind w:right="199"/>
        <w:spacing w:after="0" w:line="264" w:lineRule="auto"/>
        <w:rPr>
          <w:sz w:val="20"/>
          <w:szCs w:val="20"/>
          <w:color w:val="auto"/>
        </w:rPr>
      </w:pPr>
      <w:r>
        <w:rPr>
          <w:rFonts w:ascii="Arial" w:cs="Arial" w:eastAsia="Arial" w:hAnsi="Arial"/>
          <w:sz w:val="21"/>
          <w:szCs w:val="21"/>
          <w:color w:val="auto"/>
        </w:rPr>
        <w:t>I accept the Company's offer of full-time employment pursuant to the terms and conditions described above and acknowledge receipt of the pay rate and pay day information.</w:t>
      </w:r>
    </w:p>
    <w:p>
      <w:pPr>
        <w:spacing w:after="0" w:line="387"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By:</w:t>
        <w:tab/>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17780</wp:posOffset>
            </wp:positionV>
            <wp:extent cx="28975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Name:Darin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17780</wp:posOffset>
            </wp:positionV>
            <wp:extent cx="28975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Date: 12/30/2020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523875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17780</wp:posOffset>
            </wp:positionV>
            <wp:extent cx="28975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ectPr>
          <w:pgSz w:w="11900" w:h="16838" w:orient="portrait"/>
          <w:cols w:equalWidth="0" w:num="1">
            <w:col w:w="9479"/>
          </w:cols>
          <w:pgMar w:left="980" w:top="126" w:right="1440" w:bottom="1440" w:gutter="0" w:footer="0" w:header="0"/>
        </w:sectPr>
      </w:pPr>
    </w:p>
    <w:bookmarkStart w:id="104" w:name="page105"/>
    <w:bookmarkEnd w:id="104"/>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70" w:lineRule="exact"/>
        <w:rPr>
          <w:sz w:val="20"/>
          <w:szCs w:val="20"/>
          <w:color w:val="auto"/>
        </w:rPr>
      </w:pPr>
    </w:p>
    <w:p>
      <w:pPr>
        <w:ind w:left="540" w:right="79" w:hanging="490"/>
        <w:spacing w:after="0" w:line="275"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333-214018) pertaining to the Everspin Technologies, Inc. 2008 Equity Incentive Plan, 2016 Equity Incentive Plan and the 2016 Employee Stock Purchase Plan,</w:t>
      </w:r>
    </w:p>
    <w:p>
      <w:pPr>
        <w:ind w:left="540" w:right="79" w:hanging="490"/>
        <w:spacing w:after="0" w:line="239" w:lineRule="auto"/>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S-8 No. 333-219938) pertaining to the Everspin Technologies, Inc. 2016 Equity Incentive Plan and the 2016 Employee Stock Purchase Plan,</w:t>
      </w:r>
    </w:p>
    <w:p>
      <w:pPr>
        <w:ind w:left="540" w:right="79" w:hanging="490"/>
        <w:spacing w:after="0" w:line="239" w:lineRule="auto"/>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S-8 No. 333-225119) pertaining to the Everspin Technologies, Inc. 2016 Equity Incentive Plan and the 2016 Employee Stock Purchase Plan,</w:t>
      </w:r>
    </w:p>
    <w:p>
      <w:pPr>
        <w:ind w:left="540" w:right="79" w:hanging="490"/>
        <w:spacing w:after="0" w:line="239" w:lineRule="auto"/>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S-8 No. 333-230349) pertaining to the Everspin Technologies, Inc. 2016 Equity Incentive Plan and the 2016 Employee Stock Purchase Plan,</w:t>
      </w:r>
    </w:p>
    <w:p>
      <w:pPr>
        <w:ind w:left="540" w:right="79" w:hanging="490"/>
        <w:spacing w:after="0" w:line="239" w:lineRule="auto"/>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S-8 No. 333-237146) pertaining to the Everspin Technologies, Inc. 2016 Equity Incentive Plan and the 2016 Employee Stock Purchase Plan,</w:t>
      </w:r>
    </w:p>
    <w:p>
      <w:pPr>
        <w:ind w:left="540" w:hanging="490"/>
        <w:spacing w:after="0"/>
        <w:tabs>
          <w:tab w:leader="none" w:pos="5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Registration Statement (Form S-3 No. 333-249891) of Everspin Technologies, Inc.;</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9"/>
          <w:szCs w:val="19"/>
          <w:color w:val="auto"/>
        </w:rPr>
        <w:t>of our report dated March 4, 2021, with respect to the financial statements of Everspin Technologies,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included in this Annual Report (Form 10-K) for the year ended December 31, 2020.</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Ernst &amp; Young LLP</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20"/>
          <w:szCs w:val="20"/>
          <w:color w:val="auto"/>
        </w:rPr>
        <w:t>Phoenix, Arizona</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Darin Billerbeck, certify that:</w:t>
      </w:r>
    </w:p>
    <w:p>
      <w:pPr>
        <w:spacing w:after="0" w:line="185" w:lineRule="exact"/>
        <w:rPr>
          <w:sz w:val="20"/>
          <w:szCs w:val="20"/>
          <w:color w:val="auto"/>
        </w:rPr>
      </w:pPr>
    </w:p>
    <w:p>
      <w:pPr>
        <w:ind w:left="380" w:hanging="330"/>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84"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380" w:right="219" w:hanging="330"/>
        <w:spacing w:after="0" w:line="270"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36"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4, 2021</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Darin Billerbeck</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Interim Chief Executive Officer</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Daniel Berenbaum, certify that:</w:t>
      </w:r>
    </w:p>
    <w:p>
      <w:pPr>
        <w:spacing w:after="0" w:line="198" w:lineRule="exact"/>
        <w:rPr>
          <w:sz w:val="20"/>
          <w:szCs w:val="20"/>
          <w:color w:val="auto"/>
        </w:rPr>
      </w:pPr>
    </w:p>
    <w:p>
      <w:pPr>
        <w:ind w:left="380" w:hanging="330"/>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4, 2021</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Daniel Berenbaum</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i w:val="1"/>
          <w:iCs w:val="1"/>
          <w:color w:val="auto"/>
        </w:rPr>
        <w:t>(Chief Financial Officer)</w:t>
      </w: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connection with the Annual Report of Everspin Technologies, Inc. (the “Company”) on Form 10-K for the year ended December 31, 2020 (the “Report”), Darin Billerbeck, Interim Chief Executive Officer of the Company, and Daniel Berenbaum,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76" w:lineRule="exact"/>
        <w:rPr>
          <w:sz w:val="20"/>
          <w:szCs w:val="20"/>
          <w:color w:val="auto"/>
        </w:rPr>
      </w:pPr>
    </w:p>
    <w:p>
      <w:pPr>
        <w:ind w:left="380" w:hanging="330"/>
        <w:spacing w:after="0"/>
        <w:tabs>
          <w:tab w:leader="none" w:pos="38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Section 15(d) of the Exchange Act; and</w:t>
      </w:r>
    </w:p>
    <w:p>
      <w:pPr>
        <w:spacing w:after="0" w:line="198" w:lineRule="exact"/>
        <w:rPr>
          <w:rFonts w:ascii="Arial" w:cs="Arial" w:eastAsia="Arial" w:hAnsi="Arial"/>
          <w:sz w:val="18"/>
          <w:szCs w:val="18"/>
          <w:b w:val="1"/>
          <w:bCs w:val="1"/>
          <w:color w:val="auto"/>
        </w:rPr>
      </w:pPr>
    </w:p>
    <w:p>
      <w:pPr>
        <w:ind w:left="380" w:right="239" w:hanging="330"/>
        <w:spacing w:after="0" w:line="261" w:lineRule="auto"/>
        <w:tabs>
          <w:tab w:leader="none" w:pos="38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4, 2021</w:t>
      </w:r>
    </w:p>
    <w:p>
      <w:pPr>
        <w:spacing w:after="0" w:line="19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174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5648960" cy="1174115"/>
                    </a:xfrm>
                    <a:prstGeom prst="rect">
                      <a:avLst/>
                    </a:prstGeom>
                    <a:noFill/>
                  </pic:spPr>
                </pic:pic>
              </a:graphicData>
            </a:graphic>
          </wp:anchor>
        </w:drawing>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Darin Billerbeck</w:t>
      </w:r>
    </w:p>
    <w:p>
      <w:pPr>
        <w:ind w:left="5400"/>
        <w:spacing w:after="0" w:line="234" w:lineRule="auto"/>
        <w:rPr>
          <w:sz w:val="20"/>
          <w:szCs w:val="20"/>
          <w:color w:val="auto"/>
        </w:rPr>
      </w:pPr>
      <w:r>
        <w:rPr>
          <w:rFonts w:ascii="Arial" w:cs="Arial" w:eastAsia="Arial" w:hAnsi="Arial"/>
          <w:sz w:val="18"/>
          <w:szCs w:val="18"/>
          <w:i w:val="1"/>
          <w:iCs w:val="1"/>
          <w:color w:val="auto"/>
        </w:rPr>
        <w:t>Interim Chief Executive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18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Daniel Berenbaum</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Daniel Berenbaum</w:t>
      </w:r>
    </w:p>
    <w:p>
      <w:pPr>
        <w:ind w:left="540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182"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324485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Letter"/>
      <w:start w:val="1"/>
    </w:lvl>
    <w:lvl w:ilvl="1">
      <w:lvlJc w:val="left"/>
      <w:lvlText w:val="%2."/>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Letter"/>
      <w:start w:val="2"/>
    </w:lvl>
    <w:lvl w:ilvl="1">
      <w:lvlJc w:val="left"/>
      <w:lvlText w:val="(%2)"/>
      <w:numFmt w:val="lowerLetter"/>
      <w:start w:val="3"/>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2"/>
    </w:lvl>
  </w:abstractNum>
  <w:abstractNum w:abstractNumId="36">
    <w:nsid w:val="684A481A"/>
    <w:multiLevelType w:val="hybridMultilevel"/>
    <w:lvl w:ilvl="0">
      <w:lvlJc w:val="left"/>
      <w:lvlText w:val="%1."/>
      <w:numFmt w:val="decimal"/>
      <w:start w:val="3"/>
    </w:lvl>
    <w:lvl w:ilvl="1">
      <w:lvlJc w:val="left"/>
      <w:lvlText w:val="%2."/>
      <w:numFmt w:val="decimal"/>
      <w:start w:val="4"/>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3"/>
    </w:lvl>
  </w:abstractNum>
  <w:abstractNum w:abstractNumId="40">
    <w:nsid w:val="1BA026FA"/>
    <w:multiLevelType w:val="hybridMultilevel"/>
    <w:lvl w:ilvl="0">
      <w:lvlJc w:val="left"/>
      <w:lvlText w:val="%1"/>
      <w:numFmt w:val="decimal"/>
      <w:start w:val="1"/>
    </w:lvl>
    <w:lvl w:ilvl="1">
      <w:lvlJc w:val="left"/>
      <w:lvlText w:val="%2."/>
      <w:numFmt w:val="decimal"/>
      <w:start w:val="4"/>
    </w:lvl>
  </w:abstractNum>
  <w:abstractNum w:abstractNumId="41">
    <w:nsid w:val="79A1DEAA"/>
    <w:multiLevelType w:val="hybridMultilevel"/>
    <w:lvl w:ilvl="0">
      <w:lvlJc w:val="left"/>
      <w:lvlText w:val="%1."/>
      <w:numFmt w:val="decimal"/>
      <w:start w:val="6"/>
    </w:lvl>
    <w:lvl w:ilvl="1">
      <w:lvlJc w:val="left"/>
      <w:lvlText w:val="%2"/>
      <w:numFmt w:val="decimal"/>
      <w:start w:val="1"/>
    </w:lvl>
  </w:abstractNum>
  <w:abstractNum w:abstractNumId="42">
    <w:nsid w:val="75C6C33A"/>
    <w:multiLevelType w:val="hybridMultilevel"/>
    <w:lvl w:ilvl="0">
      <w:lvlJc w:val="left"/>
      <w:lvlText w:val="%1"/>
      <w:numFmt w:val="decimal"/>
      <w:start w:val="1"/>
    </w:lvl>
    <w:lvl w:ilvl="1">
      <w:lvlJc w:val="left"/>
      <w:lvlText w:val="%2."/>
      <w:numFmt w:val="decimal"/>
      <w:start w:val="8"/>
    </w:lvl>
  </w:abstractNum>
  <w:abstractNum w:abstractNumId="43">
    <w:nsid w:val="12E685FB"/>
    <w:multiLevelType w:val="hybridMultilevel"/>
    <w:lvl w:ilvl="0">
      <w:lvlJc w:val="left"/>
      <w:lvlText w:val="%1."/>
      <w:numFmt w:val="decimal"/>
      <w:start w:val="9"/>
    </w:lvl>
    <w:lvl w:ilvl="1">
      <w:lvlJc w:val="left"/>
      <w:lvlText w:val="%2"/>
      <w:numFmt w:val="decimal"/>
      <w:start w:val="1"/>
    </w:lvl>
  </w:abstractNum>
  <w:abstractNum w:abstractNumId="44">
    <w:nsid w:val="70C6A529"/>
    <w:multiLevelType w:val="hybridMultilevel"/>
    <w:lvl w:ilvl="0">
      <w:lvlJc w:val="left"/>
      <w:lvlText w:val="%1."/>
      <w:numFmt w:val="decimal"/>
      <w:start w:val="11"/>
    </w:lvl>
  </w:abstractNum>
  <w:abstractNum w:abstractNumId="45">
    <w:nsid w:val="520EEDD1"/>
    <w:multiLevelType w:val="hybridMultilevel"/>
    <w:lvl w:ilvl="0">
      <w:lvlJc w:val="left"/>
      <w:lvlText w:val="%1."/>
      <w:numFmt w:val="upperLetter"/>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decimal"/>
      <w:start w:val="3"/>
    </w:lvl>
  </w:abstractNum>
  <w:abstractNum w:abstractNumId="49">
    <w:nsid w:val="649BB77C"/>
    <w:multiLevelType w:val="hybridMultilevel"/>
    <w:lvl w:ilvl="0">
      <w:lvlJc w:val="left"/>
      <w:lvlText w:val="%1."/>
      <w:numFmt w:val="decimal"/>
      <w:start w:val="4"/>
    </w:lvl>
  </w:abstractNum>
  <w:abstractNum w:abstractNumId="50">
    <w:nsid w:val="275AC794"/>
    <w:multiLevelType w:val="hybridMultilevel"/>
    <w:lvl w:ilvl="0">
      <w:lvlJc w:val="left"/>
      <w:lvlText w:val="%1."/>
      <w:numFmt w:val="decimal"/>
      <w:start w:val="5"/>
    </w:lvl>
  </w:abstractNum>
  <w:abstractNum w:abstractNumId="51">
    <w:nsid w:val="39386575"/>
    <w:multiLevelType w:val="hybridMultilevel"/>
    <w:lvl w:ilvl="0">
      <w:lvlJc w:val="left"/>
      <w:lvlText w:val="%1."/>
      <w:numFmt w:val="decimal"/>
      <w:start w:val="7"/>
    </w:lvl>
  </w:abstractNum>
  <w:abstractNum w:abstractNumId="52">
    <w:nsid w:val="1CF10FD8"/>
    <w:multiLevelType w:val="hybridMultilevel"/>
    <w:lvl w:ilvl="0">
      <w:lvlJc w:val="left"/>
      <w:lvlText w:val="%1."/>
      <w:numFmt w:val="decimal"/>
      <w:start w:val="9"/>
    </w:lvl>
  </w:abstractNum>
  <w:abstractNum w:abstractNumId="53">
    <w:nsid w:val="180115BE"/>
    <w:multiLevelType w:val="hybridMultilevel"/>
    <w:lvl w:ilvl="0">
      <w:lvlJc w:val="left"/>
      <w:lvlText w:val="%1."/>
      <w:numFmt w:val="decimal"/>
      <w:start w:val="12"/>
    </w:lvl>
  </w:abstractNum>
  <w:abstractNum w:abstractNumId="54">
    <w:nsid w:val="235BA861"/>
    <w:multiLevelType w:val="hybridMultilevel"/>
    <w:lvl w:ilvl="0">
      <w:lvlJc w:val="left"/>
      <w:lvlText w:val="%1."/>
      <w:numFmt w:val="decimal"/>
      <w:start w:val="15"/>
    </w:lvl>
  </w:abstractNum>
  <w:abstractNum w:abstractNumId="55">
    <w:nsid w:val="47398C89"/>
    <w:multiLevelType w:val="hybridMultilevel"/>
    <w:lvl w:ilvl="0">
      <w:lvlJc w:val="left"/>
      <w:lvlText w:val="%1."/>
      <w:numFmt w:val="decimal"/>
      <w:start w:val="22"/>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108" Type="http://schemas.openxmlformats.org/officeDocument/2006/relationships/image" Target="media/image76.png"/><Relationship Id="rId117" Type="http://schemas.openxmlformats.org/officeDocument/2006/relationships/image" Target="media/image77.png"/><Relationship Id="rId130"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81" Type="http://schemas.openxmlformats.org/officeDocument/2006/relationships/hyperlink" Target="http://www.sec.gov/Archives/edgar/data/1438423/000119312516737688/d271840dex31.htm" TargetMode="External"/><Relationship Id="rId82" Type="http://schemas.openxmlformats.org/officeDocument/2006/relationships/hyperlink" Target="http://www.sec.gov/Archives/edgar/data/1438423/000119312519154165/d752899dex31.htm" TargetMode="External"/><Relationship Id="rId83" Type="http://schemas.openxmlformats.org/officeDocument/2006/relationships/hyperlink" Target="https://www.sec.gov/Archives/edgar/data/1438423/000119312520153247/d936625dex31.htm" TargetMode="External"/><Relationship Id="rId84" Type="http://schemas.openxmlformats.org/officeDocument/2006/relationships/hyperlink" Target="http://www.sec.gov/Archives/edgar/data/1438423/000119312519154165/d752899dex32.htm" TargetMode="External"/><Relationship Id="rId85" Type="http://schemas.openxmlformats.org/officeDocument/2006/relationships/hyperlink" Target="http://www.sec.gov/Archives/edgar/data/1438423/000119312516706479/d180963dex41.htm" TargetMode="External"/><Relationship Id="rId86" Type="http://schemas.openxmlformats.org/officeDocument/2006/relationships/hyperlink" Target="http://www.sec.gov/Archives/edgar/data/1438423/000155837019010452/mram-20190930ex424b334ff.htm" TargetMode="External"/><Relationship Id="rId87" Type="http://schemas.openxmlformats.org/officeDocument/2006/relationships/hyperlink" Target="https://www.sec.gov/Archives/edgar/data/1438423/000155837020009726/mram-20200630xex4d3.htm" TargetMode="External"/><Relationship Id="rId88" Type="http://schemas.openxmlformats.org/officeDocument/2006/relationships/hyperlink" Target="http://www.sec.gov/Archives/edgar/data/1438423/000119312516706479/d180963dex101.htm" TargetMode="External"/><Relationship Id="rId89" Type="http://schemas.openxmlformats.org/officeDocument/2006/relationships/hyperlink" Target="http://www.sec.gov/Archives/edgar/data/1438423/000119312516718974/d180963dex102.htm" TargetMode="External"/><Relationship Id="rId90" Type="http://schemas.openxmlformats.org/officeDocument/2006/relationships/hyperlink" Target="http://www.sec.gov/Archives/edgar/data/1438423/000119312518170723/d591823dex101.htm" TargetMode="External"/><Relationship Id="rId91" Type="http://schemas.openxmlformats.org/officeDocument/2006/relationships/hyperlink" Target="http://www.sec.gov/Archives/edgar/data/1438423/000119312516718974/d180963dex103.htm" TargetMode="External"/><Relationship Id="rId92" Type="http://schemas.openxmlformats.org/officeDocument/2006/relationships/hyperlink" Target="http://www.sec.gov/Archives/edgar/data/1438423/000155837017008862/mram-20170930ex103cdc87e.htm" TargetMode="External"/><Relationship Id="rId93" Type="http://schemas.openxmlformats.org/officeDocument/2006/relationships/hyperlink" Target="http://www.sec.gov/Archives/edgar/data/1438423/000119312516718974/d180963dex104.htm" TargetMode="External"/><Relationship Id="rId94" Type="http://schemas.openxmlformats.org/officeDocument/2006/relationships/hyperlink" Target="http://www.sec.gov/Archives/edgar/data/1438423/000119312516706479/d180963dex105.htm" TargetMode="External"/><Relationship Id="rId97" Type="http://schemas.openxmlformats.org/officeDocument/2006/relationships/hyperlink" Target="http://www.sec.gov/Archives/edgar/data/1438423/000119312516706479/d180963dex106.htm" TargetMode="External"/><Relationship Id="rId98" Type="http://schemas.openxmlformats.org/officeDocument/2006/relationships/hyperlink" Target="http://www.sec.gov/Archives/edgar/data/1438423/000119312516706479/d180963dex107.htm" TargetMode="External"/><Relationship Id="rId99" Type="http://schemas.openxmlformats.org/officeDocument/2006/relationships/hyperlink" Target="http://www.sec.gov/Archives/edgar/data/1438423/000119312516706479/d180963dex108.htm" TargetMode="External"/><Relationship Id="rId100" Type="http://schemas.openxmlformats.org/officeDocument/2006/relationships/hyperlink" Target="http://www.sec.gov/Archives/edgar/data/1438423/000119312516706479/d180963dex109.htm" TargetMode="External"/><Relationship Id="rId101" Type="http://schemas.openxmlformats.org/officeDocument/2006/relationships/hyperlink" Target="http://www.sec.gov/Archives/edgar/data/1438423/000119312517099843/d309079dex101.htm" TargetMode="External"/><Relationship Id="rId102" Type="http://schemas.openxmlformats.org/officeDocument/2006/relationships/hyperlink" Target="http://www.sec.gov/Archives/edgar/data/1438423/000155837018002138/mram-20171231ex10404e19d.htm" TargetMode="External"/><Relationship Id="rId103" Type="http://schemas.openxmlformats.org/officeDocument/2006/relationships/hyperlink" Target="http://www.sec.gov/Archives/edgar/data/1438423/000155837018009316/mram-20180930ex101843130.htm" TargetMode="External"/><Relationship Id="rId104" Type="http://schemas.openxmlformats.org/officeDocument/2006/relationships/hyperlink" Target="https://www.sec.gov/Archives/edgar/data/1438423/000155837020002576/mram-20191231ex1015b3826.htm" TargetMode="External"/><Relationship Id="rId105" Type="http://schemas.openxmlformats.org/officeDocument/2006/relationships/hyperlink" Target="https://www.sec.gov/Archives/edgar/data/1438423/000155837020009726/mram-20200630xex10d2.htm" TargetMode="External"/><Relationship Id="rId106" Type="http://schemas.openxmlformats.org/officeDocument/2006/relationships/hyperlink" Target="http://www.sec.gov/Archives/edgar/data/1438423/000155837019010452/mram-20190930ex101645494.htm" TargetMode="External"/><Relationship Id="rId107" Type="http://schemas.openxmlformats.org/officeDocument/2006/relationships/hyperlink" Target="https://www.sec.gov/Archives/edgar/data/1438423/000155837020009726/mram-20200630xex10d3.htm" TargetMode="External"/><Relationship Id="rId109" Type="http://schemas.openxmlformats.org/officeDocument/2006/relationships/hyperlink" Target="http://www.sec.gov/Archives/edgar/data/1438423/000119312516706479/d180963dex1017.htm" TargetMode="External"/><Relationship Id="rId110" Type="http://schemas.openxmlformats.org/officeDocument/2006/relationships/hyperlink" Target="http://www.sec.gov/Archives/edgar/data/1438423/000119312516706479/d180963dex1022.htm" TargetMode="External"/><Relationship Id="rId111" Type="http://schemas.openxmlformats.org/officeDocument/2006/relationships/hyperlink" Target="http://www.sec.gov/Archives/edgar/data/1438423/000119312517099844/d365467dex101.htm" TargetMode="External"/><Relationship Id="rId112" Type="http://schemas.openxmlformats.org/officeDocument/2006/relationships/hyperlink" Target="https://www.sec.gov/Archives/edgar/data/1438423/000119312517099844/d365467dex102.htm" TargetMode="External"/><Relationship Id="rId113" Type="http://schemas.openxmlformats.org/officeDocument/2006/relationships/hyperlink" Target="https://www.sec.gov/Archives/edgar/data/1438423/000119312517099844/d365467dex103.htm" TargetMode="External"/><Relationship Id="rId114" Type="http://schemas.openxmlformats.org/officeDocument/2006/relationships/hyperlink" Target="http://www.sec.gov/Archives/edgar/data/1438423/000155837018002138/mram-20171231ex10398040a.htm" TargetMode="External"/><Relationship Id="rId115" Type="http://schemas.openxmlformats.org/officeDocument/2006/relationships/hyperlink" Target="http://www.sec.gov/Archives/edgar/data/1438423/000119312516706479/d180963dex1018.htm" TargetMode="External"/><Relationship Id="rId116" Type="http://schemas.openxmlformats.org/officeDocument/2006/relationships/hyperlink" Target="http://www.sec.gov/Archives/edgar/data/1438423/000119312516706479/d180963dex1019.htm" TargetMode="External"/><Relationship Id="rId118" Type="http://schemas.openxmlformats.org/officeDocument/2006/relationships/hyperlink" Target="http://www.sec.gov/Archives/edgar/data/1438423/000155837019002175/mram-20181231ex10276b5d5.htm" TargetMode="External"/><Relationship Id="rId119" Type="http://schemas.openxmlformats.org/officeDocument/2006/relationships/hyperlink" Target="http://www.sec.gov/Archives/edgar/data/1438423/000119312516706479/d180963dex1020.htm" TargetMode="External"/><Relationship Id="rId120" Type="http://schemas.openxmlformats.org/officeDocument/2006/relationships/hyperlink" Target="http://www.sec.gov/Archives/edgar/data/1438423/000119312516706479/d180963dex1021.htm" TargetMode="External"/><Relationship Id="rId121" Type="http://schemas.openxmlformats.org/officeDocument/2006/relationships/hyperlink" Target="http://www.sec.gov/Archives/edgar/data/1438423/000119312516718974/d180963dex1023.htm" TargetMode="External"/><Relationship Id="rId122" Type="http://schemas.openxmlformats.org/officeDocument/2006/relationships/hyperlink" Target="http://www.sec.gov/Archives/edgar/data/1438423/000155837019007501/mram-20190630ex10225a528.htm" TargetMode="External"/><Relationship Id="rId123" Type="http://schemas.openxmlformats.org/officeDocument/2006/relationships/hyperlink" Target="http://www.sec.gov/Archives/edgar/data/1438423/000119312519017067/d695924d8k.htm" TargetMode="External"/><Relationship Id="rId124" Type="http://schemas.openxmlformats.org/officeDocument/2006/relationships/hyperlink" Target="http://www.sec.gov/Archives/edgar/data/1438423/000155837017002252/mram-20161231ex1025abf4d.htm" TargetMode="External"/><Relationship Id="rId125" Type="http://schemas.openxmlformats.org/officeDocument/2006/relationships/hyperlink" Target="http://www.sec.gov/Archives/edgar/data/1438423/000155837019004514/mram-20190331ex1024c78fc.htm" TargetMode="External"/><Relationship Id="rId126" Type="http://schemas.openxmlformats.org/officeDocument/2006/relationships/hyperlink" Target="http://www.sec.gov/Archives/edgar/data/1438423/000119312517265003/d438753dex101.htm" TargetMode="External"/><Relationship Id="rId127" Type="http://schemas.openxmlformats.org/officeDocument/2006/relationships/hyperlink" Target="http://www.sec.gov/Archives/edgar/data/1438423/000155837019004514/mram-20190331ex103af9a7d.htm" TargetMode="External"/><Relationship Id="rId128" Type="http://schemas.openxmlformats.org/officeDocument/2006/relationships/hyperlink" Target="https://www.sec.gov/Archives/edgar/data/1438423/000155837020002576/mram-20191231ex1035e1725.htm" TargetMode="External"/><Relationship Id="rId129" Type="http://schemas.openxmlformats.org/officeDocument/2006/relationships/hyperlink" Target="https://www.sec.gov/Archives/edgar/data/1438423/000155837020002576/mram-20191231ex103676c77.htm" TargetMode="External"/><Relationship Id="rId131" Type="http://schemas.openxmlformats.org/officeDocument/2006/relationships/hyperlink" Target="https://www.sec.gov/Archives/edgar/data/1438423/000155837020005810/mram-20200331ex1028a2b52.htm" TargetMode="External"/><Relationship Id="rId132" Type="http://schemas.openxmlformats.org/officeDocument/2006/relationships/hyperlink" Target="https://www.sec.gov/Archives/edgar/data/1438423/000155837020009726/mram-2020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2021-03-04T15:11:16Z</dcterms:created>
  <dcterms:modified xsi:type="dcterms:W3CDTF">2021-03-04T15:11:16Z</dcterms:modified>
</cp:coreProperties>
</file>