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October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Everspin Technologies, Inc.</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200" w:type="dxa"/>
            <w:vAlign w:val="bottom"/>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9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001-37900</w:t>
            </w:r>
          </w:p>
        </w:tc>
        <w:tc>
          <w:tcPr>
            <w:tcW w:w="3060" w:type="dxa"/>
            <w:vAlign w:val="bottom"/>
          </w:tcPr>
          <w:p>
            <w:pPr>
              <w:jc w:val="center"/>
              <w:ind w:right="608"/>
              <w:spacing w:after="0"/>
              <w:rPr>
                <w:sz w:val="20"/>
                <w:szCs w:val="20"/>
                <w:color w:val="auto"/>
              </w:rPr>
            </w:pPr>
            <w:r>
              <w:rPr>
                <w:rFonts w:ascii="Times New Roman" w:cs="Times New Roman" w:eastAsia="Times New Roman" w:hAnsi="Times New Roman"/>
                <w:sz w:val="14"/>
                <w:szCs w:val="14"/>
                <w:b w:val="1"/>
                <w:bCs w:val="1"/>
                <w:color w:val="auto"/>
              </w:rPr>
              <w:t>26-2640654</w:t>
            </w:r>
          </w:p>
        </w:tc>
      </w:tr>
      <w:tr>
        <w:trPr>
          <w:trHeight w:val="162"/>
        </w:trPr>
        <w:tc>
          <w:tcPr>
            <w:tcW w:w="3200" w:type="dxa"/>
            <w:vAlign w:val="bottom"/>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3060" w:type="dxa"/>
            <w:vAlign w:val="bottom"/>
          </w:tcPr>
          <w:p>
            <w:pPr>
              <w:jc w:val="center"/>
              <w:ind w:right="62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200" w:type="dxa"/>
            <w:vAlign w:val="bottom"/>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060" w:type="dxa"/>
            <w:vAlign w:val="bottom"/>
          </w:tcPr>
          <w:p>
            <w:pPr>
              <w:jc w:val="center"/>
              <w:ind w:right="62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69"/>
        </w:trPr>
        <w:tc>
          <w:tcPr>
            <w:tcW w:w="3200" w:type="dxa"/>
            <w:vAlign w:val="bottom"/>
          </w:tcPr>
          <w:p>
            <w:pPr>
              <w:spacing w:after="0"/>
              <w:rPr>
                <w:sz w:val="23"/>
                <w:szCs w:val="23"/>
                <w:color w:val="auto"/>
              </w:rPr>
            </w:pPr>
          </w:p>
        </w:tc>
        <w:tc>
          <w:tcPr>
            <w:tcW w:w="4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5670 W. Chandler Blvd.</w:t>
            </w:r>
          </w:p>
        </w:tc>
        <w:tc>
          <w:tcPr>
            <w:tcW w:w="3060" w:type="dxa"/>
            <w:vAlign w:val="bottom"/>
          </w:tcPr>
          <w:p>
            <w:pPr>
              <w:spacing w:after="0"/>
              <w:rPr>
                <w:sz w:val="23"/>
                <w:szCs w:val="23"/>
                <w:color w:val="auto"/>
              </w:rPr>
            </w:pPr>
          </w:p>
        </w:tc>
      </w:tr>
      <w:tr>
        <w:trPr>
          <w:trHeight w:val="176"/>
        </w:trPr>
        <w:tc>
          <w:tcPr>
            <w:tcW w:w="3200" w:type="dxa"/>
            <w:vAlign w:val="bottom"/>
          </w:tcPr>
          <w:p>
            <w:pPr>
              <w:spacing w:after="0"/>
              <w:rPr>
                <w:sz w:val="15"/>
                <w:szCs w:val="15"/>
                <w:color w:val="auto"/>
              </w:rPr>
            </w:pPr>
          </w:p>
        </w:tc>
        <w:tc>
          <w:tcPr>
            <w:tcW w:w="4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Suite 130</w:t>
            </w:r>
          </w:p>
        </w:tc>
        <w:tc>
          <w:tcPr>
            <w:tcW w:w="3060" w:type="dxa"/>
            <w:vAlign w:val="bottom"/>
          </w:tcPr>
          <w:p>
            <w:pPr>
              <w:spacing w:after="0"/>
              <w:rPr>
                <w:sz w:val="15"/>
                <w:szCs w:val="15"/>
                <w:color w:val="auto"/>
              </w:rPr>
            </w:pPr>
          </w:p>
        </w:tc>
      </w:tr>
      <w:tr>
        <w:trPr>
          <w:trHeight w:val="176"/>
        </w:trPr>
        <w:tc>
          <w:tcPr>
            <w:tcW w:w="3200" w:type="dxa"/>
            <w:vAlign w:val="bottom"/>
          </w:tcPr>
          <w:p>
            <w:pPr>
              <w:spacing w:after="0"/>
              <w:rPr>
                <w:sz w:val="15"/>
                <w:szCs w:val="15"/>
                <w:color w:val="auto"/>
              </w:rPr>
            </w:pPr>
          </w:p>
        </w:tc>
        <w:tc>
          <w:tcPr>
            <w:tcW w:w="4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Chandler, Arizona 85226</w:t>
            </w:r>
          </w:p>
        </w:tc>
        <w:tc>
          <w:tcPr>
            <w:tcW w:w="3060" w:type="dxa"/>
            <w:vAlign w:val="bottom"/>
          </w:tcPr>
          <w:p>
            <w:pPr>
              <w:spacing w:after="0"/>
              <w:rPr>
                <w:sz w:val="15"/>
                <w:szCs w:val="15"/>
                <w:color w:val="auto"/>
              </w:rPr>
            </w:pPr>
          </w:p>
        </w:tc>
      </w:tr>
      <w:tr>
        <w:trPr>
          <w:trHeight w:val="190"/>
        </w:trPr>
        <w:tc>
          <w:tcPr>
            <w:tcW w:w="3200" w:type="dxa"/>
            <w:vAlign w:val="bottom"/>
          </w:tcPr>
          <w:p>
            <w:pPr>
              <w:spacing w:after="0"/>
              <w:rPr>
                <w:sz w:val="16"/>
                <w:szCs w:val="16"/>
                <w:color w:val="auto"/>
              </w:rPr>
            </w:pPr>
          </w:p>
        </w:tc>
        <w:tc>
          <w:tcPr>
            <w:tcW w:w="4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3060" w:type="dxa"/>
            <w:vAlign w:val="bottom"/>
          </w:tcPr>
          <w:p>
            <w:pPr>
              <w:spacing w:after="0"/>
              <w:rPr>
                <w:sz w:val="16"/>
                <w:szCs w:val="16"/>
                <w:color w:val="auto"/>
              </w:rPr>
            </w:pPr>
          </w:p>
        </w:tc>
      </w:tr>
      <w:tr>
        <w:trPr>
          <w:trHeight w:val="201"/>
        </w:trPr>
        <w:tc>
          <w:tcPr>
            <w:tcW w:w="3200" w:type="dxa"/>
            <w:vAlign w:val="bottom"/>
          </w:tcPr>
          <w:p>
            <w:pPr>
              <w:spacing w:after="0"/>
              <w:rPr>
                <w:sz w:val="17"/>
                <w:szCs w:val="17"/>
                <w:color w:val="auto"/>
              </w:rPr>
            </w:pPr>
          </w:p>
        </w:tc>
        <w:tc>
          <w:tcPr>
            <w:tcW w:w="4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(480) 347-1111</w:t>
            </w:r>
          </w:p>
        </w:tc>
        <w:tc>
          <w:tcPr>
            <w:tcW w:w="3060" w:type="dxa"/>
            <w:vAlign w:val="bottom"/>
          </w:tcPr>
          <w:p>
            <w:pPr>
              <w:spacing w:after="0"/>
              <w:rPr>
                <w:sz w:val="17"/>
                <w:szCs w:val="17"/>
                <w:color w:val="auto"/>
              </w:rPr>
            </w:pPr>
          </w:p>
        </w:tc>
      </w:tr>
      <w:tr>
        <w:trPr>
          <w:trHeight w:val="190"/>
        </w:trPr>
        <w:tc>
          <w:tcPr>
            <w:tcW w:w="3200" w:type="dxa"/>
            <w:vAlign w:val="bottom"/>
          </w:tcPr>
          <w:p>
            <w:pPr>
              <w:spacing w:after="0"/>
              <w:rPr>
                <w:sz w:val="16"/>
                <w:szCs w:val="16"/>
                <w:color w:val="auto"/>
              </w:rPr>
            </w:pPr>
          </w:p>
        </w:tc>
        <w:tc>
          <w:tcPr>
            <w:tcW w:w="4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060" w:type="dxa"/>
            <w:vAlign w:val="bottom"/>
          </w:tcPr>
          <w:p>
            <w:pPr>
              <w:spacing w:after="0"/>
              <w:rPr>
                <w:sz w:val="16"/>
                <w:szCs w:val="16"/>
                <w:color w:val="auto"/>
              </w:rPr>
            </w:pPr>
          </w:p>
        </w:tc>
      </w:tr>
      <w:tr>
        <w:trPr>
          <w:trHeight w:val="215"/>
        </w:trPr>
        <w:tc>
          <w:tcPr>
            <w:tcW w:w="3200" w:type="dxa"/>
            <w:vAlign w:val="bottom"/>
          </w:tcPr>
          <w:p>
            <w:pPr>
              <w:spacing w:after="0"/>
              <w:rPr>
                <w:sz w:val="18"/>
                <w:szCs w:val="18"/>
                <w:color w:val="auto"/>
              </w:rPr>
            </w:pPr>
          </w:p>
        </w:tc>
        <w:tc>
          <w:tcPr>
            <w:tcW w:w="4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3060" w:type="dxa"/>
            <w:vAlign w:val="bottom"/>
          </w:tcPr>
          <w:p>
            <w:pPr>
              <w:spacing w:after="0"/>
              <w:rPr>
                <w:sz w:val="18"/>
                <w:szCs w:val="18"/>
                <w:color w:val="auto"/>
              </w:rPr>
            </w:pPr>
          </w:p>
        </w:tc>
      </w:tr>
      <w:tr>
        <w:trPr>
          <w:trHeight w:val="190"/>
        </w:trPr>
        <w:tc>
          <w:tcPr>
            <w:tcW w:w="3200" w:type="dxa"/>
            <w:vAlign w:val="bottom"/>
          </w:tcPr>
          <w:p>
            <w:pPr>
              <w:spacing w:after="0"/>
              <w:rPr>
                <w:sz w:val="16"/>
                <w:szCs w:val="16"/>
                <w:color w:val="auto"/>
              </w:rPr>
            </w:pPr>
          </w:p>
        </w:tc>
        <w:tc>
          <w:tcPr>
            <w:tcW w:w="49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3060" w:type="dxa"/>
            <w:vAlign w:val="bottom"/>
          </w:tcPr>
          <w:p>
            <w:pPr>
              <w:spacing w:after="0"/>
              <w:rPr>
                <w:sz w:val="16"/>
                <w:szCs w:val="16"/>
                <w:color w:val="auto"/>
              </w:rPr>
            </w:pPr>
          </w:p>
        </w:tc>
      </w:tr>
      <w:tr>
        <w:trPr>
          <w:trHeight w:val="104"/>
        </w:trPr>
        <w:tc>
          <w:tcPr>
            <w:tcW w:w="3200" w:type="dxa"/>
            <w:vAlign w:val="bottom"/>
            <w:tcBorders>
              <w:bottom w:val="single" w:sz="8" w:color="auto"/>
            </w:tcBorders>
          </w:tcPr>
          <w:p>
            <w:pPr>
              <w:spacing w:after="0"/>
              <w:rPr>
                <w:sz w:val="9"/>
                <w:szCs w:val="9"/>
                <w:color w:val="auto"/>
              </w:rPr>
            </w:pPr>
          </w:p>
        </w:tc>
        <w:tc>
          <w:tcPr>
            <w:tcW w:w="498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tcPr>
          <w:p>
            <w:pPr>
              <w:spacing w:after="0"/>
              <w:rPr>
                <w:sz w:val="9"/>
                <w:szCs w:val="9"/>
                <w:color w:val="auto"/>
              </w:rPr>
            </w:pPr>
          </w:p>
        </w:tc>
      </w:tr>
    </w:tbl>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36"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90" w:lineRule="exact"/>
        <w:rPr>
          <w:rFonts w:ascii="MS PGothic" w:cs="MS PGothic" w:eastAsia="MS PGothic" w:hAnsi="MS PGothic"/>
          <w:sz w:val="14"/>
          <w:szCs w:val="14"/>
          <w:color w:val="auto"/>
        </w:rPr>
      </w:pPr>
    </w:p>
    <w:p>
      <w:pPr>
        <w:ind w:left="520" w:hanging="494"/>
        <w:spacing w:after="0"/>
        <w:tabs>
          <w:tab w:leader="none" w:pos="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203" w:lineRule="exact"/>
        <w:rPr>
          <w:rFonts w:ascii="MS PGothic" w:cs="MS PGothic" w:eastAsia="MS PGothic" w:hAnsi="MS PGothic"/>
          <w:sz w:val="14"/>
          <w:szCs w:val="14"/>
          <w:color w:val="auto"/>
        </w:rPr>
      </w:pPr>
    </w:p>
    <w:p>
      <w:pPr>
        <w:ind w:left="520" w:hanging="494"/>
        <w:spacing w:after="0"/>
        <w:tabs>
          <w:tab w:leader="none" w:pos="5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203" w:lineRule="exact"/>
        <w:rPr>
          <w:rFonts w:ascii="MS PGothic" w:cs="MS PGothic" w:eastAsia="MS PGothic" w:hAnsi="MS PGothic"/>
          <w:sz w:val="14"/>
          <w:szCs w:val="14"/>
          <w:color w:val="auto"/>
        </w:rPr>
      </w:pPr>
    </w:p>
    <w:p>
      <w:pPr>
        <w:ind w:right="4280" w:firstLine="26"/>
        <w:spacing w:after="0" w:line="431" w:lineRule="auto"/>
        <w:tabs>
          <w:tab w:leader="none" w:pos="517"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190"/>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r>
      <w:tr>
        <w:trPr>
          <w:trHeight w:val="37"/>
        </w:trPr>
        <w:tc>
          <w:tcPr>
            <w:tcW w:w="3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r>
      <w:tr>
        <w:trPr>
          <w:trHeight w:val="200"/>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 par value $0.0001</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MRAM</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109" w:lineRule="exact"/>
        <w:rPr>
          <w:sz w:val="24"/>
          <w:szCs w:val="24"/>
          <w:color w:val="auto"/>
        </w:rPr>
      </w:pPr>
    </w:p>
    <w:p>
      <w:pPr>
        <w:jc w:val="both"/>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1933(§230.405 of this chapter) or Rule 12b-2 of the Securities Exchange Act of 1934 (§240.12b-2 of this chapter).</w:t>
      </w:r>
    </w:p>
    <w:p>
      <w:pPr>
        <w:spacing w:after="0" w:line="2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54" w:lineRule="exact"/>
        <w:rPr>
          <w:sz w:val="24"/>
          <w:szCs w:val="24"/>
          <w:color w:val="auto"/>
        </w:rPr>
      </w:pPr>
    </w:p>
    <w:p>
      <w:pPr>
        <w:jc w:val="both"/>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717550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9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21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6"/>
          <w:szCs w:val="16"/>
          <w:color w:val="auto"/>
        </w:rPr>
        <w:t>On October 28, 2026, Everspin Technologies, Inc. issued a press release announcing its financial results for the quarter ended September 30, 2026, a copy of which is attached hereto as Exhibit 99.1 and is incorporated herein by reference. The information disclosed under this Item 2.02, including Exhibit 99.1 hereto, shall not be deemed “filed” for purposes of Section 18 of the Securities Exchange Act of 1934, as amended (the “Exchange Act”), or deemed incorporated by reference in any filing under the Securities Act of 1933, as amended, or the Exchange Act, except as shall be expressly set forth by specific reference in such a filing.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96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2440" w:type="dxa"/>
            <w:vAlign w:val="bottom"/>
          </w:tcPr>
          <w:p>
            <w:pPr>
              <w:spacing w:after="0"/>
              <w:rPr>
                <w:sz w:val="19"/>
                <w:szCs w:val="19"/>
                <w:color w:val="auto"/>
              </w:rPr>
            </w:pPr>
          </w:p>
        </w:tc>
        <w:tc>
          <w:tcPr>
            <w:tcW w:w="6840" w:type="dxa"/>
            <w:vAlign w:val="bottom"/>
          </w:tcPr>
          <w:p>
            <w:pPr>
              <w:ind w:left="180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03"/>
        </w:trPr>
        <w:tc>
          <w:tcPr>
            <w:tcW w:w="186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6"/>
                <w:szCs w:val="16"/>
                <w:color w:val="auto"/>
              </w:rPr>
              <w:t>99.1</w:t>
            </w:r>
          </w:p>
        </w:tc>
        <w:tc>
          <w:tcPr>
            <w:tcW w:w="100" w:type="dxa"/>
            <w:vAlign w:val="bottom"/>
          </w:tcPr>
          <w:p>
            <w:pPr>
              <w:spacing w:after="0"/>
              <w:rPr>
                <w:sz w:val="17"/>
                <w:szCs w:val="17"/>
                <w:color w:val="auto"/>
              </w:rPr>
            </w:pPr>
          </w:p>
        </w:tc>
        <w:tc>
          <w:tcPr>
            <w:tcW w:w="928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0000FF"/>
              </w:rPr>
              <w:t>Press release dated October 28, 2026.</w:t>
            </w:r>
          </w:p>
        </w:tc>
      </w:tr>
      <w:tr>
        <w:trPr>
          <w:trHeight w:val="20"/>
        </w:trPr>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r>
      <w:tr>
        <w:trPr>
          <w:trHeight w:val="271"/>
        </w:trPr>
        <w:tc>
          <w:tcPr>
            <w:tcW w:w="186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3"/>
                <w:szCs w:val="23"/>
                <w:color w:val="auto"/>
              </w:rPr>
            </w:pPr>
          </w:p>
        </w:tc>
        <w:tc>
          <w:tcPr>
            <w:tcW w:w="92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Cover Page Interactive Data File (formatted as Inline XBRL)</w:t>
            </w:r>
          </w:p>
        </w:tc>
      </w:tr>
      <w:tr>
        <w:trPr>
          <w:trHeight w:val="1214"/>
        </w:trPr>
        <w:tc>
          <w:tcPr>
            <w:tcW w:w="1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6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2" w:name="page3"/>
    <w:bookmarkEnd w:id="2"/>
    <w:p>
      <w:pPr>
        <w:jc w:val="center"/>
        <w:ind w:right="-49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ind w:firstLine="648"/>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6"/>
          <w:szCs w:val="16"/>
          <w:b w:val="1"/>
          <w:bCs w:val="1"/>
          <w:color w:val="auto"/>
        </w:rPr>
        <w:t>Everspin Technologies, Inc.</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Dated: October 28, 2026</w:t>
      </w:r>
    </w:p>
    <w:p>
      <w:pPr>
        <w:spacing w:after="0" w:line="221" w:lineRule="exact"/>
        <w:rPr>
          <w:sz w:val="20"/>
          <w:szCs w:val="20"/>
          <w:color w:val="auto"/>
        </w:rPr>
      </w:pPr>
    </w:p>
    <w:p>
      <w:pPr>
        <w:ind w:left="5800"/>
        <w:spacing w:after="0"/>
        <w:tabs>
          <w:tab w:leader="none" w:pos="6240" w:val="left"/>
        </w:tabs>
        <w:rPr>
          <w:sz w:val="20"/>
          <w:szCs w:val="20"/>
          <w:color w:val="auto"/>
        </w:rPr>
      </w:pPr>
      <w:r>
        <w:rPr>
          <w:rFonts w:ascii="Times New Roman" w:cs="Times New Roman" w:eastAsia="Times New Roman" w:hAnsi="Times New Roman"/>
          <w:sz w:val="16"/>
          <w:szCs w:val="16"/>
          <w:color w:val="auto"/>
        </w:rPr>
        <w:t>By:</w:t>
        <w:tab/>
        <w:t>/s/ William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29210</wp:posOffset>
            </wp:positionV>
            <wp:extent cx="31718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66"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6"/>
          <w:szCs w:val="16"/>
          <w:color w:val="auto"/>
        </w:rPr>
        <w:t>William Cooper</w:t>
      </w:r>
    </w:p>
    <w:p>
      <w:pPr>
        <w:spacing w:after="0" w:line="73"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6"/>
          <w:szCs w:val="16"/>
          <w:color w:val="auto"/>
        </w:rPr>
        <w:t>Chief Financial Officer</w:t>
      </w:r>
    </w:p>
    <w:p>
      <w:pPr>
        <w:sectPr>
          <w:pgSz w:w="11900" w:h="16838" w:orient="portrait"/>
          <w:cols w:equalWidth="0" w:num="1">
            <w:col w:w="10740"/>
          </w:cols>
          <w:pgMar w:left="320" w:top="1042" w:right="8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Everspin Reports Unaudited Third Quarter 2026 Financial Results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Chandler, AZ, </w:t>
      </w:r>
      <w:r>
        <w:rPr>
          <w:rFonts w:ascii="Times New Roman" w:cs="Times New Roman" w:eastAsia="Times New Roman" w:hAnsi="Times New Roman"/>
          <w:sz w:val="18"/>
          <w:szCs w:val="18"/>
          <w:color w:val="auto"/>
        </w:rPr>
        <w:t>October 28, 2026—Everspin Technologies, Inc. (NASDAQ: MRAM), the world’s leading developer and manufacturer of Magnetoresistive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Random Access Memory (MRAM) persistent memory solutions, today announced preliminary unaudited financial results for the third quarter ended September 30, 2026.</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third quarter results were driven by continued strong product revenue growth. From an end market perspective, growth was led by strength in Industrial Automation, Data Center, Medical and Energy Management,” said Sanjeev Aggarwal, President and Chief Executive Officer. “We continue to execute on opportunities to grow our core business as we bring new products to market and develop next-generation solutions that extend Everspin’s reach into new applications and support our long-term growth strategy.”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Results</w:t>
      </w:r>
    </w:p>
    <w:p>
      <w:pPr>
        <w:spacing w:after="0" w:line="175" w:lineRule="exact"/>
        <w:rPr>
          <w:sz w:val="20"/>
          <w:szCs w:val="20"/>
          <w:color w:val="auto"/>
        </w:rPr>
      </w:pPr>
    </w:p>
    <w:p>
      <w:pPr>
        <w:ind w:left="900" w:hanging="244"/>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of $20.6 million, compared to $14.1 million in the third quarter of 2025.</w:t>
      </w:r>
    </w:p>
    <w:p>
      <w:pPr>
        <w:spacing w:after="0" w:line="171" w:lineRule="exact"/>
        <w:rPr>
          <w:rFonts w:ascii="Times New Roman" w:cs="Times New Roman" w:eastAsia="Times New Roman" w:hAnsi="Times New Roman"/>
          <w:sz w:val="18"/>
          <w:szCs w:val="18"/>
          <w:color w:val="auto"/>
        </w:rPr>
      </w:pPr>
    </w:p>
    <w:p>
      <w:pPr>
        <w:ind w:left="900" w:hanging="244"/>
        <w:spacing w:after="0" w:line="282" w:lineRule="auto"/>
        <w:tabs>
          <w:tab w:leader="none" w:pos="8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MRAM product sales, which include both Toggle and STT-MRAM revenue, of $16.9 million, compared to $12.7 million in the third quarter of 2025.</w:t>
      </w:r>
    </w:p>
    <w:p>
      <w:pPr>
        <w:spacing w:after="0" w:line="10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royalty, engineering services and other revenue of $3.7 million, compared to $1.4 million in the third quarter of 2025.</w:t>
      </w:r>
    </w:p>
    <w:p>
      <w:pPr>
        <w:spacing w:after="0" w:line="17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of 51.4%, compared to 51.3% in the third quarter of 2025.</w:t>
      </w:r>
    </w:p>
    <w:p>
      <w:pPr>
        <w:spacing w:after="0" w:line="17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operating expenses of $18.5 million, compared to $8.8 million in the third quarter of 2025.</w:t>
      </w:r>
    </w:p>
    <w:p>
      <w:pPr>
        <w:spacing w:after="0" w:line="17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other income, net, of $0.8 million, compared to $1.6 million in the third quarter of 2025.</w:t>
      </w:r>
    </w:p>
    <w:p>
      <w:pPr>
        <w:spacing w:after="0" w:line="171" w:lineRule="exact"/>
        <w:rPr>
          <w:rFonts w:ascii="Times New Roman" w:cs="Times New Roman" w:eastAsia="Times New Roman" w:hAnsi="Times New Roman"/>
          <w:sz w:val="18"/>
          <w:szCs w:val="18"/>
          <w:color w:val="auto"/>
        </w:rPr>
      </w:pPr>
    </w:p>
    <w:p>
      <w:pPr>
        <w:jc w:val="both"/>
        <w:ind w:left="900" w:hanging="244"/>
        <w:spacing w:after="0" w:line="266" w:lineRule="auto"/>
        <w:tabs>
          <w:tab w:leader="none" w:pos="8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loss of $7.2 million, or $(0.29) per share, compared to net income of $54,000, or $0.00 per diluted share, in the third quarter of 2025. GAAP results were significantly impacted by litigation expenses of $6.0 million and regulatory provision of $2.7 million in the current quarter.</w:t>
      </w:r>
    </w:p>
    <w:p>
      <w:pPr>
        <w:spacing w:after="0" w:line="121" w:lineRule="exact"/>
        <w:rPr>
          <w:rFonts w:ascii="Times New Roman" w:cs="Times New Roman" w:eastAsia="Times New Roman" w:hAnsi="Times New Roman"/>
          <w:sz w:val="18"/>
          <w:szCs w:val="18"/>
          <w:color w:val="auto"/>
        </w:rPr>
      </w:pPr>
    </w:p>
    <w:p>
      <w:pPr>
        <w:ind w:left="900" w:hanging="244"/>
        <w:spacing w:after="0" w:line="282" w:lineRule="auto"/>
        <w:tabs>
          <w:tab w:leader="none" w:pos="8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of $3.1 million, or $0.12 per diluted share, compared to non-GAAP net income of $1.5 million, or $0.06 per diluted share, in the third quarter of 2025.</w:t>
      </w:r>
    </w:p>
    <w:p>
      <w:pPr>
        <w:spacing w:after="0" w:line="107"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as of September 30, 2026, totaled $43.0 million.</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pleased to report another quarter of record revenue at the high end of our expectations, driven by strong product and non-product revenue growth. We remain focused on balancing strategic investments in our technology roadmap along with prudent expense management including ongoing litigation costs. We continue to be intensely focused on commercial execution as we grow our revenue and strengthen our competitive position across different industries, while enhancing long-term shareholder value,” said Bill Cooper, Everspin’s Chief Financial Officer.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fourth quarter of 2026, Everspin expects total revenue in a range of $21.5 million to $22.5 million, and GAAP net loss per share to be between $(0.13) and $(0.08). Non-GAAP net income per diluted share is anticipated to be between $0.13 and $0.18.</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reconciliation of non-GAAP guidance measures to corresponding GAAP guidance measures is not available on a forward-looking basis without unreasonable effort due to the uncertainty regarding, and the potential variability of, expenses that may be incurred in the future. For example, stock-based compensation-related charges are impacted by the timing of employee stock transactions, the future fair market value of Everspin’s common stock, and Everspin’s future hiring and retention needs, all of which are difficult to predict and subject to constant change. Additionally, litigation expenses are highly dependent on case related activity in any given period and based on the actions of a third-party which are difficult to predict and subject to change. These factors could be material to Everspin’s results computed in accordance with GAAP. This outlook is dependent on Everspin’s current expectations, which may be impacted by, among other things, evolving external conditions, such as public health-related events or outbreaks, local safety guidelines, worsening impacts due to supply chain constraints or interruptions, including general market and semiconductor industry volatility, and the other risk factors described in Everspin’s filings with the Securities and Exchange Commission (the “SEC”), including its</w:t>
      </w:r>
    </w:p>
    <w:p>
      <w:pPr>
        <w:sectPr>
          <w:pgSz w:w="11900" w:h="16838" w:orient="portrait"/>
          <w:cols w:equalWidth="0" w:num="1">
            <w:col w:w="11240"/>
          </w:cols>
          <w:pgMar w:left="320" w:top="1143" w:right="339" w:bottom="1440" w:gutter="0" w:footer="0" w:header="0"/>
        </w:sectPr>
      </w:pPr>
    </w:p>
    <w:bookmarkStart w:id="4" w:name="page5"/>
    <w:bookmarkEnd w:id="4"/>
    <w:p>
      <w:pPr>
        <w:jc w:val="both"/>
        <w:spacing w:after="0" w:line="282" w:lineRule="auto"/>
        <w:rPr>
          <w:sz w:val="20"/>
          <w:szCs w:val="20"/>
          <w:color w:val="auto"/>
        </w:rPr>
      </w:pPr>
      <w:r>
        <w:rPr>
          <w:rFonts w:ascii="Times New Roman" w:cs="Times New Roman" w:eastAsia="Times New Roman" w:hAnsi="Times New Roman"/>
          <w:sz w:val="18"/>
          <w:szCs w:val="18"/>
          <w:color w:val="auto"/>
        </w:rPr>
        <w:t>Annual Report on Form 10-K for the fiscal year ended December 31, 2025, its Quarterly Reports on Form 10-Q filed with the SEC during 2026, as well as in its subsequent filings with the SEC.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Everspin supplements the reporting of its financial information determined under generally accepted accounting principles in the United States of America (GAAP) with Non-GAAP financial measures including gross profit, gross margin, operating expenses, operating income (loss), operating margin, net income (loss), and EPS which are defined as the GAAP financial measures excluding the effect of stock-based compensation, non-recurring engineering expenses related to the company’s foundry agreement with Microchip and litigation costs. Everspin’s GAAP tax rate is effectively zero due to NOL carryforwards, thus a Non-GAAP tax rate is not included as a Non-GAAP financial measure.</w:t>
      </w:r>
    </w:p>
    <w:p>
      <w:pPr>
        <w:spacing w:after="0" w:line="1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Everspin’s management and board of directors use these non-GAAP measures to understand and evaluate its operating performance and trends, to prepare and approve its annual budget and to develop short-term and long-term operating and financing plans. Accordingly, Everspin believes that these non-GAAP measures provide useful information for investors in understanding and evaluating its operating results in the same manner as its management and board of directors. These non-GAAP financial measures should be considered in addition to, not as superior to, or as a substitute for, financial measures reported in accordance with GAAP. Moreover, other companies may define these non-GAAP measures differently, which limits the usefulness of this measure for comparisons with such other companies. Everspin encourages investors to review its financial statements and publicly filed reports in their entirety and not to rely on any single financial measure. Please see the tables included at the end of this release for the reconciliation of GAAP to non-GAAP results.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Everspin will host a conference call for analysts and investors on Wednesday, October 28, 2026, at 5:00 p.m. Eastern Time.</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Dial-in details: To access the call by phone, please go to this link and you will be provided with dial-in details. To avoid delays, we encourage participants to dial into the conference call fifteen minutes ahead of the scheduled start time.</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live webcast of the call will be accessible on Everspin’s website at investor.everspin.com. Approximately two hours after the conclusion of the live event, an archived webcast of the conference call will be accessible from the Investor Relations section of Everspin’s website for twelve months.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Everspin Technologies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Everspin Technologies, Inc. is the world’s leading provider of Magnetoresistive RAM (MRAM). Everspin MRAM delivers the industry’s most robust, highest-performance non-volatile memory for industrial, data center, automotive, aerospace and other mission-critical applications where data persistence is essential. Headquartered in Chandler, Arizona, Everspin provides commercially available MRAM solutions to a large and diverse customer base. For more information, visit www.everspin.com. NASDAQ: MRAM.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regarding future results that involve risks and uncertainties that could cause actual results or events to differ materially from the expectations disclosed in the forward-looking statements, including, but not limited to the statements made under the caption “Business Outlook.” Forward-looking statements are identified by words such as “expects,” “anticipates” or similar expressions. These include, but are not limited to, Everspin’s future financial performance, including the outlook for fourth quarter 2026 results. Actual results could differ materially from these forward-looking statements as a result of certain risks and uncertainties, including, without limitation, the risks set forth under the caption “Risk Factors” in Everspin’s Annual Report on Form 10-K for the year ended December 31, 2025 filed with the SEC on March 4, 2026, and its Quarterly Reports on Form 10-Q filed with the SEC during 2026, as well as in its subsequent filings with the SEC. Any forward-looking statements made by Everspin in this press release speak only as of the date on which they are made and subsequent events may cause these expectations to change. Everspin disclaims any obligations to update or alter these forward-looking statements in the future, whether as a result of new information, future events or otherwise, except as required by law.</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Monica Gould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Blueshirt Group</w:t>
      </w:r>
    </w:p>
    <w:p>
      <w:pPr>
        <w:spacing w:after="0" w:line="9" w:lineRule="exact"/>
        <w:rPr>
          <w:sz w:val="20"/>
          <w:szCs w:val="20"/>
          <w:color w:val="auto"/>
        </w:rPr>
      </w:pPr>
    </w:p>
    <w:p>
      <w:pPr>
        <w:jc w:val="both"/>
        <w:ind w:right="10000" w:firstLine="8"/>
        <w:spacing w:after="0" w:line="290" w:lineRule="auto"/>
        <w:tabs>
          <w:tab w:leader="none" w:pos="1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212-871-3927 ir@everspin.com</w:t>
      </w:r>
    </w:p>
    <w:p>
      <w:pPr>
        <w:sectPr>
          <w:pgSz w:w="11900" w:h="16838" w:orient="portrait"/>
          <w:cols w:equalWidth="0" w:num="1">
            <w:col w:w="11240"/>
          </w:cols>
          <w:pgMar w:left="320" w:top="114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5"/>
                <w:szCs w:val="15"/>
                <w:color w:val="auto"/>
              </w:rPr>
            </w:pPr>
          </w:p>
        </w:tc>
        <w:tc>
          <w:tcPr>
            <w:tcW w:w="136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9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5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3"/>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43,042</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44,450</w:t>
            </w:r>
          </w:p>
        </w:tc>
      </w:tr>
      <w:tr>
        <w:trPr>
          <w:trHeight w:val="257"/>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8,101</w:t>
            </w:r>
          </w:p>
        </w:tc>
      </w:tr>
      <w:tr>
        <w:trPr>
          <w:trHeight w:val="27"/>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3"/>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13,959</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10,734</w:t>
            </w:r>
          </w:p>
        </w:tc>
      </w:tr>
      <w:tr>
        <w:trPr>
          <w:trHeight w:val="257"/>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r>
      <w:tr>
        <w:trPr>
          <w:trHeight w:val="27"/>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69,788</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65,162</w:t>
            </w:r>
          </w:p>
        </w:tc>
      </w:tr>
      <w:tr>
        <w:trPr>
          <w:trHeight w:val="25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14,140</w:t>
            </w:r>
          </w:p>
        </w:tc>
      </w:tr>
      <w:tr>
        <w:trPr>
          <w:trHeight w:val="27"/>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r>
      <w:tr>
        <w:trPr>
          <w:trHeight w:val="25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w:t>
            </w:r>
          </w:p>
        </w:tc>
      </w:tr>
      <w:tr>
        <w:trPr>
          <w:trHeight w:val="27"/>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8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77"/>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90,125</w:t>
            </w:r>
          </w:p>
        </w:tc>
        <w:tc>
          <w:tcPr>
            <w:tcW w:w="8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84,609</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7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5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57"/>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9,914</w:t>
            </w:r>
          </w:p>
        </w:tc>
        <w:tc>
          <w:tcPr>
            <w:tcW w:w="8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w:t>
            </w:r>
          </w:p>
        </w:tc>
      </w:tr>
      <w:tr>
        <w:trPr>
          <w:trHeight w:val="27"/>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4"/>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r>
      <w:tr>
        <w:trPr>
          <w:trHeight w:val="257"/>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r>
      <w:tr>
        <w:trPr>
          <w:trHeight w:val="27"/>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3"/>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Contract obligations</w:t>
            </w: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r>
      <w:tr>
        <w:trPr>
          <w:trHeight w:val="257"/>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Software liabilities, current portion</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r>
      <w:tr>
        <w:trPr>
          <w:trHeight w:val="27"/>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13,453</w:t>
            </w:r>
          </w:p>
        </w:tc>
      </w:tr>
      <w:tr>
        <w:trPr>
          <w:trHeight w:val="25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7"/>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liabilities, net of current portion</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income tax liability</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7"/>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77"/>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22,457</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15,692</w:t>
            </w:r>
          </w:p>
        </w:tc>
      </w:tr>
      <w:tr>
        <w:trPr>
          <w:trHeight w:val="237"/>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27"/>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38"/>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Preferred stock, $0.0001 par value per share; 5,000,000 shares authorized; no shares issued and outstanding</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34"/>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 of September 30, 2026 and December 31, 2025</w:t>
            </w:r>
          </w:p>
        </w:tc>
        <w:tc>
          <w:tcPr>
            <w:tcW w:w="24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8"/>
        </w:trPr>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 $0.0001 par value per share; 100,000,000 shares authorized; 24,418,092 and 22,977,797</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41"/>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shares issued and outstanding as of September 30, 2026 and December 31, 2025,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216,183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206,370</w:t>
            </w:r>
          </w:p>
        </w:tc>
      </w:tr>
      <w:tr>
        <w:trPr>
          <w:trHeight w:val="27"/>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83"/>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(148,517)</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(137,455)</w:t>
            </w:r>
          </w:p>
        </w:tc>
      </w:tr>
      <w:tr>
        <w:trPr>
          <w:trHeight w:val="250"/>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67,668</w:t>
            </w: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68,917</w:t>
            </w:r>
          </w:p>
        </w:tc>
      </w:tr>
      <w:tr>
        <w:trPr>
          <w:trHeight w:val="27"/>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302"/>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90,125</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84,609</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43" w:right="339" w:bottom="1440" w:gutter="0" w:footer="0" w:header="0"/>
        </w:sectPr>
      </w:pPr>
    </w:p>
    <w:bookmarkStart w:id="6" w:name="page7"/>
    <w:bookmarkEnd w:id="6"/>
    <w:p>
      <w:pPr>
        <w:jc w:val="center"/>
        <w:ind w:left="800" w:right="2360"/>
        <w:spacing w:after="0" w:line="265" w:lineRule="auto"/>
        <w:rPr>
          <w:sz w:val="20"/>
          <w:szCs w:val="20"/>
          <w:color w:val="auto"/>
        </w:rPr>
      </w:pPr>
      <w:r>
        <w:rPr>
          <w:rFonts w:ascii="Times New Roman" w:cs="Times New Roman" w:eastAsia="Times New Roman" w:hAnsi="Times New Roman"/>
          <w:sz w:val="18"/>
          <w:szCs w:val="18"/>
          <w:b w:val="1"/>
          <w:bCs w:val="1"/>
          <w:color w:val="auto"/>
        </w:rPr>
        <w:t>EVERSPIN TECHNOLOGIES, INC. Condensed Statements of Operations and Comprehensive (Loss) Income (In thousands, except share and per share amounts) (Unaudited)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360" w:type="dxa"/>
            <w:vAlign w:val="bottom"/>
            <w:gridSpan w:val="4"/>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56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6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34,807</w:t>
            </w:r>
          </w:p>
        </w:tc>
        <w:tc>
          <w:tcPr>
            <w:tcW w:w="0" w:type="dxa"/>
            <w:vAlign w:val="bottom"/>
          </w:tcPr>
          <w:p>
            <w:pPr>
              <w:spacing w:after="0"/>
              <w:rPr>
                <w:sz w:val="1"/>
                <w:szCs w:val="1"/>
                <w:color w:val="auto"/>
              </w:rPr>
            </w:pPr>
          </w:p>
        </w:tc>
      </w:tr>
      <w:tr>
        <w:trPr>
          <w:trHeight w:val="25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royalty, engineering services and other revenue</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40,399</w:t>
            </w:r>
          </w:p>
        </w:tc>
        <w:tc>
          <w:tcPr>
            <w:tcW w:w="0" w:type="dxa"/>
            <w:vAlign w:val="bottom"/>
          </w:tcPr>
          <w:p>
            <w:pPr>
              <w:spacing w:after="0"/>
              <w:rPr>
                <w:sz w:val="1"/>
                <w:szCs w:val="1"/>
                <w:color w:val="auto"/>
              </w:rPr>
            </w:pPr>
          </w:p>
        </w:tc>
      </w:tr>
      <w:tr>
        <w:trPr>
          <w:trHeight w:val="25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licensing, royalty, engineering services and other revenue</w:t>
            </w: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50"/>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cost of sales</w:t>
            </w: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10,039</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25,707</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20,727</w:t>
            </w:r>
          </w:p>
        </w:tc>
        <w:tc>
          <w:tcPr>
            <w:tcW w:w="0" w:type="dxa"/>
            <w:vAlign w:val="bottom"/>
          </w:tcPr>
          <w:p>
            <w:pPr>
              <w:spacing w:after="0"/>
              <w:rPr>
                <w:sz w:val="1"/>
                <w:szCs w:val="1"/>
                <w:color w:val="auto"/>
              </w:rPr>
            </w:pPr>
          </w:p>
        </w:tc>
      </w:tr>
      <w:tr>
        <w:trPr>
          <w:trHeight w:val="25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10,519</w:t>
            </w:r>
          </w:p>
        </w:tc>
        <w:tc>
          <w:tcPr>
            <w:tcW w:w="0" w:type="dxa"/>
            <w:vAlign w:val="bottom"/>
          </w:tcPr>
          <w:p>
            <w:pPr>
              <w:spacing w:after="0"/>
              <w:rPr>
                <w:sz w:val="1"/>
                <w:szCs w:val="1"/>
                <w:color w:val="auto"/>
              </w:rPr>
            </w:pPr>
          </w:p>
        </w:tc>
      </w:tr>
      <w:tr>
        <w:trPr>
          <w:trHeight w:val="257"/>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5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4,476</w:t>
            </w:r>
          </w:p>
        </w:tc>
        <w:tc>
          <w:tcPr>
            <w:tcW w:w="0" w:type="dxa"/>
            <w:vAlign w:val="bottom"/>
          </w:tcPr>
          <w:p>
            <w:pPr>
              <w:spacing w:after="0"/>
              <w:rPr>
                <w:sz w:val="1"/>
                <w:szCs w:val="1"/>
                <w:color w:val="auto"/>
              </w:rPr>
            </w:pPr>
          </w:p>
        </w:tc>
      </w:tr>
      <w:tr>
        <w:trPr>
          <w:trHeight w:val="250"/>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18,538</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8,751</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43,577</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26,165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0" w:type="dxa"/>
            <w:vAlign w:val="bottom"/>
          </w:tcPr>
          <w:p>
            <w:pPr>
              <w:spacing w:after="0"/>
              <w:rPr>
                <w:sz w:val="1"/>
                <w:szCs w:val="1"/>
                <w:color w:val="auto"/>
              </w:rPr>
            </w:pPr>
          </w:p>
        </w:tc>
      </w:tr>
      <w:tr>
        <w:trPr>
          <w:trHeight w:val="25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0" w:type="dxa"/>
            <w:vAlign w:val="bottom"/>
          </w:tcPr>
          <w:p>
            <w:pPr>
              <w:spacing w:after="0"/>
              <w:rPr>
                <w:sz w:val="1"/>
                <w:szCs w:val="1"/>
                <w:color w:val="auto"/>
              </w:rPr>
            </w:pPr>
          </w:p>
        </w:tc>
      </w:tr>
      <w:tr>
        <w:trPr>
          <w:trHeight w:val="25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before income taxes</w:t>
            </w:r>
          </w:p>
        </w:tc>
        <w:tc>
          <w:tcPr>
            <w:tcW w:w="1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(7,165)</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and comprehensive (loss)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(7,175)</w:t>
            </w: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(11,060)</w:t>
            </w: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per common share:</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5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8"/>
        </w:trPr>
        <w:tc>
          <w:tcPr>
            <w:tcW w:w="5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24,365,922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22,669,872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23,799,950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22,456,079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24,365,922</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23,147,119</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23,799,950</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22,456,079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20" w:top="1143" w:right="8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20" w:type="dxa"/>
            <w:vAlign w:val="bottom"/>
          </w:tcPr>
          <w:p>
            <w:pPr>
              <w:spacing w:after="0"/>
              <w:rPr>
                <w:sz w:val="16"/>
                <w:szCs w:val="16"/>
                <w:color w:val="auto"/>
              </w:rPr>
            </w:pPr>
          </w:p>
        </w:tc>
        <w:tc>
          <w:tcPr>
            <w:tcW w:w="3020" w:type="dxa"/>
            <w:vAlign w:val="bottom"/>
            <w:gridSpan w:val="5"/>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822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8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22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8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840" w:type="dxa"/>
            <w:vAlign w:val="bottom"/>
          </w:tcPr>
          <w:p>
            <w:pPr>
              <w:jc w:val="right"/>
              <w:ind w:right="665"/>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(11,060)</w:t>
            </w:r>
          </w:p>
        </w:tc>
        <w:tc>
          <w:tcPr>
            <w:tcW w:w="240" w:type="dxa"/>
            <w:vAlign w:val="bottom"/>
          </w:tcPr>
          <w:p>
            <w:pPr>
              <w:spacing w:after="0"/>
              <w:rPr>
                <w:sz w:val="19"/>
                <w:szCs w:val="19"/>
                <w:color w:val="auto"/>
              </w:rPr>
            </w:pP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(1,782)</w:t>
            </w:r>
          </w:p>
        </w:tc>
        <w:tc>
          <w:tcPr>
            <w:tcW w:w="0" w:type="dxa"/>
            <w:vAlign w:val="bottom"/>
          </w:tcPr>
          <w:p>
            <w:pPr>
              <w:spacing w:after="0"/>
              <w:rPr>
                <w:sz w:val="1"/>
                <w:szCs w:val="1"/>
                <w:color w:val="auto"/>
              </w:rPr>
            </w:pPr>
          </w:p>
        </w:tc>
      </w:tr>
      <w:tr>
        <w:trPr>
          <w:trHeight w:val="35"/>
        </w:trPr>
        <w:tc>
          <w:tcPr>
            <w:tcW w:w="8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loss to net cash provided by operating activities:</w:t>
            </w:r>
          </w:p>
        </w:tc>
        <w:tc>
          <w:tcPr>
            <w:tcW w:w="8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82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2,561</w:t>
            </w:r>
          </w:p>
        </w:tc>
        <w:tc>
          <w:tcPr>
            <w:tcW w:w="0" w:type="dxa"/>
            <w:vAlign w:val="bottom"/>
          </w:tcPr>
          <w:p>
            <w:pPr>
              <w:spacing w:after="0"/>
              <w:rPr>
                <w:sz w:val="1"/>
                <w:szCs w:val="1"/>
                <w:color w:val="auto"/>
              </w:rPr>
            </w:pPr>
          </w:p>
        </w:tc>
      </w:tr>
      <w:tr>
        <w:trPr>
          <w:trHeight w:val="35"/>
        </w:trPr>
        <w:tc>
          <w:tcPr>
            <w:tcW w:w="8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8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Gain on sale of property and equipment</w:t>
            </w:r>
          </w:p>
        </w:tc>
        <w:tc>
          <w:tcPr>
            <w:tcW w:w="8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222"/>
        </w:trPr>
        <w:tc>
          <w:tcPr>
            <w:tcW w:w="82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Stock-based compensation</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4,403</w:t>
            </w:r>
          </w:p>
        </w:tc>
        <w:tc>
          <w:tcPr>
            <w:tcW w:w="0" w:type="dxa"/>
            <w:vAlign w:val="bottom"/>
          </w:tcPr>
          <w:p>
            <w:pPr>
              <w:spacing w:after="0"/>
              <w:rPr>
                <w:sz w:val="1"/>
                <w:szCs w:val="1"/>
                <w:color w:val="auto"/>
              </w:rPr>
            </w:pPr>
          </w:p>
        </w:tc>
      </w:tr>
      <w:tr>
        <w:trPr>
          <w:trHeight w:val="35"/>
        </w:trPr>
        <w:tc>
          <w:tcPr>
            <w:tcW w:w="8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8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82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Accounts receivable</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3,034</w:t>
            </w:r>
          </w:p>
        </w:tc>
        <w:tc>
          <w:tcPr>
            <w:tcW w:w="0" w:type="dxa"/>
            <w:vAlign w:val="bottom"/>
          </w:tcPr>
          <w:p>
            <w:pPr>
              <w:spacing w:after="0"/>
              <w:rPr>
                <w:sz w:val="1"/>
                <w:szCs w:val="1"/>
                <w:color w:val="auto"/>
              </w:rPr>
            </w:pPr>
          </w:p>
        </w:tc>
      </w:tr>
      <w:tr>
        <w:trPr>
          <w:trHeight w:val="35"/>
        </w:trPr>
        <w:tc>
          <w:tcPr>
            <w:tcW w:w="8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6"/>
        </w:trPr>
        <w:tc>
          <w:tcPr>
            <w:tcW w:w="8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Inventory</w:t>
            </w:r>
          </w:p>
        </w:tc>
        <w:tc>
          <w:tcPr>
            <w:tcW w:w="8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(3,225)</w:t>
            </w:r>
          </w:p>
        </w:tc>
        <w:tc>
          <w:tcPr>
            <w:tcW w:w="2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(2,709)</w:t>
            </w:r>
          </w:p>
        </w:tc>
        <w:tc>
          <w:tcPr>
            <w:tcW w:w="0" w:type="dxa"/>
            <w:vAlign w:val="bottom"/>
          </w:tcPr>
          <w:p>
            <w:pPr>
              <w:spacing w:after="0"/>
              <w:rPr>
                <w:sz w:val="1"/>
                <w:szCs w:val="1"/>
                <w:color w:val="auto"/>
              </w:rPr>
            </w:pPr>
          </w:p>
        </w:tc>
      </w:tr>
      <w:tr>
        <w:trPr>
          <w:trHeight w:val="222"/>
        </w:trPr>
        <w:tc>
          <w:tcPr>
            <w:tcW w:w="82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398</w:t>
            </w:r>
          </w:p>
        </w:tc>
        <w:tc>
          <w:tcPr>
            <w:tcW w:w="0" w:type="dxa"/>
            <w:vAlign w:val="bottom"/>
          </w:tcPr>
          <w:p>
            <w:pPr>
              <w:spacing w:after="0"/>
              <w:rPr>
                <w:sz w:val="1"/>
                <w:szCs w:val="1"/>
                <w:color w:val="auto"/>
              </w:rPr>
            </w:pPr>
          </w:p>
        </w:tc>
      </w:tr>
      <w:tr>
        <w:trPr>
          <w:trHeight w:val="35"/>
        </w:trPr>
        <w:tc>
          <w:tcPr>
            <w:tcW w:w="8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Other assets</w:t>
            </w:r>
          </w:p>
        </w:tc>
        <w:tc>
          <w:tcPr>
            <w:tcW w:w="8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w:t>
            </w:r>
          </w:p>
        </w:tc>
        <w:tc>
          <w:tcPr>
            <w:tcW w:w="2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0" w:type="dxa"/>
            <w:vAlign w:val="bottom"/>
          </w:tcPr>
          <w:p>
            <w:pPr>
              <w:spacing w:after="0"/>
              <w:rPr>
                <w:sz w:val="1"/>
                <w:szCs w:val="1"/>
                <w:color w:val="auto"/>
              </w:rPr>
            </w:pPr>
          </w:p>
        </w:tc>
      </w:tr>
      <w:tr>
        <w:trPr>
          <w:trHeight w:val="222"/>
        </w:trPr>
        <w:tc>
          <w:tcPr>
            <w:tcW w:w="82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Accounts payable</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8,234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(590)</w:t>
            </w:r>
          </w:p>
        </w:tc>
        <w:tc>
          <w:tcPr>
            <w:tcW w:w="0" w:type="dxa"/>
            <w:vAlign w:val="bottom"/>
          </w:tcPr>
          <w:p>
            <w:pPr>
              <w:spacing w:after="0"/>
              <w:rPr>
                <w:sz w:val="1"/>
                <w:szCs w:val="1"/>
                <w:color w:val="auto"/>
              </w:rPr>
            </w:pPr>
          </w:p>
        </w:tc>
      </w:tr>
      <w:tr>
        <w:trPr>
          <w:trHeight w:val="35"/>
        </w:trPr>
        <w:tc>
          <w:tcPr>
            <w:tcW w:w="8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Accrued liabilities</w:t>
            </w:r>
          </w:p>
        </w:tc>
        <w:tc>
          <w:tcPr>
            <w:tcW w:w="8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6,006</w:t>
            </w:r>
          </w:p>
        </w:tc>
        <w:tc>
          <w:tcPr>
            <w:tcW w:w="2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532</w:t>
            </w:r>
          </w:p>
        </w:tc>
        <w:tc>
          <w:tcPr>
            <w:tcW w:w="0" w:type="dxa"/>
            <w:vAlign w:val="bottom"/>
          </w:tcPr>
          <w:p>
            <w:pPr>
              <w:spacing w:after="0"/>
              <w:rPr>
                <w:sz w:val="1"/>
                <w:szCs w:val="1"/>
                <w:color w:val="auto"/>
              </w:rPr>
            </w:pPr>
          </w:p>
        </w:tc>
      </w:tr>
      <w:tr>
        <w:trPr>
          <w:trHeight w:val="221"/>
        </w:trPr>
        <w:tc>
          <w:tcPr>
            <w:tcW w:w="82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Deferred revenue</w:t>
            </w:r>
          </w:p>
        </w:tc>
        <w:tc>
          <w:tcPr>
            <w:tcW w:w="84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887</w:t>
            </w:r>
          </w:p>
        </w:tc>
        <w:tc>
          <w:tcPr>
            <w:tcW w:w="0" w:type="dxa"/>
            <w:vAlign w:val="bottom"/>
          </w:tcPr>
          <w:p>
            <w:pPr>
              <w:spacing w:after="0"/>
              <w:rPr>
                <w:sz w:val="1"/>
                <w:szCs w:val="1"/>
                <w:color w:val="auto"/>
              </w:rPr>
            </w:pPr>
          </w:p>
        </w:tc>
      </w:tr>
      <w:tr>
        <w:trPr>
          <w:trHeight w:val="35"/>
        </w:trPr>
        <w:tc>
          <w:tcPr>
            <w:tcW w:w="8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Contract obligations</w:t>
            </w:r>
          </w:p>
        </w:tc>
        <w:tc>
          <w:tcPr>
            <w:tcW w:w="8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(1,472)</w:t>
            </w:r>
          </w:p>
        </w:tc>
        <w:tc>
          <w:tcPr>
            <w:tcW w:w="2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w:t>
            </w:r>
          </w:p>
        </w:tc>
        <w:tc>
          <w:tcPr>
            <w:tcW w:w="0" w:type="dxa"/>
            <w:vAlign w:val="bottom"/>
          </w:tcPr>
          <w:p>
            <w:pPr>
              <w:spacing w:after="0"/>
              <w:rPr>
                <w:sz w:val="1"/>
                <w:szCs w:val="1"/>
                <w:color w:val="auto"/>
              </w:rPr>
            </w:pPr>
          </w:p>
        </w:tc>
      </w:tr>
      <w:tr>
        <w:trPr>
          <w:trHeight w:val="221"/>
        </w:trPr>
        <w:tc>
          <w:tcPr>
            <w:tcW w:w="82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Lease liabilities, net</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c>
          <w:tcPr>
            <w:tcW w:w="0" w:type="dxa"/>
            <w:vAlign w:val="bottom"/>
          </w:tcPr>
          <w:p>
            <w:pPr>
              <w:spacing w:after="0"/>
              <w:rPr>
                <w:sz w:val="1"/>
                <w:szCs w:val="1"/>
                <w:color w:val="auto"/>
              </w:rPr>
            </w:pPr>
          </w:p>
        </w:tc>
      </w:tr>
      <w:tr>
        <w:trPr>
          <w:trHeight w:val="35"/>
        </w:trPr>
        <w:tc>
          <w:tcPr>
            <w:tcW w:w="8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8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Long-term income tax liability</w:t>
            </w:r>
          </w:p>
        </w:tc>
        <w:tc>
          <w:tcPr>
            <w:tcW w:w="8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w:t>
            </w:r>
          </w:p>
        </w:tc>
        <w:tc>
          <w:tcPr>
            <w:tcW w:w="0" w:type="dxa"/>
            <w:vAlign w:val="bottom"/>
          </w:tcPr>
          <w:p>
            <w:pPr>
              <w:spacing w:after="0"/>
              <w:rPr>
                <w:sz w:val="1"/>
                <w:szCs w:val="1"/>
                <w:color w:val="auto"/>
              </w:rPr>
            </w:pPr>
          </w:p>
        </w:tc>
      </w:tr>
      <w:tr>
        <w:trPr>
          <w:trHeight w:val="215"/>
        </w:trPr>
        <w:tc>
          <w:tcPr>
            <w:tcW w:w="82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1,592</w:t>
            </w: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7,336</w:t>
            </w:r>
          </w:p>
        </w:tc>
        <w:tc>
          <w:tcPr>
            <w:tcW w:w="0" w:type="dxa"/>
            <w:vAlign w:val="bottom"/>
          </w:tcPr>
          <w:p>
            <w:pPr>
              <w:spacing w:after="0"/>
              <w:rPr>
                <w:sz w:val="1"/>
                <w:szCs w:val="1"/>
                <w:color w:val="auto"/>
              </w:rPr>
            </w:pPr>
          </w:p>
        </w:tc>
      </w:tr>
      <w:tr>
        <w:trPr>
          <w:trHeight w:val="35"/>
        </w:trPr>
        <w:tc>
          <w:tcPr>
            <w:tcW w:w="822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8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(7,059)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(3,239)</w:t>
            </w:r>
          </w:p>
        </w:tc>
        <w:tc>
          <w:tcPr>
            <w:tcW w:w="0" w:type="dxa"/>
            <w:vAlign w:val="bottom"/>
          </w:tcPr>
          <w:p>
            <w:pPr>
              <w:spacing w:after="0"/>
              <w:rPr>
                <w:sz w:val="1"/>
                <w:szCs w:val="1"/>
                <w:color w:val="auto"/>
              </w:rPr>
            </w:pPr>
          </w:p>
        </w:tc>
      </w:tr>
      <w:tr>
        <w:trPr>
          <w:trHeight w:val="35"/>
        </w:trPr>
        <w:tc>
          <w:tcPr>
            <w:tcW w:w="8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Purchases of intangible assets</w:t>
            </w:r>
          </w:p>
        </w:tc>
        <w:tc>
          <w:tcPr>
            <w:tcW w:w="8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(1,494)</w:t>
            </w:r>
          </w:p>
        </w:tc>
        <w:tc>
          <w:tcPr>
            <w:tcW w:w="0" w:type="dxa"/>
            <w:vAlign w:val="bottom"/>
          </w:tcPr>
          <w:p>
            <w:pPr>
              <w:spacing w:after="0"/>
              <w:rPr>
                <w:sz w:val="1"/>
                <w:szCs w:val="1"/>
                <w:color w:val="auto"/>
              </w:rPr>
            </w:pPr>
          </w:p>
        </w:tc>
      </w:tr>
      <w:tr>
        <w:trPr>
          <w:trHeight w:val="215"/>
        </w:trPr>
        <w:tc>
          <w:tcPr>
            <w:tcW w:w="82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(8,559)</w:t>
            </w: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(4,733)</w:t>
            </w:r>
          </w:p>
        </w:tc>
        <w:tc>
          <w:tcPr>
            <w:tcW w:w="0" w:type="dxa"/>
            <w:vAlign w:val="bottom"/>
          </w:tcPr>
          <w:p>
            <w:pPr>
              <w:spacing w:after="0"/>
              <w:rPr>
                <w:sz w:val="1"/>
                <w:szCs w:val="1"/>
                <w:color w:val="auto"/>
              </w:rPr>
            </w:pPr>
          </w:p>
        </w:tc>
      </w:tr>
      <w:tr>
        <w:trPr>
          <w:trHeight w:val="35"/>
        </w:trPr>
        <w:tc>
          <w:tcPr>
            <w:tcW w:w="822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8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Payments on finance leases</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0" w:type="dxa"/>
            <w:vAlign w:val="bottom"/>
          </w:tcPr>
          <w:p>
            <w:pPr>
              <w:spacing w:after="0"/>
              <w:rPr>
                <w:sz w:val="1"/>
                <w:szCs w:val="1"/>
                <w:color w:val="auto"/>
              </w:rPr>
            </w:pPr>
          </w:p>
        </w:tc>
      </w:tr>
      <w:tr>
        <w:trPr>
          <w:trHeight w:val="35"/>
        </w:trPr>
        <w:tc>
          <w:tcPr>
            <w:tcW w:w="8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Proceeds from exercise of stock options and purchase of shares in employee stock purchase plan</w:t>
            </w:r>
          </w:p>
        </w:tc>
        <w:tc>
          <w:tcPr>
            <w:tcW w:w="8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5,608</w:t>
            </w:r>
          </w:p>
        </w:tc>
        <w:tc>
          <w:tcPr>
            <w:tcW w:w="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607</w:t>
            </w:r>
          </w:p>
        </w:tc>
        <w:tc>
          <w:tcPr>
            <w:tcW w:w="0" w:type="dxa"/>
            <w:vAlign w:val="bottom"/>
          </w:tcPr>
          <w:p>
            <w:pPr>
              <w:spacing w:after="0"/>
              <w:rPr>
                <w:sz w:val="1"/>
                <w:szCs w:val="1"/>
                <w:color w:val="auto"/>
              </w:rPr>
            </w:pPr>
          </w:p>
        </w:tc>
      </w:tr>
      <w:tr>
        <w:trPr>
          <w:trHeight w:val="215"/>
        </w:trPr>
        <w:tc>
          <w:tcPr>
            <w:tcW w:w="82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5,559</w:t>
            </w: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557</w:t>
            </w:r>
          </w:p>
        </w:tc>
        <w:tc>
          <w:tcPr>
            <w:tcW w:w="0" w:type="dxa"/>
            <w:vAlign w:val="bottom"/>
          </w:tcPr>
          <w:p>
            <w:pPr>
              <w:spacing w:after="0"/>
              <w:rPr>
                <w:sz w:val="1"/>
                <w:szCs w:val="1"/>
                <w:color w:val="auto"/>
              </w:rPr>
            </w:pPr>
          </w:p>
        </w:tc>
      </w:tr>
      <w:tr>
        <w:trPr>
          <w:trHeight w:val="35"/>
        </w:trPr>
        <w:tc>
          <w:tcPr>
            <w:tcW w:w="822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(decrease) increase in cash and cash equivalents</w:t>
            </w:r>
          </w:p>
        </w:tc>
        <w:tc>
          <w:tcPr>
            <w:tcW w:w="8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(1,408)</w:t>
            </w:r>
          </w:p>
        </w:tc>
        <w:tc>
          <w:tcPr>
            <w:tcW w:w="2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3,160</w:t>
            </w:r>
          </w:p>
        </w:tc>
        <w:tc>
          <w:tcPr>
            <w:tcW w:w="0" w:type="dxa"/>
            <w:vAlign w:val="bottom"/>
          </w:tcPr>
          <w:p>
            <w:pPr>
              <w:spacing w:after="0"/>
              <w:rPr>
                <w:sz w:val="1"/>
                <w:szCs w:val="1"/>
                <w:color w:val="auto"/>
              </w:rPr>
            </w:pPr>
          </w:p>
        </w:tc>
      </w:tr>
      <w:tr>
        <w:trPr>
          <w:trHeight w:val="222"/>
        </w:trPr>
        <w:tc>
          <w:tcPr>
            <w:tcW w:w="8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 at beginning of period</w:t>
            </w:r>
          </w:p>
        </w:tc>
        <w:tc>
          <w:tcPr>
            <w:tcW w:w="8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44,450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42,097</w:t>
            </w:r>
          </w:p>
        </w:tc>
        <w:tc>
          <w:tcPr>
            <w:tcW w:w="0" w:type="dxa"/>
            <w:vAlign w:val="bottom"/>
          </w:tcPr>
          <w:p>
            <w:pPr>
              <w:spacing w:after="0"/>
              <w:rPr>
                <w:sz w:val="1"/>
                <w:szCs w:val="1"/>
                <w:color w:val="auto"/>
              </w:rPr>
            </w:pPr>
          </w:p>
        </w:tc>
      </w:tr>
      <w:tr>
        <w:trPr>
          <w:trHeight w:val="35"/>
        </w:trPr>
        <w:tc>
          <w:tcPr>
            <w:tcW w:w="822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at end of period</w:t>
            </w:r>
          </w:p>
        </w:tc>
        <w:tc>
          <w:tcPr>
            <w:tcW w:w="840" w:type="dxa"/>
            <w:vAlign w:val="bottom"/>
            <w:tcBorders>
              <w:bottom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43,042</w:t>
            </w:r>
          </w:p>
        </w:tc>
        <w:tc>
          <w:tcPr>
            <w:tcW w:w="2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45,257</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Supplementary cash flow information:</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22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8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paid for taxes</w:t>
            </w:r>
          </w:p>
        </w:tc>
        <w:tc>
          <w:tcPr>
            <w:tcW w:w="840" w:type="dxa"/>
            <w:vAlign w:val="bottom"/>
            <w:tcBorders>
              <w:bottom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2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cash flows paid for operating leases</w:t>
            </w:r>
          </w:p>
        </w:tc>
        <w:tc>
          <w:tcPr>
            <w:tcW w:w="840" w:type="dxa"/>
            <w:vAlign w:val="bottom"/>
            <w:tcBorders>
              <w:bottom w:val="single" w:sz="8" w:color="auto"/>
            </w:tcBorders>
          </w:tcPr>
          <w:p>
            <w:pPr>
              <w:jc w:val="right"/>
              <w:ind w:right="665"/>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1,073</w:t>
            </w:r>
          </w:p>
        </w:tc>
        <w:tc>
          <w:tcPr>
            <w:tcW w:w="240" w:type="dxa"/>
            <w:vAlign w:val="bottom"/>
          </w:tcPr>
          <w:p>
            <w:pPr>
              <w:spacing w:after="0"/>
              <w:rPr>
                <w:sz w:val="20"/>
                <w:szCs w:val="20"/>
                <w:color w:val="auto"/>
              </w:rPr>
            </w:pPr>
          </w:p>
        </w:tc>
        <w:tc>
          <w:tcPr>
            <w:tcW w:w="3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1,061</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Financing cash flows paid for finance leases</w:t>
            </w:r>
          </w:p>
        </w:tc>
        <w:tc>
          <w:tcPr>
            <w:tcW w:w="840" w:type="dxa"/>
            <w:vAlign w:val="bottom"/>
            <w:tcBorders>
              <w:bottom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2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22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8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7"/>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Right-of-use assets obtained in exchange for operating lease liabilities</w:t>
            </w:r>
          </w:p>
        </w:tc>
        <w:tc>
          <w:tcPr>
            <w:tcW w:w="840" w:type="dxa"/>
            <w:vAlign w:val="bottom"/>
            <w:tcBorders>
              <w:bottom w:val="single" w:sz="8" w:color="auto"/>
            </w:tcBorders>
            <w:shd w:val="clear" w:color="auto" w:fill="CCEEFF"/>
          </w:tcPr>
          <w:p>
            <w:pPr>
              <w:jc w:val="right"/>
              <w:ind w:right="665"/>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w:t>
            </w:r>
          </w:p>
        </w:tc>
        <w:tc>
          <w:tcPr>
            <w:tcW w:w="2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Purchases of property and equipment in accounts payable and accrued liabilities</w:t>
            </w:r>
          </w:p>
        </w:tc>
        <w:tc>
          <w:tcPr>
            <w:tcW w:w="840" w:type="dxa"/>
            <w:vAlign w:val="bottom"/>
            <w:tcBorders>
              <w:bottom w:val="single" w:sz="8" w:color="auto"/>
            </w:tcBorders>
          </w:tcPr>
          <w:p>
            <w:pPr>
              <w:jc w:val="right"/>
              <w:ind w:right="665"/>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240" w:type="dxa"/>
            <w:vAlign w:val="bottom"/>
          </w:tcPr>
          <w:p>
            <w:pPr>
              <w:spacing w:after="0"/>
              <w:rPr>
                <w:sz w:val="20"/>
                <w:szCs w:val="20"/>
                <w:color w:val="auto"/>
              </w:rPr>
            </w:pPr>
          </w:p>
        </w:tc>
        <w:tc>
          <w:tcPr>
            <w:tcW w:w="34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302</w:t>
            </w:r>
          </w:p>
        </w:tc>
        <w:tc>
          <w:tcPr>
            <w:tcW w:w="0" w:type="dxa"/>
            <w:vAlign w:val="bottom"/>
          </w:tcPr>
          <w:p>
            <w:pPr>
              <w:spacing w:after="0"/>
              <w:rPr>
                <w:sz w:val="1"/>
                <w:szCs w:val="1"/>
                <w:color w:val="auto"/>
              </w:rPr>
            </w:pPr>
          </w:p>
        </w:tc>
      </w:tr>
      <w:tr>
        <w:trPr>
          <w:trHeight w:val="25"/>
        </w:trPr>
        <w:tc>
          <w:tcPr>
            <w:tcW w:w="8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Supplemental Quarterly Financial Results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60" w:type="dxa"/>
            <w:vAlign w:val="bottom"/>
            <w:gridSpan w:val="4"/>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GAAP Financial Results</w:t>
            </w: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278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gridSpan w:val="2"/>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8"/>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Y/Y</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Q/Q</w:t>
            </w:r>
          </w:p>
        </w:tc>
        <w:tc>
          <w:tcPr>
            <w:tcW w:w="0" w:type="dxa"/>
            <w:vAlign w:val="bottom"/>
          </w:tcPr>
          <w:p>
            <w:pPr>
              <w:spacing w:after="0"/>
              <w:rPr>
                <w:sz w:val="1"/>
                <w:szCs w:val="1"/>
                <w:color w:val="auto"/>
              </w:rPr>
            </w:pPr>
          </w:p>
        </w:tc>
      </w:tr>
      <w:tr>
        <w:trPr>
          <w:trHeight w:val="37"/>
        </w:trPr>
        <w:tc>
          <w:tcPr>
            <w:tcW w:w="40" w:type="dxa"/>
            <w:vAlign w:val="bottom"/>
            <w:tcBorders>
              <w:bottom w:val="single" w:sz="8" w:color="CCEEFF"/>
            </w:tcBorders>
          </w:tcPr>
          <w:p>
            <w:pPr>
              <w:spacing w:after="0"/>
              <w:rPr>
                <w:sz w:val="3"/>
                <w:szCs w:val="3"/>
                <w:color w:val="auto"/>
              </w:rPr>
            </w:pPr>
          </w:p>
        </w:tc>
        <w:tc>
          <w:tcPr>
            <w:tcW w:w="278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20,648</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14,060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18,736</w:t>
            </w:r>
          </w:p>
        </w:tc>
        <w:tc>
          <w:tcPr>
            <w:tcW w:w="8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10,609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7,206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10,097</w:t>
            </w:r>
          </w:p>
        </w:tc>
        <w:tc>
          <w:tcPr>
            <w:tcW w:w="8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Up 0.1 ppts</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Down 2.5 ppts</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18,538</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8,751</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14,480</w:t>
            </w:r>
          </w:p>
        </w:tc>
        <w:tc>
          <w:tcPr>
            <w:tcW w:w="8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(7,929)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(1,545)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(4,383)</w:t>
            </w:r>
          </w:p>
        </w:tc>
        <w:tc>
          <w:tcPr>
            <w:tcW w:w="80" w:type="dxa"/>
            <w:vAlign w:val="bottom"/>
          </w:tcPr>
          <w:p>
            <w:pPr>
              <w:spacing w:after="0"/>
              <w:rPr>
                <w:sz w:val="24"/>
                <w:szCs w:val="24"/>
                <w:color w:val="auto"/>
              </w:rPr>
            </w:pP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83"/>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Down 27.4 ppts</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Down 15 ppts</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764</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1,596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794</w:t>
            </w:r>
          </w:p>
        </w:tc>
        <w:tc>
          <w:tcPr>
            <w:tcW w:w="80" w:type="dxa"/>
            <w:vAlign w:val="bottom"/>
            <w:shd w:val="clear" w:color="auto" w:fill="CCEEFF"/>
          </w:tcPr>
          <w:p>
            <w:pPr>
              <w:spacing w:after="0"/>
              <w:rPr>
                <w:sz w:val="24"/>
                <w:szCs w:val="24"/>
                <w:color w:val="auto"/>
              </w:rPr>
            </w:pPr>
          </w:p>
        </w:tc>
        <w:tc>
          <w:tcPr>
            <w:tcW w:w="1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8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(7,175)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(13387%)</w:t>
            </w:r>
          </w:p>
        </w:tc>
        <w:tc>
          <w:tcPr>
            <w:tcW w:w="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(3,589)</w:t>
            </w:r>
          </w:p>
        </w:tc>
        <w:tc>
          <w:tcPr>
            <w:tcW w:w="80" w:type="dxa"/>
            <w:vAlign w:val="bottom"/>
          </w:tcPr>
          <w:p>
            <w:pPr>
              <w:spacing w:after="0"/>
              <w:rPr>
                <w:sz w:val="24"/>
                <w:szCs w:val="24"/>
                <w:color w:val="auto"/>
              </w:rPr>
            </w:pPr>
          </w:p>
        </w:tc>
        <w:tc>
          <w:tcPr>
            <w:tcW w:w="1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84"/>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(0.29)</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shd w:val="clear" w:color="auto" w:fill="CCEEFF"/>
          </w:tcPr>
          <w:p>
            <w:pPr>
              <w:spacing w:after="0"/>
              <w:rPr>
                <w:sz w:val="24"/>
                <w:szCs w:val="24"/>
                <w:color w:val="auto"/>
              </w:rPr>
            </w:pPr>
          </w:p>
        </w:tc>
        <w:tc>
          <w:tcPr>
            <w:tcW w:w="1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759"/>
        </w:trPr>
        <w:tc>
          <w:tcPr>
            <w:tcW w:w="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40" w:type="dxa"/>
            <w:vAlign w:val="bottom"/>
            <w:gridSpan w:val="6"/>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Non-GAAP Financial Results</w:t>
            </w: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27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gridSpan w:val="8"/>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80" w:type="dxa"/>
            <w:vAlign w:val="bottom"/>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vMerge w:val="restart"/>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Y/Y</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gridSpan w:val="2"/>
            <w:vMerge w:val="restart"/>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Q/Q</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78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27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20,648</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14,060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18,736</w:t>
            </w:r>
          </w:p>
        </w:tc>
        <w:tc>
          <w:tcPr>
            <w:tcW w:w="8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10,756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7,367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10,255</w:t>
            </w:r>
          </w:p>
        </w:tc>
        <w:tc>
          <w:tcPr>
            <w:tcW w:w="8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52.1%</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Down 0.3 ppts</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Down 2.6 ppts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8,452</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7,505</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8,187</w:t>
            </w:r>
          </w:p>
        </w:tc>
        <w:tc>
          <w:tcPr>
            <w:tcW w:w="8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2,304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2,068</w:t>
            </w:r>
          </w:p>
        </w:tc>
        <w:tc>
          <w:tcPr>
            <w:tcW w:w="8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9"/>
              </w:rPr>
              <w:t>Up 12.2 ppts</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Up 0.2 ppts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764</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1,596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794</w:t>
            </w:r>
          </w:p>
        </w:tc>
        <w:tc>
          <w:tcPr>
            <w:tcW w:w="8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3,058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1,461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2,862</w:t>
            </w:r>
          </w:p>
        </w:tc>
        <w:tc>
          <w:tcPr>
            <w:tcW w:w="8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0.12</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0.11</w:t>
            </w:r>
          </w:p>
        </w:tc>
        <w:tc>
          <w:tcPr>
            <w:tcW w:w="8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3" w:right="339" w:bottom="1440" w:gutter="0" w:footer="0" w:header="0"/>
        </w:sectPr>
      </w:pPr>
    </w:p>
    <w:bookmarkStart w:id="9" w:name="page10"/>
    <w:bookmarkEnd w:id="9"/>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Supplemental Reconciliations of GAAP Results to Non-GAAP Financial Measures</w:t>
      </w:r>
    </w:p>
    <w:p>
      <w:pPr>
        <w:spacing w:after="0" w:line="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040"/>
          </w:cols>
          <w:pgMar w:left="340" w:top="1143"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COGS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R&amp;D</w:t>
      </w:r>
    </w:p>
    <w:p>
      <w:pPr>
        <w:spacing w:after="0" w:line="77"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8"/>
          <w:szCs w:val="18"/>
          <w:color w:val="auto"/>
        </w:rPr>
        <w:t>Stock-Based Compensation, SG&amp;A Litigation Costs</w:t>
      </w:r>
    </w:p>
    <w:p>
      <w:pPr>
        <w:spacing w:after="0" w:line="1" w:lineRule="exact"/>
        <w:rPr>
          <w:sz w:val="20"/>
          <w:szCs w:val="20"/>
          <w:color w:val="auto"/>
        </w:rPr>
      </w:pPr>
    </w:p>
    <w:p>
      <w:pPr>
        <w:spacing w:after="0" w:line="360" w:lineRule="auto"/>
        <w:rPr>
          <w:sz w:val="20"/>
          <w:szCs w:val="20"/>
          <w:color w:val="auto"/>
        </w:rPr>
      </w:pPr>
      <w:r>
        <w:rPr>
          <w:rFonts w:ascii="Times New Roman" w:cs="Times New Roman" w:eastAsia="Times New Roman" w:hAnsi="Times New Roman"/>
          <w:sz w:val="18"/>
          <w:szCs w:val="18"/>
          <w:color w:val="auto"/>
        </w:rPr>
        <w:t>Regulatory Provision Non-recurring Engineering Fees (NRE)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Litigation Costs</w:t>
      </w:r>
    </w:p>
    <w:p>
      <w:pPr>
        <w:spacing w:after="0" w:line="50" w:lineRule="exact"/>
        <w:rPr>
          <w:sz w:val="20"/>
          <w:szCs w:val="20"/>
          <w:color w:val="auto"/>
        </w:rPr>
      </w:pPr>
    </w:p>
    <w:p>
      <w:pPr>
        <w:spacing w:after="0" w:line="360" w:lineRule="auto"/>
        <w:rPr>
          <w:sz w:val="20"/>
          <w:szCs w:val="20"/>
          <w:color w:val="auto"/>
        </w:rPr>
      </w:pPr>
      <w:r>
        <w:rPr>
          <w:rFonts w:ascii="Times New Roman" w:cs="Times New Roman" w:eastAsia="Times New Roman" w:hAnsi="Times New Roman"/>
          <w:sz w:val="18"/>
          <w:szCs w:val="18"/>
          <w:color w:val="auto"/>
        </w:rPr>
        <w:t>Regulatory Provision Non-recurring Engineering Fees (NRE)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Litigation Costs</w:t>
      </w:r>
    </w:p>
    <w:p>
      <w:pPr>
        <w:spacing w:after="0" w:line="50" w:lineRule="exact"/>
        <w:rPr>
          <w:sz w:val="20"/>
          <w:szCs w:val="20"/>
          <w:color w:val="auto"/>
        </w:rPr>
      </w:pPr>
    </w:p>
    <w:p>
      <w:pPr>
        <w:spacing w:after="0" w:line="360" w:lineRule="auto"/>
        <w:rPr>
          <w:sz w:val="20"/>
          <w:szCs w:val="20"/>
          <w:color w:val="auto"/>
        </w:rPr>
      </w:pPr>
      <w:r>
        <w:rPr>
          <w:rFonts w:ascii="Times New Roman" w:cs="Times New Roman" w:eastAsia="Times New Roman" w:hAnsi="Times New Roman"/>
          <w:sz w:val="18"/>
          <w:szCs w:val="18"/>
          <w:color w:val="auto"/>
        </w:rPr>
        <w:t>Regulatory Provision Non-recurring Engineering Fees (NRE)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gridSpan w:val="9"/>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gridSpan w:val="3"/>
          </w:tcPr>
          <w:p>
            <w:pPr>
              <w:spacing w:after="0"/>
              <w:rPr>
                <w:sz w:val="3"/>
                <w:szCs w:val="3"/>
                <w:color w:val="auto"/>
              </w:rPr>
            </w:pPr>
          </w:p>
        </w:tc>
        <w:tc>
          <w:tcPr>
            <w:tcW w:w="3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gridSpan w:val="11"/>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6"/>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6"/>
            <w:vMerge w:val="continue"/>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gridSpan w:val="4"/>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gridSpan w:val="4"/>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6"/>
          </w:tcPr>
          <w:p>
            <w:pPr>
              <w:ind w:left="7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4"/>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4"/>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Profit</w:t>
            </w: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0" w:type="dxa"/>
            <w:vAlign w:val="bottom"/>
          </w:tcPr>
          <w:p>
            <w:pPr>
              <w:spacing w:after="0"/>
              <w:rPr>
                <w:sz w:val="1"/>
                <w:szCs w:val="1"/>
                <w:color w:val="auto"/>
              </w:rPr>
            </w:pPr>
          </w:p>
        </w:tc>
      </w:tr>
      <w:tr>
        <w:trPr>
          <w:trHeight w:val="37"/>
        </w:trPr>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20" w:type="dxa"/>
            <w:vAlign w:val="bottom"/>
            <w:gridSpan w:val="4"/>
          </w:tcPr>
          <w:p>
            <w:pPr>
              <w:jc w:val="center"/>
              <w:ind w:left="23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10,609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51.4%</w:t>
            </w:r>
          </w:p>
        </w:tc>
        <w:tc>
          <w:tcPr>
            <w:tcW w:w="420" w:type="dxa"/>
            <w:vAlign w:val="bottom"/>
            <w:gridSpan w:val="4"/>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51.3%</w:t>
            </w:r>
          </w:p>
        </w:tc>
        <w:tc>
          <w:tcPr>
            <w:tcW w:w="2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310"/>
        </w:trPr>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5"/>
          </w:tcPr>
          <w:p>
            <w:pPr>
              <w:jc w:val="center"/>
              <w:ind w:left="373"/>
              <w:spacing w:after="0"/>
              <w:rPr>
                <w:sz w:val="20"/>
                <w:szCs w:val="20"/>
                <w:color w:val="auto"/>
              </w:rPr>
            </w:pPr>
            <w:r>
              <w:rPr>
                <w:rFonts w:ascii="Times New Roman" w:cs="Times New Roman" w:eastAsia="Times New Roman" w:hAnsi="Times New Roman"/>
                <w:sz w:val="18"/>
                <w:szCs w:val="18"/>
                <w:color w:val="auto"/>
              </w:rPr>
              <w:t>161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40" w:type="dxa"/>
            <w:vAlign w:val="bottom"/>
          </w:tcPr>
          <w:p>
            <w:pPr>
              <w:spacing w:after="0"/>
              <w:rPr>
                <w:sz w:val="24"/>
                <w:szCs w:val="24"/>
                <w:color w:val="auto"/>
              </w:rPr>
            </w:pPr>
          </w:p>
        </w:tc>
        <w:tc>
          <w:tcPr>
            <w:tcW w:w="320" w:type="dxa"/>
            <w:vAlign w:val="bottom"/>
            <w:gridSpan w:val="3"/>
          </w:tcPr>
          <w:p>
            <w:pPr>
              <w:spacing w:after="0"/>
              <w:rPr>
                <w:sz w:val="24"/>
                <w:szCs w:val="24"/>
                <w:color w:val="auto"/>
              </w:rPr>
            </w:pPr>
          </w:p>
        </w:tc>
        <w:tc>
          <w:tcPr>
            <w:tcW w:w="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10,756</w:t>
            </w: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52.1%</w:t>
            </w:r>
          </w:p>
        </w:tc>
        <w:tc>
          <w:tcPr>
            <w:tcW w:w="120" w:type="dxa"/>
            <w:vAlign w:val="bottom"/>
            <w:gridSpan w:val="3"/>
          </w:tcPr>
          <w:p>
            <w:pPr>
              <w:spacing w:after="0"/>
              <w:rPr>
                <w:sz w:val="24"/>
                <w:szCs w:val="24"/>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gridSpan w:val="2"/>
          </w:tcPr>
          <w:p>
            <w:pPr>
              <w:spacing w:after="0"/>
              <w:rPr>
                <w:sz w:val="24"/>
                <w:szCs w:val="24"/>
                <w:color w:val="auto"/>
              </w:rPr>
            </w:pPr>
          </w:p>
        </w:tc>
        <w:tc>
          <w:tcPr>
            <w:tcW w:w="1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10,255</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5"/>
        </w:trPr>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5"/>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As a %</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6"/>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As a %</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7"/>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As a %</w:t>
            </w: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5"/>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of Revenue</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gridSpan w:val="6"/>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of Revenue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7"/>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of Revenue</w:t>
            </w:r>
          </w:p>
        </w:tc>
        <w:tc>
          <w:tcPr>
            <w:tcW w:w="0" w:type="dxa"/>
            <w:vAlign w:val="bottom"/>
          </w:tcPr>
          <w:p>
            <w:pPr>
              <w:spacing w:after="0"/>
              <w:rPr>
                <w:sz w:val="1"/>
                <w:szCs w:val="1"/>
                <w:color w:val="auto"/>
              </w:rPr>
            </w:pPr>
          </w:p>
        </w:tc>
      </w:tr>
      <w:tr>
        <w:trPr>
          <w:trHeight w:val="51"/>
        </w:trPr>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Borders>
              <w:bottom w:val="single" w:sz="8" w:color="auto"/>
            </w:tcBorders>
            <w:gridSpan w:val="2"/>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gridSpan w:val="2"/>
          </w:tcPr>
          <w:p>
            <w:pPr>
              <w:spacing w:after="0"/>
              <w:rPr>
                <w:sz w:val="4"/>
                <w:szCs w:val="4"/>
                <w:color w:val="auto"/>
              </w:rPr>
            </w:pPr>
          </w:p>
        </w:tc>
        <w:tc>
          <w:tcPr>
            <w:tcW w:w="36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18,538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0" w:type="dxa"/>
            <w:vAlign w:val="bottom"/>
          </w:tcPr>
          <w:p>
            <w:pPr>
              <w:spacing w:after="0"/>
              <w:rPr>
                <w:sz w:val="21"/>
                <w:szCs w:val="21"/>
                <w:color w:val="auto"/>
              </w:rPr>
            </w:pPr>
          </w:p>
        </w:tc>
        <w:tc>
          <w:tcPr>
            <w:tcW w:w="420" w:type="dxa"/>
            <w:vAlign w:val="bottom"/>
            <w:gridSpan w:val="4"/>
          </w:tcPr>
          <w:p>
            <w:pPr>
              <w:jc w:val="center"/>
              <w:ind w:right="74"/>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8,751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 w:type="dxa"/>
            <w:vAlign w:val="bottom"/>
          </w:tcPr>
          <w:p>
            <w:pPr>
              <w:spacing w:after="0"/>
              <w:rPr>
                <w:sz w:val="21"/>
                <w:szCs w:val="21"/>
                <w:color w:val="auto"/>
              </w:rPr>
            </w:pPr>
          </w:p>
        </w:tc>
        <w:tc>
          <w:tcPr>
            <w:tcW w:w="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4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8,452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360" w:type="dxa"/>
            <w:vAlign w:val="bottom"/>
            <w:tcBorders>
              <w:bottom w:val="single" w:sz="8" w:color="auto"/>
            </w:tcBorders>
            <w:gridSpan w:val="2"/>
          </w:tcPr>
          <w:p>
            <w:pPr>
              <w:jc w:val="center"/>
              <w:ind w:right="134"/>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7,505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0"/>
        </w:trPr>
        <w:tc>
          <w:tcPr>
            <w:tcW w:w="140" w:type="dxa"/>
            <w:vAlign w:val="bottom"/>
          </w:tcPr>
          <w:p>
            <w:pPr>
              <w:spacing w:after="0"/>
              <w:rPr>
                <w:sz w:val="24"/>
                <w:szCs w:val="24"/>
                <w:color w:val="auto"/>
              </w:rPr>
            </w:pPr>
          </w:p>
        </w:tc>
        <w:tc>
          <w:tcPr>
            <w:tcW w:w="106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0" w:type="dxa"/>
            <w:vAlign w:val="bottom"/>
          </w:tcPr>
          <w:p>
            <w:pPr>
              <w:spacing w:after="0"/>
              <w:rPr>
                <w:sz w:val="24"/>
                <w:szCs w:val="24"/>
                <w:color w:val="auto"/>
              </w:rPr>
            </w:pPr>
          </w:p>
        </w:tc>
        <w:tc>
          <w:tcPr>
            <w:tcW w:w="102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5"/>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0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6"/>
                <w:szCs w:val="16"/>
                <w:color w:val="auto"/>
              </w:rPr>
            </w:pPr>
          </w:p>
        </w:tc>
        <w:tc>
          <w:tcPr>
            <w:tcW w:w="1020" w:type="dxa"/>
            <w:vAlign w:val="bottom"/>
            <w:gridSpan w:val="6"/>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20" w:type="dxa"/>
            <w:vAlign w:val="bottom"/>
          </w:tcPr>
          <w:p>
            <w:pPr>
              <w:spacing w:after="0"/>
              <w:rPr>
                <w:sz w:val="16"/>
                <w:szCs w:val="16"/>
                <w:color w:val="auto"/>
              </w:rPr>
            </w:pPr>
          </w:p>
        </w:tc>
        <w:tc>
          <w:tcPr>
            <w:tcW w:w="1040" w:type="dxa"/>
            <w:vAlign w:val="bottom"/>
            <w:gridSpan w:val="9"/>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5"/>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80" w:type="dxa"/>
            <w:vAlign w:val="bottom"/>
          </w:tcPr>
          <w:p>
            <w:pPr>
              <w:spacing w:after="0"/>
              <w:rPr>
                <w:sz w:val="16"/>
                <w:szCs w:val="16"/>
                <w:color w:val="auto"/>
              </w:rPr>
            </w:pPr>
          </w:p>
        </w:tc>
        <w:tc>
          <w:tcPr>
            <w:tcW w:w="1080" w:type="dxa"/>
            <w:vAlign w:val="bottom"/>
            <w:gridSpan w:val="8"/>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Margin</w:t>
            </w: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4"/>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gridSpan w:val="4"/>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gridSpan w:val="6"/>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gridSpan w:val="5"/>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5"/>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5"/>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(7,929)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Pr>
          <w:p>
            <w:pPr>
              <w:spacing w:after="0"/>
              <w:rPr>
                <w:sz w:val="21"/>
                <w:szCs w:val="21"/>
                <w:color w:val="auto"/>
              </w:rPr>
            </w:pPr>
          </w:p>
        </w:tc>
        <w:tc>
          <w:tcPr>
            <w:tcW w:w="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6"/>
          </w:tcPr>
          <w:p>
            <w:pPr>
              <w:jc w:val="center"/>
              <w:ind w:left="217"/>
              <w:spacing w:after="0"/>
              <w:rPr>
                <w:sz w:val="20"/>
                <w:szCs w:val="20"/>
                <w:color w:val="auto"/>
              </w:rPr>
            </w:pPr>
            <w:r>
              <w:rPr>
                <w:rFonts w:ascii="Times New Roman" w:cs="Times New Roman" w:eastAsia="Times New Roman" w:hAnsi="Times New Roman"/>
                <w:sz w:val="18"/>
                <w:szCs w:val="18"/>
                <w:color w:val="auto"/>
              </w:rPr>
              <w:t>(1,545)</w:t>
            </w:r>
          </w:p>
        </w:tc>
        <w:tc>
          <w:tcPr>
            <w:tcW w:w="60" w:type="dxa"/>
            <w:vAlign w:val="bottom"/>
          </w:tcPr>
          <w:p>
            <w:pPr>
              <w:spacing w:after="0"/>
              <w:rPr>
                <w:sz w:val="21"/>
                <w:szCs w:val="21"/>
                <w:color w:val="auto"/>
              </w:rPr>
            </w:pPr>
          </w:p>
        </w:tc>
        <w:tc>
          <w:tcPr>
            <w:tcW w:w="11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1,531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w w:val="98"/>
              </w:rPr>
              <w:t>1,407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2,715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4"/>
                <w:szCs w:val="24"/>
                <w:color w:val="auto"/>
              </w:rPr>
            </w:pPr>
          </w:p>
        </w:tc>
        <w:tc>
          <w:tcPr>
            <w:tcW w:w="1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(138)</w:t>
            </w:r>
          </w:p>
        </w:tc>
        <w:tc>
          <w:tcPr>
            <w:tcW w:w="60" w:type="dxa"/>
            <w:vAlign w:val="bottom"/>
          </w:tcPr>
          <w:p>
            <w:pPr>
              <w:spacing w:after="0"/>
              <w:rPr>
                <w:sz w:val="24"/>
                <w:szCs w:val="24"/>
                <w:color w:val="auto"/>
              </w:rPr>
            </w:pPr>
          </w:p>
        </w:tc>
        <w:tc>
          <w:tcPr>
            <w:tcW w:w="116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0"/>
        </w:trPr>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7"/>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Net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5"/>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6"/>
                <w:szCs w:val="16"/>
                <w:color w:val="auto"/>
              </w:rPr>
            </w:pPr>
          </w:p>
        </w:tc>
        <w:tc>
          <w:tcPr>
            <w:tcW w:w="10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gridSpan w:val="7"/>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5"/>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80" w:type="dxa"/>
            <w:vAlign w:val="bottom"/>
          </w:tcPr>
          <w:p>
            <w:pPr>
              <w:spacing w:after="0"/>
              <w:rPr>
                <w:sz w:val="16"/>
                <w:szCs w:val="16"/>
                <w:color w:val="auto"/>
              </w:rPr>
            </w:pPr>
          </w:p>
        </w:tc>
        <w:tc>
          <w:tcPr>
            <w:tcW w:w="1080" w:type="dxa"/>
            <w:vAlign w:val="bottom"/>
            <w:gridSpan w:val="8"/>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3"/>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5"/>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gridSpan w:val="5"/>
          </w:tcPr>
          <w:p>
            <w:pPr>
              <w:spacing w:after="0"/>
              <w:rPr>
                <w:sz w:val="4"/>
                <w:szCs w:val="4"/>
                <w:color w:val="auto"/>
              </w:rPr>
            </w:pPr>
          </w:p>
        </w:tc>
        <w:tc>
          <w:tcPr>
            <w:tcW w:w="40" w:type="dxa"/>
            <w:vAlign w:val="bottom"/>
            <w:tcBorders>
              <w:bottom w:val="single" w:sz="8" w:color="auto"/>
            </w:tcBorders>
            <w:gridSpan w:val="2"/>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gridSpan w:val="4"/>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5"/>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3"/>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(7,175)</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5"/>
          </w:tcPr>
          <w:p>
            <w:pPr>
              <w:jc w:val="center"/>
              <w:ind w:left="254"/>
              <w:spacing w:after="0"/>
              <w:rPr>
                <w:sz w:val="20"/>
                <w:szCs w:val="20"/>
                <w:color w:val="auto"/>
              </w:rPr>
            </w:pPr>
            <w:r>
              <w:rPr>
                <w:rFonts w:ascii="Times New Roman" w:cs="Times New Roman" w:eastAsia="Times New Roman" w:hAnsi="Times New Roman"/>
                <w:sz w:val="18"/>
                <w:szCs w:val="18"/>
                <w:color w:val="auto"/>
                <w:w w:val="96"/>
              </w:rPr>
              <w:t>(0.29)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700" w:type="dxa"/>
            <w:vAlign w:val="bottom"/>
            <w:gridSpan w:val="4"/>
          </w:tcPr>
          <w:p>
            <w:pPr>
              <w:jc w:val="center"/>
              <w:ind w:right="24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(0.15)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1,531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w w:val="95"/>
              </w:rPr>
              <w:t>0.06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1,407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5,987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gridSpan w:val="5"/>
          </w:tcPr>
          <w:p>
            <w:pPr>
              <w:jc w:val="center"/>
              <w:ind w:left="274"/>
              <w:spacing w:after="0"/>
              <w:rPr>
                <w:sz w:val="20"/>
                <w:szCs w:val="20"/>
                <w:color w:val="auto"/>
              </w:rPr>
            </w:pPr>
            <w:r>
              <w:rPr>
                <w:rFonts w:ascii="Times New Roman" w:cs="Times New Roman" w:eastAsia="Times New Roman" w:hAnsi="Times New Roman"/>
                <w:sz w:val="18"/>
                <w:szCs w:val="18"/>
                <w:color w:val="auto"/>
              </w:rPr>
              <w:t>0.24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2,715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gridSpan w:val="5"/>
          </w:tcPr>
          <w:p>
            <w:pPr>
              <w:ind w:left="480"/>
              <w:spacing w:after="0"/>
              <w:rPr>
                <w:sz w:val="20"/>
                <w:szCs w:val="20"/>
                <w:color w:val="auto"/>
              </w:rPr>
            </w:pPr>
            <w:r>
              <w:rPr>
                <w:rFonts w:ascii="Times New Roman" w:cs="Times New Roman" w:eastAsia="Times New Roman" w:hAnsi="Times New Roman"/>
                <w:sz w:val="18"/>
                <w:szCs w:val="18"/>
                <w:color w:val="auto"/>
                <w:w w:val="95"/>
              </w:rPr>
              <w:t>0.11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5"/>
          </w:tcPr>
          <w:p>
            <w:pPr>
              <w:jc w:val="center"/>
              <w:ind w:left="274"/>
              <w:spacing w:after="0"/>
              <w:rPr>
                <w:sz w:val="20"/>
                <w:szCs w:val="20"/>
                <w:color w:val="auto"/>
              </w:rPr>
            </w:pPr>
            <w:r>
              <w:rPr>
                <w:rFonts w:ascii="Times New Roman" w:cs="Times New Roman" w:eastAsia="Times New Roman" w:hAnsi="Times New Roman"/>
                <w:sz w:val="18"/>
                <w:szCs w:val="18"/>
                <w:color w:val="auto"/>
              </w:rPr>
              <w:t>0.00</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2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3,058</w:t>
            </w: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5"/>
          </w:tcPr>
          <w:p>
            <w:pPr>
              <w:jc w:val="center"/>
              <w:ind w:left="274"/>
              <w:spacing w:after="0"/>
              <w:rPr>
                <w:sz w:val="20"/>
                <w:szCs w:val="20"/>
                <w:color w:val="auto"/>
              </w:rPr>
            </w:pPr>
            <w:r>
              <w:rPr>
                <w:rFonts w:ascii="Times New Roman" w:cs="Times New Roman" w:eastAsia="Times New Roman" w:hAnsi="Times New Roman"/>
                <w:sz w:val="18"/>
                <w:szCs w:val="18"/>
                <w:color w:val="auto"/>
              </w:rPr>
              <w:t>0.12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4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1,461</w:t>
            </w:r>
          </w:p>
        </w:tc>
        <w:tc>
          <w:tcPr>
            <w:tcW w:w="700" w:type="dxa"/>
            <w:vAlign w:val="bottom"/>
            <w:gridSpan w:val="4"/>
          </w:tcPr>
          <w:p>
            <w:pPr>
              <w:jc w:val="center"/>
              <w:ind w:right="24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-5305425</wp:posOffset>
            </wp:positionV>
            <wp:extent cx="7012305"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12305" cy="18859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-4937125</wp:posOffset>
            </wp:positionV>
            <wp:extent cx="7012305"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12305" cy="20574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-4268470</wp:posOffset>
            </wp:positionV>
            <wp:extent cx="699516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8859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-3900170</wp:posOffset>
            </wp:positionV>
            <wp:extent cx="6995160"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-3565525</wp:posOffset>
            </wp:positionV>
            <wp:extent cx="6995160"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970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-3205480</wp:posOffset>
            </wp:positionV>
            <wp:extent cx="6995160"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20574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-2596515</wp:posOffset>
            </wp:positionV>
            <wp:extent cx="626618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66180" cy="18859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-2253615</wp:posOffset>
            </wp:positionV>
            <wp:extent cx="626618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66180" cy="15430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-1919605</wp:posOffset>
            </wp:positionV>
            <wp:extent cx="626618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66180" cy="180340"/>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-1130935</wp:posOffset>
            </wp:positionV>
            <wp:extent cx="619760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97600" cy="18859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-762000</wp:posOffset>
            </wp:positionV>
            <wp:extent cx="619760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97600" cy="179705"/>
                    </a:xfrm>
                    <a:prstGeom prst="rect">
                      <a:avLst/>
                    </a:prstGeom>
                    <a:noFill/>
                  </pic:spPr>
                </pic:pic>
              </a:graphicData>
            </a:graphic>
          </wp:anchor>
        </w:drawing>
        <w:drawing>
          <wp:anchor simplePos="0" relativeHeight="251657728" behindDoc="1" locked="0" layoutInCell="0" allowOverlap="1">
            <wp:simplePos x="0" y="0"/>
            <wp:positionH relativeFrom="column">
              <wp:posOffset>-1924685</wp:posOffset>
            </wp:positionH>
            <wp:positionV relativeFrom="paragraph">
              <wp:posOffset>-401955</wp:posOffset>
            </wp:positionV>
            <wp:extent cx="619760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97600" cy="179705"/>
                    </a:xfrm>
                    <a:prstGeom prst="rect">
                      <a:avLst/>
                    </a:prstGeom>
                    <a:noFill/>
                  </pic:spPr>
                </pic:pic>
              </a:graphicData>
            </a:graphic>
          </wp:anchor>
        </w:drawing>
      </w:r>
    </w:p>
    <w:sectPr>
      <w:pgSz w:w="11900" w:h="16838" w:orient="portrait"/>
      <w:cols w:equalWidth="0" w:num="2">
        <w:col w:w="2860" w:space="160"/>
        <w:col w:w="8020"/>
      </w:cols>
      <w:pgMar w:left="340" w:top="1143"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upperLetter"/>
      <w:start w:val="20"/>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2026-10-28T15:29:33Z</dcterms:created>
  <dcterms:modified xsi:type="dcterms:W3CDTF">2026-10-28T15:29:33Z</dcterms:modified>
</cp:coreProperties>
</file>