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40"/>
        <w:ind w:left="0" w:right="0" w:hanging="0"/>
        <w:rPr/>
      </w:pPr>
      <w:hyperlink w:anchor="Toc">
        <w:bookmarkStart w:id="0" w:name="mram-20220331x10q.htm"/>
        <w:bookmarkStart w:id="1" w:name="ksmram2022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spacing w:before="0" w:after="0"/>
        <w:ind w:left="0" w:right="0" w:hanging="0"/>
        <w:jc w:val="center"/>
        <w:rPr>
          <w:highlight w:val="green"/>
          <w:bdr w:val="single" w:sz="24" w:space="1" w:color="000000"/>
        </w:rPr>
      </w:pPr>
      <w:r>
        <w:rPr>
          <w:highlight w:val="green"/>
          <w:bdr w:val="single" w:sz="24" w:space="1" w:color="000000"/>
        </w:rPr>
        <w:t>​</w:t>
      </w:r>
    </w:p>
    <w:p>
      <w:pPr>
        <w:pStyle w:val="TextBody"/>
        <w:pBdr/>
        <w:spacing w:before="0" w:after="0"/>
        <w:ind w:left="0" w:right="0" w:hanging="0"/>
        <w:jc w:val="center"/>
        <w:rPr>
          <w:rFonts w:ascii="Times New Roman;Times;serif" w:hAnsi="Times New Roman;Times;serif"/>
          <w:b/>
          <w:sz w:val="36"/>
        </w:rPr>
      </w:pPr>
      <w:bookmarkStart w:id="2" w:name="_562aa900_f1fe_4fcb_90f2_bd32c3bc5c5c"/>
      <w:bookmarkEnd w:id="2"/>
      <w:r>
        <w:rPr>
          <w:rFonts w:ascii="Times New Roman;Times;serif" w:hAnsi="Times New Roman;Times;serif"/>
          <w:b/>
          <w:sz w:val="36"/>
        </w:rPr>
        <w:t>UNITED STATES</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rPr/>
            </w:pPr>
            <w:r>
              <w:rPr/>
              <w:t>☒</w:t>
            </w:r>
          </w:p>
        </w:tc>
        <w:tc>
          <w:tcPr>
            <w:tcW w:w="9874" w:type="dxa"/>
            <w:tcBorders/>
            <w:shd w:fill="auto" w:val="clear"/>
            <w:vAlign w:val="center"/>
          </w:tcPr>
          <w:p>
            <w:pPr>
              <w:pStyle w:val="TableContents"/>
              <w:spacing w:before="0" w:after="0"/>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pBdr/>
        <w:spacing w:before="0" w:after="0"/>
        <w:ind w:left="0" w:right="0" w:hanging="49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rPr/>
            </w:pPr>
            <w:r>
              <w:rPr/>
              <w:t>☐</w:t>
            </w:r>
          </w:p>
        </w:tc>
        <w:tc>
          <w:tcPr>
            <w:tcW w:w="9874" w:type="dxa"/>
            <w:tcBorders/>
            <w:shd w:fill="auto" w:val="clear"/>
            <w:vAlign w:val="center"/>
          </w:tcPr>
          <w:p>
            <w:pPr>
              <w:pStyle w:val="TableContents"/>
              <w:spacing w:before="0" w:after="0"/>
              <w:rPr>
                <w:rFonts w:ascii="Times New Roman;Times;serif" w:hAnsi="Times New Roman;Times;serif"/>
                <w:b/>
                <w:sz w:val="24"/>
              </w:rPr>
            </w:pPr>
            <w:r>
              <w:rPr>
                <w:rFonts w:ascii="Times New Roman;Times;serif" w:hAnsi="Times New Roman;Times;serif"/>
                <w:b/>
                <w:sz w:val="24"/>
              </w:rPr>
              <w:t xml:space="preserve">TRANSITION REPORT PURSUANT TO SECTION 13 OR 15(d) OF THE SECURITIES EXCHANGE ACT OF 1934 </w:t>
            </w:r>
          </w:p>
        </w:tc>
      </w:tr>
    </w:tbl>
    <w:p>
      <w:pPr>
        <w:pStyle w:val="TextBody"/>
        <w:pBdr/>
        <w:spacing w:before="0" w:after="0"/>
        <w:ind w:left="0" w:right="0" w:hanging="49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001-37900</w:t>
      </w:r>
    </w:p>
    <w:p>
      <w:pPr>
        <w:pStyle w:val="TextBody"/>
        <w:spacing w:before="0" w:after="0"/>
        <w:ind w:left="0" w:right="0" w:hanging="0"/>
        <w:jc w:val="center"/>
        <w:rPr>
          <w:rFonts w:ascii="Times New Roman;Times;serif" w:hAnsi="Times New Roman;Times;serif"/>
          <w:b/>
          <w:sz w:val="48"/>
        </w:rPr>
      </w:pPr>
      <w:r>
        <w:rPr>
          <w:rFonts w:ascii="Times New Roman;Times;serif" w:hAnsi="Times New Roman;Times;serif"/>
          <w:b/>
          <w:sz w:val="48"/>
        </w:rPr>
        <w:t>Everspin Technologies,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spacing w:before="0" w:after="0"/>
        <w:ind w:left="0" w:right="0" w:hanging="0"/>
        <w:rPr/>
      </w:pPr>
      <w:r>
        <w:rPr/>
        <w:t>​</w:t>
      </w:r>
    </w:p>
    <w:p>
      <w:pPr>
        <w:pStyle w:val="Normal"/>
        <w:spacing w:before="0" w:after="0"/>
        <w:rPr>
          <w:sz w:val="4"/>
          <w:szCs w:val="4"/>
        </w:rPr>
      </w:pPr>
      <w:r>
        <w:rPr>
          <w:sz w:val="4"/>
          <w:szCs w:val="4"/>
        </w:rPr>
      </w:r>
      <w:bookmarkStart w:id="3" w:name="Tc_az5szn-8vEiweVzcPG2Yog_2_2"/>
      <w:bookmarkStart w:id="4" w:name="Tc_jejmo-EIYUi9HiBYZY-Bgg_2_0"/>
      <w:bookmarkStart w:id="5" w:name="_2eba0aec_898e_405c_bd59_c5e9e35b0d10"/>
      <w:bookmarkStart w:id="6" w:name="Tc_az5szn-8vEiweVzcPG2Yog_2_2"/>
      <w:bookmarkStart w:id="7" w:name="Tc_jejmo-EIYUi9HiBYZY-Bgg_2_0"/>
      <w:bookmarkStart w:id="8" w:name="_2eba0aec_898e_405c_bd59_c5e9e35b0d10"/>
      <w:bookmarkEnd w:id="6"/>
      <w:bookmarkEnd w:id="7"/>
      <w:bookmarkEnd w:id="8"/>
    </w:p>
    <w:tbl>
      <w:tblPr>
        <w:tblW w:w="4963" w:type="dxa"/>
        <w:jc w:val="left"/>
        <w:tblInd w:w="0" w:type="dxa"/>
        <w:tblCellMar>
          <w:top w:w="0" w:type="dxa"/>
          <w:left w:w="0" w:type="dxa"/>
          <w:bottom w:w="0" w:type="dxa"/>
          <w:right w:w="0" w:type="dxa"/>
        </w:tblCellMar>
      </w:tblPr>
      <w:tblGrid>
        <w:gridCol w:w="2956"/>
        <w:gridCol w:w="326"/>
        <w:gridCol w:w="1681"/>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77060" cy="175260"/>
                      <wp:effectExtent l="0" t="0" r="0" b="0"/>
                      <wp:wrapNone/>
                      <wp:docPr id="1" name="Frame1"/>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shd w:fill="auto" w:val="clear"/>
            <w:vAlign w:val="center"/>
          </w:tcPr>
          <w:p>
            <w:pPr>
              <w:pStyle w:val="TableContents"/>
              <w:spacing w:before="0" w:after="0"/>
              <w:ind w:left="0" w:right="0" w:hanging="0"/>
              <w:jc w:val="center"/>
              <w:rPr/>
            </w:pPr>
            <w:r>
              <w:rPr/>
              <w:t>    </w:t>
            </w:r>
          </w:p>
        </w:tc>
        <w:tc>
          <w:tcPr>
            <w:tcW w:w="168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26-2640654</w:t>
            </w:r>
          </w:p>
        </w:tc>
      </w:tr>
      <w:tr>
        <w:trPr/>
        <w:tc>
          <w:tcPr>
            <w:tcW w:w="295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of incorporation or organization)</w:t>
            </w:r>
          </w:p>
        </w:tc>
        <w:tc>
          <w:tcPr>
            <w:tcW w:w="326" w:type="dxa"/>
            <w:tcBorders/>
            <w:shd w:fill="auto" w:val="clear"/>
            <w:vAlign w:val="center"/>
          </w:tcPr>
          <w:p>
            <w:pPr>
              <w:pStyle w:val="TableContents"/>
              <w:spacing w:before="0" w:after="0"/>
              <w:ind w:left="0" w:right="0" w:hanging="0"/>
              <w:jc w:val="center"/>
              <w:rPr/>
            </w:pPr>
            <w:r>
              <w:rPr/>
              <w:t>​</w:t>
            </w:r>
          </w:p>
        </w:tc>
        <w:tc>
          <w:tcPr>
            <w:tcW w:w="168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5670 W. Chandler Boulevard, Suite 130</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Chandler, Arizona</w:t>
      </w:r>
      <w:r>
        <w:rPr>
          <w:rFonts w:ascii="Times New Roman;Times;serif" w:hAnsi="Times New Roman;Times;serif"/>
          <w:sz w:val="20"/>
        </w:rPr>
        <w:t xml:space="preserve"> </w:t>
      </w:r>
      <w:r>
        <w:rPr>
          <w:rFonts w:ascii="Times New Roman;Times;serif" w:hAnsi="Times New Roman;Times;serif"/>
          <w:b/>
          <w:sz w:val="20"/>
        </w:rPr>
        <w:t>85226</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 including zip code)</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(480) 347-1111</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spacing w:before="0" w:after="0"/>
        <w:rPr>
          <w:sz w:val="4"/>
          <w:szCs w:val="4"/>
        </w:rPr>
      </w:pPr>
      <w:r>
        <w:rPr>
          <w:sz w:val="4"/>
          <w:szCs w:val="4"/>
        </w:rPr>
      </w:r>
      <w:bookmarkStart w:id="9" w:name="Tc_uCR7dmkLCUme3P1TQAr8QQ_1_2"/>
      <w:bookmarkStart w:id="10" w:name="Tc_PeffFOyIGUetbWvqGwYobg_1_1"/>
      <w:bookmarkStart w:id="11" w:name="Tc_J2MiMRpmKkqqSL-tewbx7A_1_0"/>
      <w:bookmarkStart w:id="12" w:name="_5d72f356_fac6_432c_8574_87c4b01e1a4f"/>
      <w:bookmarkStart w:id="13" w:name="Tc_uCR7dmkLCUme3P1TQAr8QQ_1_2"/>
      <w:bookmarkStart w:id="14" w:name="Tc_PeffFOyIGUetbWvqGwYobg_1_1"/>
      <w:bookmarkStart w:id="15" w:name="Tc_J2MiMRpmKkqqSL-tewbx7A_1_0"/>
      <w:bookmarkStart w:id="16" w:name="_5d72f356_fac6_432c_8574_87c4b01e1a4f"/>
      <w:bookmarkEnd w:id="13"/>
      <w:bookmarkEnd w:id="14"/>
      <w:bookmarkEnd w:id="15"/>
      <w:bookmarkEnd w:id="16"/>
    </w:p>
    <w:tbl>
      <w:tblPr>
        <w:tblW w:w="8268" w:type="dxa"/>
        <w:jc w:val="left"/>
        <w:tblInd w:w="0" w:type="dxa"/>
        <w:tblCellMar>
          <w:top w:w="0" w:type="dxa"/>
          <w:left w:w="0" w:type="dxa"/>
          <w:bottom w:w="0" w:type="dxa"/>
          <w:right w:w="0" w:type="dxa"/>
        </w:tblCellMar>
      </w:tblPr>
      <w:tblGrid>
        <w:gridCol w:w="2941"/>
        <w:gridCol w:w="1621"/>
        <w:gridCol w:w="3706"/>
      </w:tblGrid>
      <w:tr>
        <w:trPr/>
        <w:tc>
          <w:tcPr>
            <w:tcW w:w="2941" w:type="dxa"/>
            <w:tcBorders/>
            <w:shd w:fill="auto" w:val="clear"/>
            <w:vAlign w:val="center"/>
          </w:tcPr>
          <w:p>
            <w:pPr>
              <w:pStyle w:val="TableContents"/>
              <w:spacing w:before="0" w:after="0"/>
              <w:ind w:left="0" w:right="0" w:hanging="0"/>
              <w:rPr/>
            </w:pPr>
            <w:r>
              <w:rPr/>
              <w:t>​</w:t>
            </w:r>
          </w:p>
        </w:tc>
        <w:tc>
          <w:tcPr>
            <w:tcW w:w="1621" w:type="dxa"/>
            <w:tcBorders/>
            <w:shd w:fill="auto" w:val="clear"/>
            <w:vAlign w:val="center"/>
          </w:tcPr>
          <w:p>
            <w:pPr>
              <w:pStyle w:val="TableContents"/>
              <w:spacing w:before="0" w:after="0"/>
              <w:ind w:left="0" w:right="0" w:hanging="0"/>
              <w:rPr/>
            </w:pPr>
            <w:r>
              <w:rPr/>
              <w:t>​</w:t>
            </w:r>
          </w:p>
        </w:tc>
        <w:tc>
          <w:tcPr>
            <w:tcW w:w="3706" w:type="dxa"/>
            <w:tcBorders/>
            <w:shd w:fill="auto" w:val="clear"/>
            <w:vAlign w:val="center"/>
          </w:tcPr>
          <w:p>
            <w:pPr>
              <w:pStyle w:val="TableContents"/>
              <w:spacing w:before="0" w:after="0"/>
              <w:ind w:left="0" w:right="0" w:hanging="0"/>
              <w:rPr/>
            </w:pPr>
            <w:r>
              <w:rPr/>
              <w:t>​</w:t>
            </w:r>
          </w:p>
        </w:tc>
      </w:tr>
      <w:tr>
        <w:trPr/>
        <w:tc>
          <w:tcPr>
            <w:tcW w:w="294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94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par value $0.0001</w:t>
            </w:r>
          </w:p>
        </w:tc>
        <w:tc>
          <w:tcPr>
            <w:tcW w:w="162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MRAM</w:t>
            </w:r>
          </w:p>
        </w:tc>
        <w:tc>
          <w:tcPr>
            <w:tcW w:w="370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Nasdaq Stock Market LLC</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20"/>
        </w:rPr>
        <w:t>YES</w:t>
      </w:r>
      <w:r>
        <w:rPr>
          <w:rFonts w:ascii="Times New Roman;Times;serif" w:hAnsi="Times New Roman;Times;serif"/>
          <w:sz w:val="20"/>
        </w:rPr>
        <w:t>  ☒    NO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b w:val="false"/>
          <w:i w:val="false"/>
          <w:caps w:val="false"/>
          <w:smallCaps w:val="false"/>
          <w:sz w:val="20"/>
        </w:rPr>
        <w:t>YES</w:t>
      </w:r>
      <w:r>
        <w:rPr>
          <w:rFonts w:ascii="Times New Roman;Times;serif" w:hAnsi="Times New Roman;Times;serif"/>
          <w:sz w:val="20"/>
        </w:rPr>
        <w:t>  ☒    NO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Normal"/>
        <w:spacing w:before="0" w:after="0"/>
        <w:rPr>
          <w:sz w:val="4"/>
          <w:szCs w:val="4"/>
        </w:rPr>
      </w:pPr>
      <w:r>
        <w:rPr>
          <w:sz w:val="4"/>
          <w:szCs w:val="4"/>
        </w:rPr>
      </w:r>
      <w:bookmarkStart w:id="17" w:name="Tc_iI8GMDGXuUqzFVWK8KzbWg_3_3"/>
      <w:bookmarkStart w:id="18" w:name="Tc_JxYRE2qdVEWOSILLmPuh_A_2_3"/>
      <w:bookmarkStart w:id="19" w:name="Tc_aKcj5qoKeUuDj9eZuRc_4w_2_1"/>
      <w:bookmarkStart w:id="20" w:name="Tc_kpGAN2OCck2FWCZTqzEBVA_1_4"/>
      <w:bookmarkStart w:id="21" w:name="Tc_CUekXnnGG0KW_wcEmZGxbA_1_3"/>
      <w:bookmarkStart w:id="22" w:name="Tc_xA8d7UMwdEeHeoLJUgcUAg_1_1"/>
      <w:bookmarkStart w:id="23" w:name="Tc_mK9IhZ_VBUuFIJs5HsHcnA_1_0"/>
      <w:bookmarkStart w:id="24" w:name="_5df4ac10_8332_4c12_8a20_4ba9032d37ec"/>
      <w:bookmarkStart w:id="25" w:name="Tc_iI8GMDGXuUqzFVWK8KzbWg_3_3"/>
      <w:bookmarkStart w:id="26" w:name="Tc_JxYRE2qdVEWOSILLmPuh_A_2_3"/>
      <w:bookmarkStart w:id="27" w:name="Tc_aKcj5qoKeUuDj9eZuRc_4w_2_1"/>
      <w:bookmarkStart w:id="28" w:name="Tc_kpGAN2OCck2FWCZTqzEBVA_1_4"/>
      <w:bookmarkStart w:id="29" w:name="Tc_CUekXnnGG0KW_wcEmZGxbA_1_3"/>
      <w:bookmarkStart w:id="30" w:name="Tc_xA8d7UMwdEeHeoLJUgcUAg_1_1"/>
      <w:bookmarkStart w:id="31" w:name="Tc_mK9IhZ_VBUuFIJs5HsHcnA_1_0"/>
      <w:bookmarkStart w:id="32" w:name="_5df4ac10_8332_4c12_8a20_4ba9032d37ec"/>
      <w:bookmarkEnd w:id="25"/>
      <w:bookmarkEnd w:id="26"/>
      <w:bookmarkEnd w:id="27"/>
      <w:bookmarkEnd w:id="28"/>
      <w:bookmarkEnd w:id="29"/>
      <w:bookmarkEnd w:id="30"/>
      <w:bookmarkEnd w:id="31"/>
      <w:bookmarkEnd w:id="32"/>
    </w:p>
    <w:tbl>
      <w:tblPr>
        <w:tblW w:w="5138" w:type="dxa"/>
        <w:jc w:val="left"/>
        <w:tblInd w:w="0" w:type="dxa"/>
        <w:tblCellMar>
          <w:top w:w="0" w:type="dxa"/>
          <w:left w:w="0" w:type="dxa"/>
          <w:bottom w:w="0" w:type="dxa"/>
          <w:right w:w="0" w:type="dxa"/>
        </w:tblCellMar>
      </w:tblPr>
      <w:tblGrid>
        <w:gridCol w:w="1921"/>
        <w:gridCol w:w="436"/>
        <w:gridCol w:w="109"/>
        <w:gridCol w:w="2311"/>
        <w:gridCol w:w="361"/>
      </w:tblGrid>
      <w:tr>
        <w:trPr/>
        <w:tc>
          <w:tcPr>
            <w:tcW w:w="192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1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Large accelerated filer</w:t>
            </w:r>
          </w:p>
        </w:tc>
        <w:tc>
          <w:tcPr>
            <w:tcW w:w="436" w:type="dxa"/>
            <w:tcBorders/>
            <w:shd w:fill="auto" w:val="clear"/>
            <w:vAlign w:val="center"/>
          </w:tcPr>
          <w:p>
            <w:pPr>
              <w:pStyle w:val="TableContents"/>
              <w:spacing w:before="0" w:after="0"/>
              <w:ind w:left="0" w:right="0" w:hanging="0"/>
              <w:rPr>
                <w:caps/>
              </w:rPr>
            </w:pPr>
            <w:r>
              <w:rPr>
                <w:caps/>
              </w:rPr>
              <w:t>☐</w:t>
            </w:r>
          </w:p>
        </w:tc>
        <w:tc>
          <w:tcPr>
            <w:tcW w:w="109"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Accelerated filer</w:t>
            </w:r>
          </w:p>
        </w:tc>
        <w:tc>
          <w:tcPr>
            <w:tcW w:w="361" w:type="dxa"/>
            <w:tcBorders/>
            <w:shd w:fill="auto" w:val="clear"/>
            <w:vAlign w:val="center"/>
          </w:tcPr>
          <w:p>
            <w:pPr>
              <w:pStyle w:val="TableContents"/>
              <w:spacing w:before="0" w:after="0"/>
              <w:ind w:left="0" w:right="0" w:hanging="0"/>
              <w:jc w:val="right"/>
              <w:rPr>
                <w:caps/>
              </w:rPr>
            </w:pPr>
            <w:r>
              <w:rPr>
                <w:caps/>
              </w:rPr>
              <w:t>☐</w:t>
            </w:r>
          </w:p>
        </w:tc>
      </w:tr>
      <w:tr>
        <w:trPr/>
        <w:tc>
          <w:tcPr>
            <w:tcW w:w="1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Non-accelerated filer</w:t>
            </w:r>
          </w:p>
        </w:tc>
        <w:tc>
          <w:tcPr>
            <w:tcW w:w="436" w:type="dxa"/>
            <w:tcBorders/>
            <w:shd w:fill="auto" w:val="clear"/>
            <w:vAlign w:val="center"/>
          </w:tcPr>
          <w:p>
            <w:pPr>
              <w:pStyle w:val="TableContents"/>
              <w:spacing w:before="0" w:after="0"/>
              <w:ind w:left="0" w:right="0" w:hanging="0"/>
              <w:rPr/>
            </w:pPr>
            <w:r>
              <w:rPr>
                <w:caps/>
              </w:rPr>
              <w:t>☒</w:t>
            </w:r>
            <w:r>
              <w:rPr/>
              <w:t>  </w:t>
            </w:r>
          </w:p>
        </w:tc>
        <w:tc>
          <w:tcPr>
            <w:tcW w:w="109"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Smaller reporting company</w:t>
            </w:r>
          </w:p>
        </w:tc>
        <w:tc>
          <w:tcPr>
            <w:tcW w:w="361" w:type="dxa"/>
            <w:tcBorders/>
            <w:shd w:fill="auto" w:val="clear"/>
            <w:vAlign w:val="center"/>
          </w:tcPr>
          <w:p>
            <w:pPr>
              <w:pStyle w:val="TableContents"/>
              <w:spacing w:before="0" w:after="0"/>
              <w:ind w:left="0" w:right="0" w:hanging="0"/>
              <w:jc w:val="right"/>
              <w:rPr>
                <w:caps/>
              </w:rPr>
            </w:pPr>
            <w:r>
              <w:rPr>
                <w:caps/>
              </w:rPr>
              <w:t>☒</w:t>
            </w:r>
          </w:p>
        </w:tc>
      </w:tr>
      <w:tr>
        <w:trPr/>
        <w:tc>
          <w:tcPr>
            <w:tcW w:w="192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Emerging growth company</w:t>
            </w:r>
          </w:p>
        </w:tc>
        <w:tc>
          <w:tcPr>
            <w:tcW w:w="361" w:type="dxa"/>
            <w:tcBorders/>
            <w:shd w:fill="auto" w:val="clear"/>
            <w:vAlign w:val="center"/>
          </w:tcPr>
          <w:p>
            <w:pPr>
              <w:pStyle w:val="TableContents"/>
              <w:spacing w:before="0" w:after="0"/>
              <w:ind w:left="0" w:right="0" w:hanging="0"/>
              <w:jc w:val="right"/>
              <w:rPr>
                <w:caps/>
              </w:rPr>
            </w:pPr>
            <w:r>
              <w:rPr>
                <w:caps/>
              </w:rPr>
              <w:t>☐</w:t>
            </w:r>
          </w:p>
        </w:tc>
      </w:tr>
    </w:tbl>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9844"/>
        <w:gridCol w:w="361"/>
      </w:tblGrid>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98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61" w:type="dxa"/>
            <w:tcBorders/>
            <w:shd w:fill="auto" w:val="clear"/>
            <w:vAlign w:val="center"/>
          </w:tcPr>
          <w:p>
            <w:pPr>
              <w:pStyle w:val="TableContents"/>
              <w:spacing w:before="0" w:after="0"/>
              <w:ind w:left="0" w:right="0" w:hanging="0"/>
              <w:jc w:val="right"/>
              <w:rPr>
                <w:caps/>
              </w:rPr>
            </w:pPr>
            <w:r>
              <w:rPr>
                <w:caps/>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number of shares of the Registrant’s Common Stock outstanding as of May 9, 2022, was 20,033,377.</w:t>
      </w:r>
    </w:p>
    <w:p>
      <w:pPr>
        <w:pStyle w:val="TextBody"/>
        <w:spacing w:before="0" w:after="0"/>
        <w:ind w:left="0" w:right="0" w:hanging="0"/>
        <w:rPr/>
      </w:pPr>
      <w:r>
        <w:rPr/>
        <w:t>​</w:t>
      </w:r>
    </w:p>
    <w:p>
      <w:pPr>
        <w:pStyle w:val="TextBody"/>
        <w:pBdr>
          <w:bottom w:val="single" w:sz="8" w:space="1" w:color="000000"/>
        </w:pBdr>
        <w:spacing w:before="0" w:after="0"/>
        <w:ind w:left="0" w:right="0" w:hanging="0"/>
        <w:rPr>
          <w:bdr w:val="single" w:sz="24" w:space="1" w:color="000000"/>
        </w:rPr>
      </w:pPr>
      <w:r>
        <w:rPr>
          <w:bdr w:val="single" w:sz="24" w:space="1" w:color="000000"/>
        </w:rPr>
        <w:t>​</w:t>
      </w:r>
    </w:p>
    <w:p>
      <w:pPr>
        <w:pStyle w:val="TextBody"/>
        <w:spacing w:before="0" w:after="0"/>
        <w:ind w:left="0" w:right="0" w:hanging="0"/>
        <w:rPr/>
      </w:pPr>
      <w:r>
        <w:rPr/>
        <w:t>​</w:t>
      </w:r>
    </w:p>
    <w:p>
      <w:pPr>
        <w:pStyle w:val="TextBody"/>
        <w:spacing w:before="240" w:after="288"/>
        <w:ind w:left="0" w:right="0" w:hanging="0"/>
        <w:rPr/>
      </w:pPr>
      <w:r>
        <w:rPr/>
        <w:t>​</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3" w:name="Toc"/>
      <w:bookmarkStart w:id="34" w:name="_6faf81b2_fb37_423d_9d69_090c99a21445"/>
      <w:bookmarkEnd w:id="33"/>
      <w:bookmarkEnd w:id="34"/>
      <w:r>
        <w:rPr>
          <w:rFonts w:ascii="Times New Roman;Times;serif" w:hAnsi="Times New Roman;Times;serif"/>
          <w:b/>
          <w:sz w:val="20"/>
        </w:rPr>
        <w:t>Table of Contents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811"/>
        <w:gridCol w:w="326"/>
        <w:gridCol w:w="8557"/>
        <w:gridCol w:w="511"/>
      </w:tblGrid>
      <w:tr>
        <w:trPr/>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14985" cy="175260"/>
                      <wp:effectExtent l="0" t="0" r="0" b="0"/>
                      <wp:wrapNone/>
                      <wp:docPr id="4" name="Frame4"/>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433695" cy="175260"/>
                      <wp:effectExtent l="0" t="0" r="0" b="0"/>
                      <wp:wrapNone/>
                      <wp:docPr id="6" name="Frame6"/>
                      <a:graphic xmlns:a="http://schemas.openxmlformats.org/drawingml/2006/main">
                        <a:graphicData uri="http://schemas.microsoft.com/office/word/2010/wordprocessingShape">
                          <wps:wsp>
                            <wps:cNvSpPr txBox="1"/>
                            <wps:spPr>
                              <a:xfrm>
                                <a:off x="0" y="0"/>
                                <a:ext cx="5433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24485" cy="175260"/>
                      <wp:effectExtent l="0" t="0" r="0" b="0"/>
                      <wp:wrapNone/>
                      <wp:docPr id="7" name="Frame7"/>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11"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    </w:t>
            </w:r>
          </w:p>
        </w:tc>
        <w:tc>
          <w:tcPr>
            <w:tcW w:w="8557" w:type="dxa"/>
            <w:tcBorders/>
            <w:shd w:fill="FFFFFF" w:val="clear"/>
            <w:vAlign w:val="center"/>
          </w:tcPr>
          <w:p>
            <w:pPr>
              <w:pStyle w:val="TableContents"/>
              <w:spacing w:before="0" w:after="0"/>
              <w:ind w:left="0" w:right="0" w:hanging="0"/>
              <w:jc w:val="right"/>
              <w:rPr/>
            </w:pPr>
            <w:r>
              <w:rPr/>
              <w:t>​</w:t>
            </w:r>
          </w:p>
        </w:tc>
        <w:tc>
          <w:tcPr>
            <w:tcW w:w="511"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jc w:val="center"/>
              <w:rPr/>
            </w:pPr>
            <w:hyperlink w:anchor="PARTIFINANCIALINFORMATION_281546">
              <w:r>
                <w:rPr>
                  <w:rStyle w:val="InternetLink"/>
                  <w:rFonts w:ascii="Times New Roman;Times;serif" w:hAnsi="Times New Roman;Times;serif"/>
                  <w:b/>
                  <w:i w:val="false"/>
                  <w:caps w:val="false"/>
                  <w:smallCaps w:val="false"/>
                  <w:sz w:val="20"/>
                </w:rPr>
                <w:t>PART I—FINANCIAL INFORMATION</w:t>
              </w:r>
            </w:hyperlink>
          </w:p>
        </w:tc>
        <w:tc>
          <w:tcPr>
            <w:tcW w:w="511" w:type="dxa"/>
            <w:tcBorders>
              <w:top w:val="single" w:sz="2" w:space="0" w:color="000000"/>
            </w:tcBorders>
            <w:shd w:fill="FFFFFF" w:val="clear"/>
            <w:tcMar>
              <w:top w:w="28" w:type="dxa"/>
            </w:tcMar>
            <w:vAlign w:val="center"/>
          </w:tcPr>
          <w:p>
            <w:pPr>
              <w:pStyle w:val="TableContents"/>
              <w:spacing w:before="0" w:after="0"/>
              <w:ind w:left="0" w:right="0" w:hanging="0"/>
              <w:jc w:val="right"/>
              <w:rPr/>
            </w:pPr>
            <w:r>
              <w:rPr/>
              <w:t>​</w:t>
            </w:r>
          </w:p>
        </w:tc>
      </w:tr>
      <w:tr>
        <w:trPr/>
        <w:tc>
          <w:tcPr>
            <w:tcW w:w="811" w:type="dxa"/>
            <w:tcBorders/>
            <w:shd w:fill="FFFFFF" w:val="clear"/>
            <w:vAlign w:val="center"/>
          </w:tcPr>
          <w:p>
            <w:pPr>
              <w:pStyle w:val="TableContents"/>
              <w:spacing w:before="0" w:after="0"/>
              <w:ind w:left="0" w:right="0" w:hanging="0"/>
              <w:rPr/>
            </w:pPr>
            <w:hyperlink w:anchor="Item1FinancialStatements_948513">
              <w:r>
                <w:rPr>
                  <w:rStyle w:val="InternetLink"/>
                  <w:rFonts w:ascii="Times New Roman;Times;serif" w:hAnsi="Times New Roman;Times;serif"/>
                  <w:b w:val="false"/>
                  <w:i w:val="false"/>
                  <w:caps w:val="false"/>
                  <w:smallCaps w:val="false"/>
                  <w:sz w:val="20"/>
                </w:rPr>
                <w:t>Item 1.</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1FinancialStatements_948513">
              <w:r>
                <w:rPr>
                  <w:rStyle w:val="InternetLink"/>
                  <w:rFonts w:ascii="Times New Roman;Times;serif" w:hAnsi="Times New Roman;Times;serif"/>
                  <w:b w:val="false"/>
                  <w:i w:val="false"/>
                  <w:caps w:val="false"/>
                  <w:smallCaps w:val="false"/>
                  <w:sz w:val="20"/>
                </w:rPr>
                <w:t>Financial Statements</w:t>
              </w:r>
            </w:hyperlink>
            <w:r>
              <w:rPr>
                <w:rFonts w:ascii="Times New Roman;Times;serif" w:hAnsi="Times New Roman;Times;serif"/>
                <w:sz w:val="20"/>
              </w:rPr>
              <w:t xml:space="preserve">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CondensedBalanceSheets_39405">
              <w:r>
                <w:rPr>
                  <w:rStyle w:val="InternetLink"/>
                  <w:rFonts w:ascii="Times New Roman;Times;serif" w:hAnsi="Times New Roman;Times;serif"/>
                  <w:b w:val="false"/>
                  <w:i w:val="false"/>
                  <w:caps w:val="false"/>
                  <w:smallCaps w:val="false"/>
                  <w:sz w:val="20"/>
                </w:rPr>
                <w:t xml:space="preserve">Condensed Balance Sheets as of March 31, 2022 (unaudited) and December 31, 2021 </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pBdr/>
              <w:spacing w:before="0" w:after="0"/>
              <w:ind w:left="0" w:right="0" w:hanging="0"/>
              <w:rPr/>
            </w:pPr>
            <w:hyperlink w:anchor="CondensedStatementsofOperations_54799">
              <w:r>
                <w:rPr>
                  <w:rStyle w:val="InternetLink"/>
                  <w:rFonts w:ascii="Times New Roman;Times;serif" w:hAnsi="Times New Roman;Times;serif"/>
                  <w:b w:val="false"/>
                  <w:i w:val="false"/>
                  <w:caps w:val="false"/>
                  <w:smallCaps w:val="false"/>
                  <w:sz w:val="20"/>
                </w:rPr>
                <w:t xml:space="preserve">Condensed Statements of Operations and Comprehensive Income (Loss) for the three months ended March 31, 2022 and 2021 (unaudited) </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pBdr/>
              <w:spacing w:before="0" w:after="0"/>
              <w:ind w:left="0" w:right="0" w:hanging="0"/>
              <w:rPr/>
            </w:pPr>
            <w:hyperlink w:anchor="CondensedStatementofStockholdersEquity">
              <w:r>
                <w:rPr>
                  <w:rStyle w:val="InternetLink"/>
                  <w:rFonts w:ascii="Times New Roman;Times;serif" w:hAnsi="Times New Roman;Times;serif"/>
                  <w:b w:val="false"/>
                  <w:i w:val="false"/>
                  <w:caps w:val="false"/>
                  <w:smallCaps w:val="false"/>
                  <w:sz w:val="20"/>
                </w:rPr>
                <w:t>Condensed Statements of Stockholders’ Equity for the three months ended March 31, 2022 and 2021 (unaudited)</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pBdr/>
              <w:spacing w:before="0" w:after="0"/>
              <w:ind w:left="0" w:right="0" w:hanging="0"/>
              <w:rPr/>
            </w:pPr>
            <w:hyperlink w:anchor="CondensedStatementofCashFlows_267055">
              <w:r>
                <w:rPr>
                  <w:rStyle w:val="InternetLink"/>
                  <w:rFonts w:ascii="Times New Roman;Times;serif" w:hAnsi="Times New Roman;Times;serif"/>
                  <w:b w:val="false"/>
                  <w:i w:val="false"/>
                  <w:caps w:val="false"/>
                  <w:smallCaps w:val="false"/>
                  <w:sz w:val="20"/>
                </w:rPr>
                <w:t xml:space="preserve">Condensed Statements of Cash Flows for the three months ended March 31, 2022 and 2021 (unaudited) </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NotestoCondensedFinancialStatements_2159">
              <w:r>
                <w:rPr>
                  <w:rStyle w:val="InternetLink"/>
                  <w:rFonts w:ascii="Times New Roman;Times;serif" w:hAnsi="Times New Roman;Times;serif"/>
                  <w:b w:val="false"/>
                  <w:i w:val="false"/>
                  <w:caps w:val="false"/>
                  <w:smallCaps w:val="false"/>
                  <w:sz w:val="20"/>
                </w:rPr>
                <w:t>Notes to Condensed Financial Statements (unaudited)</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shd w:fill="FFFFFF" w:val="clear"/>
            <w:vAlign w:val="center"/>
          </w:tcPr>
          <w:p>
            <w:pPr>
              <w:pStyle w:val="TableContents"/>
              <w:spacing w:before="0" w:after="0"/>
              <w:ind w:left="0" w:right="0" w:hanging="0"/>
              <w:rPr/>
            </w:pPr>
            <w:hyperlink w:anchor="Item2ManagementsDiscussionandAnalysis_57">
              <w:r>
                <w:rPr>
                  <w:rStyle w:val="InternetLink"/>
                  <w:rFonts w:ascii="Times New Roman;Times;serif" w:hAnsi="Times New Roman;Times;serif"/>
                  <w:b w:val="false"/>
                  <w:i w:val="false"/>
                  <w:caps w:val="false"/>
                  <w:smallCaps w:val="false"/>
                  <w:sz w:val="20"/>
                </w:rPr>
                <w:t>Item 2.</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2ManagementsDiscussionandAnalysis_5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shd w:fill="FFFFFF" w:val="clear"/>
            <w:vAlign w:val="center"/>
          </w:tcPr>
          <w:p>
            <w:pPr>
              <w:pStyle w:val="TableContents"/>
              <w:spacing w:before="0" w:after="0"/>
              <w:ind w:left="0" w:right="0" w:hanging="0"/>
              <w:rPr/>
            </w:pPr>
            <w:hyperlink w:anchor="Item3QuantitativeandQualitative_750559">
              <w:r>
                <w:rPr>
                  <w:rStyle w:val="InternetLink"/>
                  <w:rFonts w:ascii="Times New Roman;Times;serif" w:hAnsi="Times New Roman;Times;serif"/>
                  <w:b w:val="false"/>
                  <w:i w:val="false"/>
                  <w:caps w:val="false"/>
                  <w:smallCaps w:val="false"/>
                  <w:sz w:val="20"/>
                </w:rPr>
                <w:t>Item 3.</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3QuantitativeandQualitative_75055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spacing w:before="0" w:after="0"/>
              <w:ind w:left="0" w:right="0" w:hanging="0"/>
              <w:rPr/>
            </w:pPr>
            <w:hyperlink w:anchor="Item4ControlsandProcedures_982311">
              <w:r>
                <w:rPr>
                  <w:rStyle w:val="InternetLink"/>
                  <w:rFonts w:ascii="Times New Roman;Times;serif" w:hAnsi="Times New Roman;Times;serif"/>
                  <w:b w:val="false"/>
                  <w:i w:val="false"/>
                  <w:caps w:val="false"/>
                  <w:smallCaps w:val="false"/>
                  <w:sz w:val="20"/>
                </w:rPr>
                <w:t>Item 4.</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4ControlsandProcedures_982311">
              <w:r>
                <w:rPr>
                  <w:rStyle w:val="InternetLink"/>
                  <w:rFonts w:ascii="Times New Roman;Times;serif" w:hAnsi="Times New Roman;Times;serif"/>
                  <w:b w:val="false"/>
                  <w:i w:val="false"/>
                  <w:caps w:val="false"/>
                  <w:smallCaps w:val="false"/>
                  <w:sz w:val="20"/>
                </w:rPr>
                <w:t>Controls and Procedures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811"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jc w:val="center"/>
              <w:rPr/>
            </w:pPr>
            <w:hyperlink w:anchor="PARTIIOTHERINFORMATION_746009">
              <w:r>
                <w:rPr>
                  <w:rStyle w:val="InternetLink"/>
                  <w:rFonts w:ascii="Times New Roman;Times;serif" w:hAnsi="Times New Roman;Times;serif"/>
                  <w:b/>
                  <w:i w:val="false"/>
                  <w:caps w:val="false"/>
                  <w:smallCaps w:val="false"/>
                  <w:sz w:val="20"/>
                </w:rPr>
                <w:t>PART II—OTHER INFORMATION</w:t>
              </w:r>
            </w:hyperlink>
          </w:p>
        </w:tc>
        <w:tc>
          <w:tcPr>
            <w:tcW w:w="511" w:type="dxa"/>
            <w:tcBorders/>
            <w:shd w:fill="auto" w:val="clear"/>
            <w:vAlign w:val="center"/>
          </w:tcPr>
          <w:p>
            <w:pPr>
              <w:pStyle w:val="TableContents"/>
              <w:spacing w:before="0" w:after="0"/>
              <w:ind w:left="0" w:right="0" w:hanging="0"/>
              <w:jc w:val="right"/>
              <w:rPr/>
            </w:pPr>
            <w:r>
              <w:rPr/>
              <w:t>​</w:t>
            </w:r>
          </w:p>
        </w:tc>
      </w:tr>
      <w:tr>
        <w:trPr/>
        <w:tc>
          <w:tcPr>
            <w:tcW w:w="811" w:type="dxa"/>
            <w:tcBorders/>
            <w:shd w:fill="FFFFFF" w:val="clear"/>
            <w:vAlign w:val="center"/>
          </w:tcPr>
          <w:p>
            <w:pPr>
              <w:pStyle w:val="TableContents"/>
              <w:spacing w:before="0" w:after="0"/>
              <w:ind w:left="0" w:right="0" w:hanging="0"/>
              <w:rPr/>
            </w:pPr>
            <w:hyperlink w:anchor="ITEM1Legalproceedings_813693">
              <w:r>
                <w:rPr>
                  <w:rStyle w:val="InternetLink"/>
                  <w:rFonts w:ascii="Times New Roman;Times;serif" w:hAnsi="Times New Roman;Times;serif"/>
                  <w:b w:val="false"/>
                  <w:i w:val="false"/>
                  <w:caps w:val="false"/>
                  <w:smallCaps w:val="false"/>
                  <w:sz w:val="20"/>
                </w:rPr>
                <w:t>Item 1.</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pBdr/>
              <w:spacing w:before="0" w:after="0"/>
              <w:ind w:left="0" w:right="0" w:hanging="0"/>
              <w:rPr/>
            </w:pPr>
            <w:hyperlink w:anchor="ITEM1Legalproceedings_813693">
              <w:r>
                <w:rPr>
                  <w:rStyle w:val="InternetLink"/>
                  <w:rFonts w:ascii="Times New Roman;Times;serif" w:hAnsi="Times New Roman;Times;serif"/>
                  <w:b w:val="false"/>
                  <w:i w:val="false"/>
                  <w:caps w:val="false"/>
                  <w:smallCaps w:val="false"/>
                  <w:sz w:val="20"/>
                </w:rPr>
                <w:t>Legal Proceedings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shd w:fill="FFFFFF" w:val="clear"/>
            <w:vAlign w:val="center"/>
          </w:tcPr>
          <w:p>
            <w:pPr>
              <w:pStyle w:val="TableContents"/>
              <w:spacing w:before="0" w:after="0"/>
              <w:ind w:left="0" w:right="0" w:hanging="0"/>
              <w:rPr/>
            </w:pPr>
            <w:hyperlink w:anchor="ITEM1ARiskfactors_980973">
              <w:r>
                <w:rPr>
                  <w:rStyle w:val="InternetLink"/>
                  <w:rFonts w:ascii="Times New Roman;Times;serif" w:hAnsi="Times New Roman;Times;serif"/>
                  <w:b w:val="false"/>
                  <w:i w:val="false"/>
                  <w:caps w:val="false"/>
                  <w:smallCaps w:val="false"/>
                  <w:sz w:val="20"/>
                </w:rPr>
                <w:t>Item 1A.</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1ARiskfactors_980973">
              <w:r>
                <w:rPr>
                  <w:rStyle w:val="InternetLink"/>
                  <w:rFonts w:ascii="Times New Roman;Times;serif" w:hAnsi="Times New Roman;Times;serif"/>
                  <w:b w:val="false"/>
                  <w:i w:val="false"/>
                  <w:caps w:val="false"/>
                  <w:smallCaps w:val="false"/>
                  <w:sz w:val="20"/>
                </w:rPr>
                <w:t>Risk Factors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shd w:fill="FFFFFF" w:val="clear"/>
            <w:vAlign w:val="center"/>
          </w:tcPr>
          <w:p>
            <w:pPr>
              <w:pStyle w:val="TableContents"/>
              <w:spacing w:before="0" w:after="0"/>
              <w:ind w:left="0" w:right="0" w:hanging="0"/>
              <w:rPr/>
            </w:pPr>
            <w:hyperlink w:anchor="Item2RecentSalesofUnregisteredSecurities">
              <w:r>
                <w:rPr>
                  <w:rStyle w:val="InternetLink"/>
                  <w:rFonts w:ascii="Times New Roman;Times;serif" w:hAnsi="Times New Roman;Times;serif"/>
                  <w:b w:val="false"/>
                  <w:i w:val="false"/>
                  <w:caps w:val="false"/>
                  <w:smallCaps w:val="false"/>
                  <w:sz w:val="20"/>
                </w:rPr>
                <w:t>Item 2.</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2RecentSalesofUnregistered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shd w:fill="FFFFFF" w:val="clear"/>
            <w:vAlign w:val="center"/>
          </w:tcPr>
          <w:p>
            <w:pPr>
              <w:pStyle w:val="TableContents"/>
              <w:spacing w:before="0" w:after="0"/>
              <w:ind w:left="0" w:right="0" w:hanging="0"/>
              <w:rPr/>
            </w:pPr>
            <w:hyperlink w:anchor="Item3DefaultsUponSeniorSecurities_22642">
              <w:r>
                <w:rPr>
                  <w:rStyle w:val="InternetLink"/>
                  <w:rFonts w:ascii="Times New Roman;Times;serif" w:hAnsi="Times New Roman;Times;serif"/>
                  <w:b w:val="false"/>
                  <w:i w:val="false"/>
                  <w:caps w:val="false"/>
                  <w:smallCaps w:val="false"/>
                  <w:sz w:val="20"/>
                </w:rPr>
                <w:t>Item 3.</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3DefaultsUponSeniorSecurities_22642">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shd w:fill="FFFFFF" w:val="clear"/>
            <w:vAlign w:val="center"/>
          </w:tcPr>
          <w:p>
            <w:pPr>
              <w:pStyle w:val="TableContents"/>
              <w:spacing w:before="0" w:after="0"/>
              <w:ind w:left="0" w:right="0" w:hanging="0"/>
              <w:rPr/>
            </w:pPr>
            <w:hyperlink w:anchor="Item4MineSafetyDisclosures_74296">
              <w:r>
                <w:rPr>
                  <w:rStyle w:val="InternetLink"/>
                  <w:rFonts w:ascii="Times New Roman;Times;serif" w:hAnsi="Times New Roman;Times;serif"/>
                  <w:b w:val="false"/>
                  <w:i w:val="false"/>
                  <w:caps w:val="false"/>
                  <w:smallCaps w:val="false"/>
                  <w:sz w:val="20"/>
                </w:rPr>
                <w:t>Item 4.</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4MineSafetyDisclosures_74296">
              <w:r>
                <w:rPr>
                  <w:rStyle w:val="InternetLink"/>
                  <w:rFonts w:ascii="Times New Roman;Times;serif" w:hAnsi="Times New Roman;Times;serif"/>
                  <w:b w:val="false"/>
                  <w:i w:val="false"/>
                  <w:caps w:val="false"/>
                  <w:smallCaps w:val="false"/>
                  <w:sz w:val="20"/>
                </w:rPr>
                <w:t>Mine Safety Disclosures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shd w:fill="FFFFFF" w:val="clear"/>
            <w:vAlign w:val="center"/>
          </w:tcPr>
          <w:p>
            <w:pPr>
              <w:pStyle w:val="TableContents"/>
              <w:spacing w:before="0" w:after="0"/>
              <w:ind w:left="0" w:right="0" w:hanging="0"/>
              <w:rPr/>
            </w:pPr>
            <w:hyperlink w:anchor="Item5OtherInformation_766060">
              <w:r>
                <w:rPr>
                  <w:rStyle w:val="InternetLink"/>
                  <w:rFonts w:ascii="Times New Roman;Times;serif" w:hAnsi="Times New Roman;Times;serif"/>
                  <w:b w:val="false"/>
                  <w:i w:val="false"/>
                  <w:caps w:val="false"/>
                  <w:smallCaps w:val="false"/>
                  <w:sz w:val="20"/>
                </w:rPr>
                <w:t>Item 5.</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5OtherInformation_766060">
              <w:r>
                <w:rPr>
                  <w:rStyle w:val="InternetLink"/>
                  <w:rFonts w:ascii="Times New Roman;Times;serif" w:hAnsi="Times New Roman;Times;serif"/>
                  <w:b w:val="false"/>
                  <w:i w:val="false"/>
                  <w:caps w:val="false"/>
                  <w:smallCaps w:val="false"/>
                  <w:sz w:val="20"/>
                </w:rPr>
                <w:t>Other Information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shd w:fill="FFFFFF" w:val="clear"/>
            <w:vAlign w:val="center"/>
          </w:tcPr>
          <w:p>
            <w:pPr>
              <w:pStyle w:val="TableContents"/>
              <w:spacing w:before="0" w:after="0"/>
              <w:ind w:left="0" w:right="0" w:hanging="0"/>
              <w:rPr/>
            </w:pPr>
            <w:hyperlink w:anchor="Item6Exhibits_873093">
              <w:r>
                <w:rPr>
                  <w:rStyle w:val="InternetLink"/>
                  <w:rFonts w:ascii="Times New Roman;Times;serif" w:hAnsi="Times New Roman;Times;serif"/>
                  <w:b w:val="false"/>
                  <w:i w:val="false"/>
                  <w:caps w:val="false"/>
                  <w:smallCaps w:val="false"/>
                  <w:sz w:val="20"/>
                </w:rPr>
                <w:t>Item 6.</w:t>
              </w:r>
            </w:hyperlink>
          </w:p>
        </w:tc>
        <w:tc>
          <w:tcPr>
            <w:tcW w:w="326" w:type="dxa"/>
            <w:tcBorders/>
            <w:shd w:fill="FFFFFF" w:val="clear"/>
            <w:vAlign w:val="center"/>
          </w:tcPr>
          <w:p>
            <w:pPr>
              <w:pStyle w:val="TableContents"/>
              <w:spacing w:before="0" w:after="0"/>
              <w:ind w:left="0" w:right="0" w:hanging="0"/>
              <w:jc w:val="center"/>
              <w:rPr/>
            </w:pPr>
            <w:r>
              <w:rPr/>
              <w:t>​</w:t>
            </w:r>
          </w:p>
        </w:tc>
        <w:tc>
          <w:tcPr>
            <w:tcW w:w="8557" w:type="dxa"/>
            <w:tcBorders/>
            <w:shd w:fill="FFFFFF" w:val="clear"/>
            <w:vAlign w:val="center"/>
          </w:tcPr>
          <w:p>
            <w:pPr>
              <w:pStyle w:val="TableContents"/>
              <w:spacing w:before="0" w:after="0"/>
              <w:ind w:left="0" w:right="0" w:hanging="0"/>
              <w:rPr/>
            </w:pPr>
            <w:hyperlink w:anchor="Item6Exhibits_873093">
              <w:r>
                <w:rPr>
                  <w:rStyle w:val="InternetLink"/>
                  <w:rFonts w:ascii="Times New Roman;Times;serif" w:hAnsi="Times New Roman;Times;serif"/>
                  <w:b w:val="false"/>
                  <w:i w:val="false"/>
                  <w:caps w:val="false"/>
                  <w:smallCaps w:val="false"/>
                  <w:sz w:val="20"/>
                </w:rPr>
                <w:t>Exhibits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694" w:type="dxa"/>
            <w:gridSpan w:val="3"/>
            <w:tcBorders/>
            <w:shd w:fill="FFFFFF" w:val="clear"/>
            <w:vAlign w:val="center"/>
          </w:tcPr>
          <w:p>
            <w:pPr>
              <w:pStyle w:val="TableContents"/>
              <w:spacing w:before="0" w:after="0"/>
              <w:ind w:left="0" w:right="0" w:hanging="0"/>
              <w:rPr/>
            </w:pPr>
            <w:hyperlink w:anchor="EXHIBITINDEX_968187">
              <w:r>
                <w:rPr>
                  <w:rStyle w:val="InternetLink"/>
                  <w:rFonts w:ascii="Times New Roman;Times;serif" w:hAnsi="Times New Roman;Times;serif"/>
                  <w:b w:val="false"/>
                  <w:i w:val="false"/>
                  <w:caps w:val="false"/>
                  <w:smallCaps w:val="false"/>
                  <w:sz w:val="20"/>
                </w:rPr>
                <w:t>EXHIBIT INDEX</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694" w:type="dxa"/>
            <w:gridSpan w:val="3"/>
            <w:tcBorders/>
            <w:shd w:fill="FFFFFF" w:val="clear"/>
            <w:vAlign w:val="center"/>
          </w:tcPr>
          <w:p>
            <w:pPr>
              <w:pStyle w:val="TableContents"/>
              <w:spacing w:before="0" w:after="0"/>
              <w:ind w:left="0" w:right="0" w:hanging="0"/>
              <w:rPr/>
            </w:pPr>
            <w:hyperlink w:anchor="SIGNATURES_72212">
              <w:r>
                <w:rPr>
                  <w:rStyle w:val="InternetLink"/>
                  <w:rFonts w:ascii="Times New Roman;Times;serif" w:hAnsi="Times New Roman;Times;serif"/>
                  <w:b w:val="false"/>
                  <w:i w:val="false"/>
                  <w:caps w:val="false"/>
                  <w:smallCaps w:val="false"/>
                  <w:sz w:val="20"/>
                </w:rPr>
                <w:t>SIGNATURES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35" w:name="PARTIFINANCIALINFORMATION_281546"/>
      <w:bookmarkStart w:id="36" w:name="_cp_text_2_528"/>
      <w:bookmarkStart w:id="37" w:name="_4c2fb3d4_40b9_4866_945d_a118a1f9d37c"/>
      <w:bookmarkEnd w:id="35"/>
      <w:bookmarkEnd w:id="36"/>
      <w:bookmarkEnd w:id="37"/>
      <w:r>
        <w:rPr>
          <w:rFonts w:ascii="Times New Roman;Times;serif" w:hAnsi="Times New Roman;Times;serif"/>
          <w:b/>
          <w:sz w:val="20"/>
        </w:rPr>
        <w:t>PART I—FINANCIAL INFORMATION</w:t>
      </w:r>
    </w:p>
    <w:p>
      <w:pPr>
        <w:pStyle w:val="TextBody"/>
        <w:spacing w:before="0" w:after="0"/>
        <w:ind w:left="0" w:right="0" w:hanging="0"/>
        <w:rPr>
          <w:rFonts w:ascii="Times New Roman;Times;serif" w:hAnsi="Times New Roman;Times;serif"/>
          <w:b/>
          <w:sz w:val="20"/>
        </w:rPr>
      </w:pPr>
      <w:bookmarkStart w:id="38" w:name="Item1FinancialStatements_948513"/>
      <w:bookmarkEnd w:id="38"/>
      <w:r>
        <w:rPr>
          <w:rFonts w:ascii="Times New Roman;Times;serif" w:hAnsi="Times New Roman;Times;serif"/>
          <w:b/>
          <w:sz w:val="20"/>
        </w:rPr>
        <w:t>Item 1. Financial Statements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spacing w:before="0" w:after="0"/>
        <w:ind w:left="0" w:right="0" w:hanging="0"/>
        <w:jc w:val="center"/>
        <w:rPr>
          <w:rFonts w:ascii="Times New Roman;Times;serif" w:hAnsi="Times New Roman;Times;serif"/>
          <w:b/>
          <w:sz w:val="20"/>
        </w:rPr>
      </w:pPr>
      <w:bookmarkStart w:id="39" w:name="CondensedBalanceSheets_39405"/>
      <w:bookmarkEnd w:id="39"/>
      <w:r>
        <w:rPr>
          <w:rFonts w:ascii="Times New Roman;Times;serif" w:hAnsi="Times New Roman;Times;serif"/>
          <w:b/>
          <w:sz w:val="20"/>
        </w:rPr>
        <w:t>Condensed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40" w:name="Tc_-khPX9kmUUmNbhFp-CoFrg_35_5"/>
      <w:bookmarkStart w:id="41" w:name="Tc_g5ZQitJKWEi3hHZy_gBwPQ_35_2"/>
      <w:bookmarkStart w:id="42" w:name="Tc_cW2zmI7qyUW-euJiM1JlEQ_35_0"/>
      <w:bookmarkStart w:id="43" w:name="Tc_fovjk4etK0-xCJnZGCIjrA_34_0"/>
      <w:bookmarkStart w:id="44" w:name="Tc_1OOc1yP2OkeDhZ7yxtQIRw_33_0"/>
      <w:bookmarkStart w:id="45" w:name="Tc_4cfKtpsmqE2GjwM6LN4q2A_32_0"/>
      <w:bookmarkStart w:id="46" w:name="Tc_EwtSHxFkhE2dPWthV7GZMA_31_0"/>
      <w:bookmarkStart w:id="47" w:name="_9e9e1045_76ac_46f9_9b63_5cc18edf47c0_3"/>
      <w:bookmarkStart w:id="48" w:name="_9e9e1045_76ac_46f9_9b63_5cc18edf47c0_2"/>
      <w:bookmarkStart w:id="49" w:name="_9e9e1045_76ac_46f9_9b63_5cc18edf47c0"/>
      <w:bookmarkStart w:id="50" w:name="Tc_q49Jm6xAlkOQoYjJVeVT9Q_30_0"/>
      <w:bookmarkStart w:id="51" w:name="Tc_ROFu1KChKEeiJnBVk4R27Q_29_0"/>
      <w:bookmarkStart w:id="52" w:name="Tc_Yx95JbIGKEeGxjlgc0UskA_28_0"/>
      <w:bookmarkStart w:id="53" w:name="Tc_zF96GEHgEUKKsrfrEKCGbA_27_5"/>
      <w:bookmarkStart w:id="54" w:name="Tc_uQDWG-G2QkyokazZhRiKIg_27_2"/>
      <w:bookmarkStart w:id="55" w:name="Tc_KhWIh7XIiEG89bjIfW2bUQ_27_0"/>
      <w:bookmarkStart w:id="56" w:name="Tc_9Ou_ldazpkioFoxb8SQuug_26_0"/>
      <w:bookmarkStart w:id="57" w:name="Tc_RZzNPm1_-UadMdjavcMJ3A_25_0"/>
      <w:bookmarkStart w:id="58" w:name="Tc_u5nSC7ikk0W793idh_mJ-w_24_0"/>
      <w:bookmarkStart w:id="59" w:name="Tc_A-fRjo4vYU-YCfPlOkTNDg_23_0"/>
      <w:bookmarkStart w:id="60" w:name="Tc_NSLOK_gYI0O2KRdGSAuruw_22_0"/>
      <w:bookmarkStart w:id="61" w:name="Tc_itwoKgmRtUOpr26Nlqlu6Q_21_0"/>
      <w:bookmarkStart w:id="62" w:name="Tc_YLj8m4O_oUaIKLjWC2QmdQ_20_0"/>
      <w:bookmarkStart w:id="63" w:name="Tc_93QOYmWRb0idA4oObDdfYw_19_0"/>
      <w:bookmarkStart w:id="64" w:name="Tc_S1Be4Iff6EuXxUTVcVNcyw_18_0"/>
      <w:bookmarkStart w:id="65" w:name="Tc__Dou1EMkTUO5qQ6AOigtAw_17_5"/>
      <w:bookmarkStart w:id="66" w:name="Tc_PqvHTxVx9Uid-f8lKy41mQ_17_2"/>
      <w:bookmarkStart w:id="67" w:name="Tc_FE_mDMDCSE-_GsrOL8rZTg_17_0"/>
      <w:bookmarkStart w:id="68" w:name="Tc_wy_GRzisoU-_i0bmyncSCA_16_0"/>
      <w:bookmarkStart w:id="69" w:name="Tc_sm-r32055kSTBz52_xTUzA_15_0"/>
      <w:bookmarkStart w:id="70" w:name="Tc_KQdo3PsL_keME68JSmeFWw_13_5"/>
      <w:bookmarkStart w:id="71" w:name="Tc_6RH91jW2YUWVYrhZysh3wg_13_2"/>
      <w:bookmarkStart w:id="72" w:name="Tc_RtDQ6JLul0Sev9Fg5FsLbA_13_0"/>
      <w:bookmarkStart w:id="73" w:name="Tc_6XQkI6zYM0Whb0IeAhab7A_12_0"/>
      <w:bookmarkStart w:id="74" w:name="Tc_-Ko1mOgSXEyv86KE9uOaDA_11_0"/>
      <w:bookmarkStart w:id="75" w:name="Tc_Car_Odoa1EOHA6eHjaHzFA_10_0"/>
      <w:bookmarkStart w:id="76" w:name="Tc_1tliW8N2t0-cjhvZ9D6U-g_9_0"/>
      <w:bookmarkStart w:id="77" w:name="Tc_uwcLXdxiZEiev_NI8JnBQg_8_0"/>
      <w:bookmarkStart w:id="78" w:name="Tc_bj0mOkFL90ScoGba9nVduQ_7_0"/>
      <w:bookmarkStart w:id="79" w:name="Tc_VQUIJBG_B065AMap5OV-gw_6_0"/>
      <w:bookmarkStart w:id="80" w:name="Tc_XNwkWATUR067iIVx87_w2g_5_5"/>
      <w:bookmarkStart w:id="81" w:name="Tc_sLve065tBESvKRs0C_SF7g_5_2"/>
      <w:bookmarkStart w:id="82" w:name="Tc_gBbQZJSnN0WZTYxl0sW2rg_5_0"/>
      <w:bookmarkStart w:id="83" w:name="Tc_oxfo17mnj0ib7qHBOC5txw_4_0"/>
      <w:bookmarkStart w:id="84" w:name="Tc_quRbhgc7M0S8B4Vc3Exq7g_3_0"/>
      <w:bookmarkStart w:id="85" w:name="Tc_JbAq8-BO5Ua7kvFoWZ33Xg_2_5"/>
      <w:bookmarkStart w:id="86" w:name="Tc_Js7-XbDKnUWnisJU4ehRNA_2_2"/>
      <w:bookmarkStart w:id="87" w:name="Tc_EVuqCMw_hkePiZSCYwgeAA_1_5"/>
      <w:bookmarkStart w:id="88" w:name="Tc_wjNGh5zjE0WcMx6MSEXp1Q_1_2"/>
      <w:bookmarkStart w:id="89" w:name="_3ebf8128_dc34_40d1_b4fa_c95a3428edf1"/>
      <w:bookmarkStart w:id="90" w:name="Tc_-khPX9kmUUmNbhFp-CoFrg_35_5"/>
      <w:bookmarkStart w:id="91" w:name="Tc_g5ZQitJKWEi3hHZy_gBwPQ_35_2"/>
      <w:bookmarkStart w:id="92" w:name="Tc_cW2zmI7qyUW-euJiM1JlEQ_35_0"/>
      <w:bookmarkStart w:id="93" w:name="Tc_fovjk4etK0-xCJnZGCIjrA_34_0"/>
      <w:bookmarkStart w:id="94" w:name="Tc_1OOc1yP2OkeDhZ7yxtQIRw_33_0"/>
      <w:bookmarkStart w:id="95" w:name="Tc_4cfKtpsmqE2GjwM6LN4q2A_32_0"/>
      <w:bookmarkStart w:id="96" w:name="Tc_EwtSHxFkhE2dPWthV7GZMA_31_0"/>
      <w:bookmarkStart w:id="97" w:name="_9e9e1045_76ac_46f9_9b63_5cc18edf47c0_3"/>
      <w:bookmarkStart w:id="98" w:name="_9e9e1045_76ac_46f9_9b63_5cc18edf47c0_2"/>
      <w:bookmarkStart w:id="99" w:name="_9e9e1045_76ac_46f9_9b63_5cc18edf47c0"/>
      <w:bookmarkStart w:id="100" w:name="Tc_q49Jm6xAlkOQoYjJVeVT9Q_30_0"/>
      <w:bookmarkStart w:id="101" w:name="Tc_ROFu1KChKEeiJnBVk4R27Q_29_0"/>
      <w:bookmarkStart w:id="102" w:name="Tc_Yx95JbIGKEeGxjlgc0UskA_28_0"/>
      <w:bookmarkStart w:id="103" w:name="Tc_zF96GEHgEUKKsrfrEKCGbA_27_5"/>
      <w:bookmarkStart w:id="104" w:name="Tc_uQDWG-G2QkyokazZhRiKIg_27_2"/>
      <w:bookmarkStart w:id="105" w:name="Tc_KhWIh7XIiEG89bjIfW2bUQ_27_0"/>
      <w:bookmarkStart w:id="106" w:name="Tc_9Ou_ldazpkioFoxb8SQuug_26_0"/>
      <w:bookmarkStart w:id="107" w:name="Tc_RZzNPm1_-UadMdjavcMJ3A_25_0"/>
      <w:bookmarkStart w:id="108" w:name="Tc_u5nSC7ikk0W793idh_mJ-w_24_0"/>
      <w:bookmarkStart w:id="109" w:name="Tc_A-fRjo4vYU-YCfPlOkTNDg_23_0"/>
      <w:bookmarkStart w:id="110" w:name="Tc_NSLOK_gYI0O2KRdGSAuruw_22_0"/>
      <w:bookmarkStart w:id="111" w:name="Tc_itwoKgmRtUOpr26Nlqlu6Q_21_0"/>
      <w:bookmarkStart w:id="112" w:name="Tc_YLj8m4O_oUaIKLjWC2QmdQ_20_0"/>
      <w:bookmarkStart w:id="113" w:name="Tc_93QOYmWRb0idA4oObDdfYw_19_0"/>
      <w:bookmarkStart w:id="114" w:name="Tc_S1Be4Iff6EuXxUTVcVNcyw_18_0"/>
      <w:bookmarkStart w:id="115" w:name="Tc__Dou1EMkTUO5qQ6AOigtAw_17_5"/>
      <w:bookmarkStart w:id="116" w:name="Tc_PqvHTxVx9Uid-f8lKy41mQ_17_2"/>
      <w:bookmarkStart w:id="117" w:name="Tc_FE_mDMDCSE-_GsrOL8rZTg_17_0"/>
      <w:bookmarkStart w:id="118" w:name="Tc_wy_GRzisoU-_i0bmyncSCA_16_0"/>
      <w:bookmarkStart w:id="119" w:name="Tc_sm-r32055kSTBz52_xTUzA_15_0"/>
      <w:bookmarkStart w:id="120" w:name="Tc_KQdo3PsL_keME68JSmeFWw_13_5"/>
      <w:bookmarkStart w:id="121" w:name="Tc_6RH91jW2YUWVYrhZysh3wg_13_2"/>
      <w:bookmarkStart w:id="122" w:name="Tc_RtDQ6JLul0Sev9Fg5FsLbA_13_0"/>
      <w:bookmarkStart w:id="123" w:name="Tc_6XQkI6zYM0Whb0IeAhab7A_12_0"/>
      <w:bookmarkStart w:id="124" w:name="Tc_-Ko1mOgSXEyv86KE9uOaDA_11_0"/>
      <w:bookmarkStart w:id="125" w:name="Tc_Car_Odoa1EOHA6eHjaHzFA_10_0"/>
      <w:bookmarkStart w:id="126" w:name="Tc_1tliW8N2t0-cjhvZ9D6U-g_9_0"/>
      <w:bookmarkStart w:id="127" w:name="Tc_uwcLXdxiZEiev_NI8JnBQg_8_0"/>
      <w:bookmarkStart w:id="128" w:name="Tc_bj0mOkFL90ScoGba9nVduQ_7_0"/>
      <w:bookmarkStart w:id="129" w:name="Tc_VQUIJBG_B065AMap5OV-gw_6_0"/>
      <w:bookmarkStart w:id="130" w:name="Tc_XNwkWATUR067iIVx87_w2g_5_5"/>
      <w:bookmarkStart w:id="131" w:name="Tc_sLve065tBESvKRs0C_SF7g_5_2"/>
      <w:bookmarkStart w:id="132" w:name="Tc_gBbQZJSnN0WZTYxl0sW2rg_5_0"/>
      <w:bookmarkStart w:id="133" w:name="Tc_oxfo17mnj0ib7qHBOC5txw_4_0"/>
      <w:bookmarkStart w:id="134" w:name="Tc_quRbhgc7M0S8B4Vc3Exq7g_3_0"/>
      <w:bookmarkStart w:id="135" w:name="Tc_JbAq8-BO5Ua7kvFoWZ33Xg_2_5"/>
      <w:bookmarkStart w:id="136" w:name="Tc_Js7-XbDKnUWnisJU4ehRNA_2_2"/>
      <w:bookmarkStart w:id="137" w:name="Tc_EVuqCMw_hkePiZSCYwgeAA_1_5"/>
      <w:bookmarkStart w:id="138" w:name="Tc_wjNGh5zjE0WcMx6MSEXp1Q_1_2"/>
      <w:bookmarkStart w:id="139" w:name="_3ebf8128_dc34_40d1_b4fa_c95a3428edf1"/>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tbl>
      <w:tblPr>
        <w:tblW w:w="10205" w:type="dxa"/>
        <w:jc w:val="left"/>
        <w:tblInd w:w="0" w:type="dxa"/>
        <w:tblCellMar>
          <w:top w:w="0" w:type="dxa"/>
          <w:left w:w="0" w:type="dxa"/>
          <w:bottom w:w="0" w:type="dxa"/>
          <w:right w:w="0" w:type="dxa"/>
        </w:tblCellMar>
      </w:tblPr>
      <w:tblGrid>
        <w:gridCol w:w="7696"/>
        <w:gridCol w:w="146"/>
        <w:gridCol w:w="211"/>
        <w:gridCol w:w="868"/>
        <w:gridCol w:w="146"/>
        <w:gridCol w:w="213"/>
        <w:gridCol w:w="925"/>
      </w:tblGrid>
      <w:tr>
        <w:trPr/>
        <w:tc>
          <w:tcPr>
            <w:tcW w:w="7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886960" cy="175260"/>
                      <wp:effectExtent l="0" t="0" r="0" b="0"/>
                      <wp:wrapNone/>
                      <wp:docPr id="8" name="Frame8"/>
                      <a:graphic xmlns:a="http://schemas.openxmlformats.org/drawingml/2006/main">
                        <a:graphicData uri="http://schemas.microsoft.com/office/word/2010/wordprocessingShape">
                          <wps:wsp>
                            <wps:cNvSpPr txBox="1"/>
                            <wps:spPr>
                              <a:xfrm>
                                <a:off x="0" y="0"/>
                                <a:ext cx="4886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710" cy="175260"/>
                      <wp:effectExtent l="0" t="0" r="0" b="0"/>
                      <wp:wrapNone/>
                      <wp:docPr id="9" name="Frame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1180" cy="175260"/>
                      <wp:effectExtent l="0" t="0" r="0" b="0"/>
                      <wp:wrapNone/>
                      <wp:docPr id="11" name="Frame11"/>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2710" cy="175260"/>
                      <wp:effectExtent l="0" t="0" r="0" b="0"/>
                      <wp:wrapNone/>
                      <wp:docPr id="12" name="Frame1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255" cy="175260"/>
                      <wp:effectExtent l="0" t="0" r="0" b="0"/>
                      <wp:wrapNone/>
                      <wp:docPr id="13" name="Frame13"/>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7375" cy="175260"/>
                      <wp:effectExtent l="0" t="0" r="0" b="0"/>
                      <wp:wrapNone/>
                      <wp:docPr id="14" name="Frame14"/>
                      <a:graphic xmlns:a="http://schemas.openxmlformats.org/drawingml/2006/main">
                        <a:graphicData uri="http://schemas.microsoft.com/office/word/2010/wordprocessingShape">
                          <wps:wsp>
                            <wps:cNvSpPr txBox="1"/>
                            <wps:spPr>
                              <a:xfrm>
                                <a:off x="0" y="0"/>
                                <a:ext cx="587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69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7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46" w:type="dxa"/>
            <w:tcBorders/>
            <w:shd w:fill="auto" w:val="clear"/>
            <w:vAlign w:val="center"/>
          </w:tcPr>
          <w:p>
            <w:pPr>
              <w:pStyle w:val="TableContents"/>
              <w:spacing w:before="0" w:after="0"/>
              <w:ind w:left="0" w:right="0" w:hanging="0"/>
              <w:rPr/>
            </w:pPr>
            <w:r>
              <w:rPr/>
              <w:t>​</w:t>
            </w:r>
          </w:p>
        </w:tc>
        <w:tc>
          <w:tcPr>
            <w:tcW w:w="113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69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7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shd w:fill="auto" w:val="clear"/>
            <w:vAlign w:val="center"/>
          </w:tcPr>
          <w:p>
            <w:pPr>
              <w:pStyle w:val="TableContents"/>
              <w:spacing w:before="0" w:after="0"/>
              <w:ind w:left="0" w:right="0" w:hanging="0"/>
              <w:rPr/>
            </w:pPr>
            <w:r>
              <w:rPr/>
              <w:t>​</w:t>
            </w:r>
          </w:p>
        </w:tc>
        <w:tc>
          <w:tcPr>
            <w:tcW w:w="113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68"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213"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  </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8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 </w:t>
            </w:r>
          </w:p>
        </w:tc>
        <w:tc>
          <w:tcPr>
            <w:tcW w:w="213"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  </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19,885</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21,409</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10,240</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8,193</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6,208</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6,396</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14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36,969</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36,760</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3,974</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c>
          <w:tcPr>
            <w:tcW w:w="14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42,671</w:t>
            </w:r>
          </w:p>
        </w:tc>
        <w:tc>
          <w:tcPr>
            <w:tcW w:w="146" w:type="dxa"/>
            <w:tcBorders/>
            <w:shd w:fill="CCEEFF" w:val="clear"/>
            <w:vAlign w:val="center"/>
          </w:tcPr>
          <w:p>
            <w:pPr>
              <w:pStyle w:val="TableContents"/>
              <w:spacing w:before="0" w:after="0"/>
              <w:ind w:left="0" w:right="0" w:hanging="0"/>
              <w:rPr/>
            </w:pPr>
            <w:r>
              <w:rPr/>
              <w:t>​</w:t>
            </w:r>
          </w:p>
        </w:tc>
        <w:tc>
          <w:tcPr>
            <w:tcW w:w="2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39,380</w:t>
            </w:r>
          </w:p>
        </w:tc>
      </w:tr>
      <w:tr>
        <w:trPr/>
        <w:tc>
          <w:tcPr>
            <w:tcW w:w="769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8"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rPr/>
            </w:pPr>
            <w:r>
              <w:rPr/>
              <w:t>​</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68"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pPr>
            <w:r>
              <w:rPr/>
              <w:t>  </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pPr>
            <w:r>
              <w:rPr/>
              <w:t>  </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2,287</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1,776</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3,579</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portion of long-term debt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3,377</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3,370</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liabilities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4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8,540</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10,331</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debt, net of current portion</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1,529</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liabilities, net of current portion</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2,897</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income tax liability</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14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12,605</w:t>
            </w:r>
          </w:p>
        </w:tc>
        <w:tc>
          <w:tcPr>
            <w:tcW w:w="146"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12,142</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pPr>
            <w:r>
              <w:rPr/>
              <w:t>  </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68"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pPr>
            <w:r>
              <w:rPr/>
              <w:t>  </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Preferred stock, $0.0001 par value per share; 5,000,000 shares authorized; no shares issued and outstanding as of March 31, 2022 and December 31, 2021</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8"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Common stock, $0.0001 par value per share; 100,000,000 shares authorized; 19,970,786 and 19,858,460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March 31, 2022, and December 31, 2021</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4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180,960</w:t>
            </w:r>
          </w:p>
        </w:tc>
        <w:tc>
          <w:tcPr>
            <w:tcW w:w="14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180,067</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deficit</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(150,896)</w:t>
            </w:r>
          </w:p>
        </w:tc>
        <w:tc>
          <w:tcPr>
            <w:tcW w:w="146"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(152,831)</w:t>
            </w:r>
          </w:p>
        </w:tc>
      </w:tr>
      <w:tr>
        <w:trPr/>
        <w:tc>
          <w:tcPr>
            <w:tcW w:w="7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30,066</w:t>
            </w:r>
          </w:p>
        </w:tc>
        <w:tc>
          <w:tcPr>
            <w:tcW w:w="14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27,238</w:t>
            </w:r>
          </w:p>
        </w:tc>
      </w:tr>
      <w:tr>
        <w:trPr/>
        <w:tc>
          <w:tcPr>
            <w:tcW w:w="7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42,671</w:t>
            </w:r>
          </w:p>
        </w:tc>
        <w:tc>
          <w:tcPr>
            <w:tcW w:w="146" w:type="dxa"/>
            <w:tcBorders/>
            <w:shd w:fill="CCEEFF" w:val="clear"/>
            <w:vAlign w:val="center"/>
          </w:tcPr>
          <w:p>
            <w:pPr>
              <w:pStyle w:val="TableContents"/>
              <w:spacing w:before="0" w:after="0"/>
              <w:ind w:left="0" w:right="0" w:hanging="0"/>
              <w:rPr/>
            </w:pPr>
            <w:r>
              <w:rPr/>
              <w:t>​</w:t>
            </w:r>
          </w:p>
        </w:tc>
        <w:tc>
          <w:tcPr>
            <w:tcW w:w="2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39,380</w:t>
            </w:r>
          </w:p>
        </w:tc>
      </w:tr>
    </w:tbl>
    <w:p>
      <w:pPr>
        <w:pStyle w:val="TextBody"/>
        <w:spacing w:before="0" w:after="0"/>
        <w:ind w:left="0" w:right="0" w:hanging="0"/>
        <w:rPr/>
      </w:pPr>
      <w:r>
        <w:rPr/>
        <w:t>​</w:t>
      </w:r>
    </w:p>
    <w:p>
      <w:pPr>
        <w:pStyle w:val="TextBody"/>
        <w:spacing w:before="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40" w:name="_de70eeca_e1f8_447e_bc5d_2c6d88ead8fe"/>
      <w:bookmarkEnd w:id="140"/>
      <w:r>
        <w:rPr>
          <w:rFonts w:ascii="Times New Roman;Times;serif" w:hAnsi="Times New Roman;Times;serif"/>
          <w:b/>
          <w:sz w:val="20"/>
        </w:rPr>
        <w:t>EVERSPIN TECHNOLOGIES, INC.</w:t>
      </w:r>
    </w:p>
    <w:p>
      <w:pPr>
        <w:pStyle w:val="TextBody"/>
        <w:spacing w:before="0" w:after="0"/>
        <w:ind w:left="0" w:right="0" w:hanging="0"/>
        <w:jc w:val="center"/>
        <w:rPr>
          <w:rFonts w:ascii="Times New Roman;Times;serif" w:hAnsi="Times New Roman;Times;serif"/>
          <w:b/>
          <w:sz w:val="20"/>
        </w:rPr>
      </w:pPr>
      <w:bookmarkStart w:id="141" w:name="CondensedStatementsofOperations_54799"/>
      <w:bookmarkEnd w:id="141"/>
      <w:r>
        <w:rPr>
          <w:rFonts w:ascii="Times New Roman;Times;serif" w:hAnsi="Times New Roman;Times;serif"/>
          <w:b/>
          <w:sz w:val="20"/>
        </w:rPr>
        <w:t>Condensed Statements of Operations and Comprehensive Income (Loss)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142" w:name="Tc_Ls5eMpjLmE6NacHey-lFhw_32_5"/>
      <w:bookmarkStart w:id="143" w:name="Tc_4GjeKLhi5EOgVoT6Utc5tQ_32_2"/>
      <w:bookmarkStart w:id="144" w:name="Tc_aYIzYeaWZUyJBcDvmuF5ug_32_0"/>
      <w:bookmarkStart w:id="145" w:name="Tc_LgzIEklMqUWDINa5av183w_31_0"/>
      <w:bookmarkStart w:id="146" w:name="Tc_dp2d3me14E-Y2-c8x9fBRw_30_0"/>
      <w:bookmarkStart w:id="147" w:name="Tc_fv88s6_mx0ysgvqR6ubwfg_29_5"/>
      <w:bookmarkStart w:id="148" w:name="Tc_G-3Zs-NQik-Pt8LdOnIawQ_29_2"/>
      <w:bookmarkStart w:id="149" w:name="Tc_QROslvfmnkSJM_w77pStZw_29_0"/>
      <w:bookmarkStart w:id="150" w:name="Tc_PusuHqCCB0WqZZNSLSOUgA_28_0"/>
      <w:bookmarkStart w:id="151" w:name="Tc_DjsP-p7C00C8qILWjaQ6xw_26_0"/>
      <w:bookmarkStart w:id="152" w:name="Tc_NAic9idzzUCWvPx9crWwqg_25_0"/>
      <w:bookmarkStart w:id="153" w:name="Tc_mTxAD38LmUCrDxT7yIBjBQ_24_0"/>
      <w:bookmarkStart w:id="154" w:name="Tc_is4kHsJysEKTesxYcz1yhQ_23_5"/>
      <w:bookmarkStart w:id="155" w:name="Tc_tNGyC1LTzkuh2AAJdsnZNQ_23_2"/>
      <w:bookmarkStart w:id="156" w:name="Tc_m3-ycpPli0Cg52Y3K2kz6A_23_0"/>
      <w:bookmarkStart w:id="157" w:name="Tc_fTXpOggjF0Ko5ovGgAYPfg_22_5"/>
      <w:bookmarkStart w:id="158" w:name="Tc_vX5Rr3NxDUq9aLI-KVFVVg_22_2"/>
      <w:bookmarkStart w:id="159" w:name="Tc_wUtvBylYBUOVQZrFW-AYwA_22_0"/>
      <w:bookmarkStart w:id="160" w:name="Tc_77Ir8_i2IUi5ac4BE7q_vQ_21_0"/>
      <w:bookmarkStart w:id="161" w:name="Tc_7ZacRn4AY06lyqtlg5xFkw_20_5"/>
      <w:bookmarkStart w:id="162" w:name="Tc_oQJJKyA9n0eG1__wIOOeLA_20_2"/>
      <w:bookmarkStart w:id="163" w:name="Tc_l84MsXeRTE2DaXYJ-Rhk6Q_20_0"/>
      <w:bookmarkStart w:id="164" w:name="Tc_3SQ_VmBrdE6jcQbB5wT9aA_19_3"/>
      <w:bookmarkStart w:id="165" w:name="Tc_Ucgj1R7vwkybzZkwGx_TGg_19_0"/>
      <w:bookmarkStart w:id="166" w:name="Tc_kDIj6wXRf0SMA10k7WYp6Q_18_0"/>
      <w:bookmarkStart w:id="167" w:name="Tc_TYu0Cb01O0yNLns6gwz4VA_17_0"/>
      <w:bookmarkStart w:id="168" w:name="Tc_gom8px128UGJUF9wzveHDA_16_0"/>
      <w:bookmarkStart w:id="169" w:name="Tc_K1M6kcVhjE2IUIiYuZSUNg_15_0"/>
      <w:bookmarkStart w:id="170" w:name="Tc_TBbAzjCe5USRYMZ6NEKo6Q_14_0"/>
      <w:bookmarkStart w:id="171" w:name="Tc_XjYG2_kjwkCIKZ86GNZIYA_13_0"/>
      <w:bookmarkStart w:id="172" w:name="Tc_2V_0V7NBr0Kr44uVGEq6KQ_12_0"/>
      <w:bookmarkStart w:id="173" w:name="Tc_eIee0tOQdk-2q5btU3nvjg_11_0"/>
      <w:bookmarkStart w:id="174" w:name="Tc_65W-IE5ARkSDXrVw1k0YZQ_10_0"/>
      <w:bookmarkStart w:id="175" w:name="Tc_Qr1pEWVejU2AJ_WZO3Hn8w_9_0"/>
      <w:bookmarkStart w:id="176" w:name="Tc_35ihTpUU8EG6glLEByPCLg_8_0"/>
      <w:bookmarkStart w:id="177" w:name="Tc_MuGah_G6_kejQcyCMxiuzg_7_0"/>
      <w:bookmarkStart w:id="178" w:name="Tc_NfbVH-qedUSEUohb9Q_Y8A_6_0"/>
      <w:bookmarkStart w:id="179" w:name="Tc_UGhjEi4jckKAeTZzR508pA_5_0"/>
      <w:bookmarkStart w:id="180" w:name="Tc_Kdy6h7Up80GmNL46yfDDvQ_4_0"/>
      <w:bookmarkStart w:id="181" w:name="Tc_REXy7SQNRUiddxY8ETV0mA_3_5"/>
      <w:bookmarkStart w:id="182" w:name="Tc_aCQD4mSHuk-NZBJBaXqIzQ_3_2"/>
      <w:bookmarkStart w:id="183" w:name="Tc_VDMsfr680UidISBH5ckwCA_3_0"/>
      <w:bookmarkStart w:id="184" w:name="Tc_KCop5QblwUa8a_ZBuP9oMA_2_5"/>
      <w:bookmarkStart w:id="185" w:name="Tc__hlwHY2dfEav3ax9ZdIZ4w_2_2"/>
      <w:bookmarkStart w:id="186" w:name="Tc_dZ6_rcvD4UWg1VjQRFnrlQ_1_2"/>
      <w:bookmarkStart w:id="187" w:name="_07e6a77c_8c7f_44d9_9b4e_67180581cf7a"/>
      <w:bookmarkStart w:id="188" w:name="Tc_Ls5eMpjLmE6NacHey-lFhw_32_5"/>
      <w:bookmarkStart w:id="189" w:name="Tc_4GjeKLhi5EOgVoT6Utc5tQ_32_2"/>
      <w:bookmarkStart w:id="190" w:name="Tc_aYIzYeaWZUyJBcDvmuF5ug_32_0"/>
      <w:bookmarkStart w:id="191" w:name="Tc_LgzIEklMqUWDINa5av183w_31_0"/>
      <w:bookmarkStart w:id="192" w:name="Tc_dp2d3me14E-Y2-c8x9fBRw_30_0"/>
      <w:bookmarkStart w:id="193" w:name="Tc_fv88s6_mx0ysgvqR6ubwfg_29_5"/>
      <w:bookmarkStart w:id="194" w:name="Tc_G-3Zs-NQik-Pt8LdOnIawQ_29_2"/>
      <w:bookmarkStart w:id="195" w:name="Tc_QROslvfmnkSJM_w77pStZw_29_0"/>
      <w:bookmarkStart w:id="196" w:name="Tc_PusuHqCCB0WqZZNSLSOUgA_28_0"/>
      <w:bookmarkStart w:id="197" w:name="Tc_DjsP-p7C00C8qILWjaQ6xw_26_0"/>
      <w:bookmarkStart w:id="198" w:name="Tc_NAic9idzzUCWvPx9crWwqg_25_0"/>
      <w:bookmarkStart w:id="199" w:name="Tc_mTxAD38LmUCrDxT7yIBjBQ_24_0"/>
      <w:bookmarkStart w:id="200" w:name="Tc_is4kHsJysEKTesxYcz1yhQ_23_5"/>
      <w:bookmarkStart w:id="201" w:name="Tc_tNGyC1LTzkuh2AAJdsnZNQ_23_2"/>
      <w:bookmarkStart w:id="202" w:name="Tc_m3-ycpPli0Cg52Y3K2kz6A_23_0"/>
      <w:bookmarkStart w:id="203" w:name="Tc_fTXpOggjF0Ko5ovGgAYPfg_22_5"/>
      <w:bookmarkStart w:id="204" w:name="Tc_vX5Rr3NxDUq9aLI-KVFVVg_22_2"/>
      <w:bookmarkStart w:id="205" w:name="Tc_wUtvBylYBUOVQZrFW-AYwA_22_0"/>
      <w:bookmarkStart w:id="206" w:name="Tc_77Ir8_i2IUi5ac4BE7q_vQ_21_0"/>
      <w:bookmarkStart w:id="207" w:name="Tc_7ZacRn4AY06lyqtlg5xFkw_20_5"/>
      <w:bookmarkStart w:id="208" w:name="Tc_oQJJKyA9n0eG1__wIOOeLA_20_2"/>
      <w:bookmarkStart w:id="209" w:name="Tc_l84MsXeRTE2DaXYJ-Rhk6Q_20_0"/>
      <w:bookmarkStart w:id="210" w:name="Tc_3SQ_VmBrdE6jcQbB5wT9aA_19_3"/>
      <w:bookmarkStart w:id="211" w:name="Tc_Ucgj1R7vwkybzZkwGx_TGg_19_0"/>
      <w:bookmarkStart w:id="212" w:name="Tc_kDIj6wXRf0SMA10k7WYp6Q_18_0"/>
      <w:bookmarkStart w:id="213" w:name="Tc_TYu0Cb01O0yNLns6gwz4VA_17_0"/>
      <w:bookmarkStart w:id="214" w:name="Tc_gom8px128UGJUF9wzveHDA_16_0"/>
      <w:bookmarkStart w:id="215" w:name="Tc_K1M6kcVhjE2IUIiYuZSUNg_15_0"/>
      <w:bookmarkStart w:id="216" w:name="Tc_TBbAzjCe5USRYMZ6NEKo6Q_14_0"/>
      <w:bookmarkStart w:id="217" w:name="Tc_XjYG2_kjwkCIKZ86GNZIYA_13_0"/>
      <w:bookmarkStart w:id="218" w:name="Tc_2V_0V7NBr0Kr44uVGEq6KQ_12_0"/>
      <w:bookmarkStart w:id="219" w:name="Tc_eIee0tOQdk-2q5btU3nvjg_11_0"/>
      <w:bookmarkStart w:id="220" w:name="Tc_65W-IE5ARkSDXrVw1k0YZQ_10_0"/>
      <w:bookmarkStart w:id="221" w:name="Tc_Qr1pEWVejU2AJ_WZO3Hn8w_9_0"/>
      <w:bookmarkStart w:id="222" w:name="Tc_35ihTpUU8EG6glLEByPCLg_8_0"/>
      <w:bookmarkStart w:id="223" w:name="Tc_MuGah_G6_kejQcyCMxiuzg_7_0"/>
      <w:bookmarkStart w:id="224" w:name="Tc_NfbVH-qedUSEUohb9Q_Y8A_6_0"/>
      <w:bookmarkStart w:id="225" w:name="Tc_UGhjEi4jckKAeTZzR508pA_5_0"/>
      <w:bookmarkStart w:id="226" w:name="Tc_Kdy6h7Up80GmNL46yfDDvQ_4_0"/>
      <w:bookmarkStart w:id="227" w:name="Tc_REXy7SQNRUiddxY8ETV0mA_3_5"/>
      <w:bookmarkStart w:id="228" w:name="Tc_aCQD4mSHuk-NZBJBaXqIzQ_3_2"/>
      <w:bookmarkStart w:id="229" w:name="Tc_VDMsfr680UidISBH5ckwCA_3_0"/>
      <w:bookmarkStart w:id="230" w:name="Tc_KCop5QblwUa8a_ZBuP9oMA_2_5"/>
      <w:bookmarkStart w:id="231" w:name="Tc__hlwHY2dfEav3ax9ZdIZ4w_2_2"/>
      <w:bookmarkStart w:id="232" w:name="Tc_dZ6_rcvD4UWg1VjQRFnrlQ_1_2"/>
      <w:bookmarkStart w:id="233" w:name="_07e6a77c_8c7f_44d9_9b4e_67180581cf7a"/>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tbl>
      <w:tblPr>
        <w:tblW w:w="7842" w:type="dxa"/>
        <w:jc w:val="left"/>
        <w:tblInd w:w="0" w:type="dxa"/>
        <w:tblCellMar>
          <w:top w:w="0" w:type="dxa"/>
          <w:left w:w="0" w:type="dxa"/>
          <w:bottom w:w="0" w:type="dxa"/>
          <w:right w:w="0" w:type="dxa"/>
        </w:tblCellMar>
      </w:tblPr>
      <w:tblGrid>
        <w:gridCol w:w="4651"/>
        <w:gridCol w:w="326"/>
        <w:gridCol w:w="211"/>
        <w:gridCol w:w="1036"/>
        <w:gridCol w:w="326"/>
        <w:gridCol w:w="211"/>
        <w:gridCol w:w="1081"/>
      </w:tblGrid>
      <w:tr>
        <w:trPr/>
        <w:tc>
          <w:tcPr>
            <w:tcW w:w="4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953385" cy="175260"/>
                      <wp:effectExtent l="0" t="0" r="0" b="0"/>
                      <wp:wrapNone/>
                      <wp:docPr id="15" name="Frame15"/>
                      <a:graphic xmlns:a="http://schemas.openxmlformats.org/drawingml/2006/main">
                        <a:graphicData uri="http://schemas.microsoft.com/office/word/2010/wordprocessingShape">
                          <wps:wsp>
                            <wps:cNvSpPr txBox="1"/>
                            <wps:spPr>
                              <a:xfrm>
                                <a:off x="0" y="0"/>
                                <a:ext cx="2953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86435" cy="175260"/>
                      <wp:effectExtent l="0" t="0" r="0" b="0"/>
                      <wp:wrapNone/>
                      <wp:docPr id="21" name="Frame21"/>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9,068</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10,280</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4,256</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4,295</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5,985</w:t>
            </w:r>
          </w:p>
        </w:tc>
      </w:tr>
      <w:tr>
        <w:trPr/>
        <w:tc>
          <w:tcPr>
            <w:tcW w:w="465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Operating expenses: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2,439</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2,843</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6,269</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before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and comprehensive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per common share: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shares of common stock outstanding: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19,896,654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19,092,367</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20,726,193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19,092,367</w:t>
            </w:r>
          </w:p>
        </w:tc>
      </w:tr>
      <w:tr>
        <w:trPr/>
        <w:tc>
          <w:tcPr>
            <w:tcW w:w="46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7842" w:type="dxa"/>
            <w:gridSpan w:val="7"/>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Operating expenses include stock-based compensation as follows:</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4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4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743</w:t>
            </w:r>
          </w:p>
        </w:tc>
      </w:tr>
    </w:tbl>
    <w:p>
      <w:pPr>
        <w:pStyle w:val="TextBody"/>
        <w:spacing w:before="0" w:after="0"/>
        <w:ind w:left="0" w:right="0" w:hanging="0"/>
        <w:rPr/>
      </w:pPr>
      <w:r>
        <w:rPr/>
        <w:t>​</w:t>
      </w:r>
    </w:p>
    <w:p>
      <w:pPr>
        <w:pStyle w:val="TextBody"/>
        <w:spacing w:before="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34" w:name="CondensedStatementofStockholdersEquity"/>
      <w:bookmarkStart w:id="235" w:name="_2ce000cb_5f8b_432c_a22e_b3caeaf40e5a"/>
      <w:bookmarkEnd w:id="234"/>
      <w:bookmarkEnd w:id="235"/>
      <w:r>
        <w:rPr>
          <w:rFonts w:ascii="Times New Roman;Times;serif" w:hAnsi="Times New Roman;Times;serif"/>
          <w:b/>
          <w:sz w:val="20"/>
        </w:rPr>
        <w:t>EVERSPIN TECHNOLOGIES,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236" w:name="Tc_JZUviMuLekGIaQDZDK7tIw_10_13"/>
      <w:bookmarkStart w:id="237" w:name="Tc_5XKoJNG8bkmppKaKVyZjGg_10_10"/>
      <w:bookmarkStart w:id="238" w:name="Tc_KUzqwQZL4U2YLXIilRBrGw_10_7"/>
      <w:bookmarkStart w:id="239" w:name="Tc_mtXNFQ-QxUeXmjZQSNS-cw_10_4"/>
      <w:bookmarkStart w:id="240" w:name="Tc_r9PT4dnzV0OQlygZZRaiLw_10_0"/>
      <w:bookmarkStart w:id="241" w:name="Tc_ZH5U9ZKw1kmeXUQ_rKwvMQ_9_8"/>
      <w:bookmarkStart w:id="242" w:name="Tc_zDed991di0aIx1V6GuXCPQ_9_5"/>
      <w:bookmarkStart w:id="243" w:name="Tc_J_MQ855TnEKOF9nn2eqMUw_9_2"/>
      <w:bookmarkStart w:id="244" w:name="Tc_FRjmKFQ4LUiRpRm1a5EwtQ_9_0"/>
      <w:bookmarkStart w:id="245" w:name="Tc_eDlf5l7rx0ODrY9WBzbjxA_8_11"/>
      <w:bookmarkStart w:id="246" w:name="Tc_UekhJ5oMf0WKiFA61FYXUg_8_5"/>
      <w:bookmarkStart w:id="247" w:name="Tc_NKlq-EpcpUeg814bmS_D5A_8_2"/>
      <w:bookmarkStart w:id="248" w:name="Tc_grKBEnrTak6G5kCGteGv0g_8_0"/>
      <w:bookmarkStart w:id="249" w:name="Tc_6vanhx6UmEmT9QDvaOBSFQ_7_14"/>
      <w:bookmarkStart w:id="250" w:name="Tc_zy--z7TDmUaS8WOpsRQaMg_7_11"/>
      <w:bookmarkStart w:id="251" w:name="Tc_c0TXY0fd4UO0IlA7puur1w_7_8"/>
      <w:bookmarkStart w:id="252" w:name="Tc_9w-Myz4WfEOnmkFq3KeQwQ_7_5"/>
      <w:bookmarkStart w:id="253" w:name="Tc_dhVlj6cJ3EqJnWqEBSzwmA_7_0"/>
      <w:bookmarkStart w:id="254" w:name="Tc_qBDFlz1SG066DMhnzEDEBA_6_11"/>
      <w:bookmarkStart w:id="255" w:name="Tc_uQckrTgQgUyuIZPxwNZtMg_6_5"/>
      <w:bookmarkStart w:id="256" w:name="Tc_XGxkWi0vF0CkVnz6UoeA8w_6_0"/>
      <w:bookmarkStart w:id="257" w:name="Tc_Px3nte-40EWVr2S4T6YSog_5_13"/>
      <w:bookmarkStart w:id="258" w:name="Tc_ASbWVZOZFkS4BHpXEpzQNg_5_10"/>
      <w:bookmarkStart w:id="259" w:name="Tc_J1JrZJdnAEqeH5ayb72p7w_5_7"/>
      <w:bookmarkStart w:id="260" w:name="Tc_QEyYiLS180icZRJVXcTRQA_5_4"/>
      <w:bookmarkStart w:id="261" w:name="Tc_sz6e6nj5w0G00HN7avWfvA_5_0"/>
      <w:bookmarkStart w:id="262" w:name="Tc_ajJEnCbEdkKuyizMnRt2ug_4_13"/>
      <w:bookmarkStart w:id="263" w:name="Tc_YgcoKMQoqkC5sY6Etej5NA_4_10"/>
      <w:bookmarkStart w:id="264" w:name="Tc_geeMW3lgMUy6y9NcN5mp-Q_4_7"/>
      <w:bookmarkStart w:id="265" w:name="Tc_gbiCVK6CRkqoKhYHl380Iw_4_4"/>
      <w:bookmarkStart w:id="266" w:name="Tc_wboufWjuNUm6GuwC5h4Fkg_4_2"/>
      <w:bookmarkStart w:id="267" w:name="Tc_NthYoCI9sEmXFpExQQwnbg_3_13"/>
      <w:bookmarkStart w:id="268" w:name="Tc_FW2_I0E3Fki29csT0tNZyg_3_10"/>
      <w:bookmarkStart w:id="269" w:name="Tc_FaHN-rfUeEC7PKLg-wyLvg_3_7"/>
      <w:bookmarkStart w:id="270" w:name="Tc_l2Jwotr2xk6wepqDHvGJeg_3_2"/>
      <w:bookmarkStart w:id="271" w:name="Tc_sHUcwGk7QkmuEkrkOGgucA_2_13"/>
      <w:bookmarkStart w:id="272" w:name="Tc_7iyfi2ZJVUCZN15Ek6F4fw_2_7"/>
      <w:bookmarkStart w:id="273" w:name="Tc_GH26CaKJRUGQMlf76-xcrw_1_2"/>
      <w:bookmarkStart w:id="274" w:name="_c3d72a2c_c9b1_409c_b04d_728b3571d249"/>
      <w:bookmarkStart w:id="275" w:name="Tc_JZUviMuLekGIaQDZDK7tIw_10_13"/>
      <w:bookmarkStart w:id="276" w:name="Tc_5XKoJNG8bkmppKaKVyZjGg_10_10"/>
      <w:bookmarkStart w:id="277" w:name="Tc_KUzqwQZL4U2YLXIilRBrGw_10_7"/>
      <w:bookmarkStart w:id="278" w:name="Tc_mtXNFQ-QxUeXmjZQSNS-cw_10_4"/>
      <w:bookmarkStart w:id="279" w:name="Tc_r9PT4dnzV0OQlygZZRaiLw_10_0"/>
      <w:bookmarkStart w:id="280" w:name="Tc_ZH5U9ZKw1kmeXUQ_rKwvMQ_9_8"/>
      <w:bookmarkStart w:id="281" w:name="Tc_zDed991di0aIx1V6GuXCPQ_9_5"/>
      <w:bookmarkStart w:id="282" w:name="Tc_J_MQ855TnEKOF9nn2eqMUw_9_2"/>
      <w:bookmarkStart w:id="283" w:name="Tc_FRjmKFQ4LUiRpRm1a5EwtQ_9_0"/>
      <w:bookmarkStart w:id="284" w:name="Tc_eDlf5l7rx0ODrY9WBzbjxA_8_11"/>
      <w:bookmarkStart w:id="285" w:name="Tc_UekhJ5oMf0WKiFA61FYXUg_8_5"/>
      <w:bookmarkStart w:id="286" w:name="Tc_NKlq-EpcpUeg814bmS_D5A_8_2"/>
      <w:bookmarkStart w:id="287" w:name="Tc_grKBEnrTak6G5kCGteGv0g_8_0"/>
      <w:bookmarkStart w:id="288" w:name="Tc_6vanhx6UmEmT9QDvaOBSFQ_7_14"/>
      <w:bookmarkStart w:id="289" w:name="Tc_zy--z7TDmUaS8WOpsRQaMg_7_11"/>
      <w:bookmarkStart w:id="290" w:name="Tc_c0TXY0fd4UO0IlA7puur1w_7_8"/>
      <w:bookmarkStart w:id="291" w:name="Tc_9w-Myz4WfEOnmkFq3KeQwQ_7_5"/>
      <w:bookmarkStart w:id="292" w:name="Tc_dhVlj6cJ3EqJnWqEBSzwmA_7_0"/>
      <w:bookmarkStart w:id="293" w:name="Tc_qBDFlz1SG066DMhnzEDEBA_6_11"/>
      <w:bookmarkStart w:id="294" w:name="Tc_uQckrTgQgUyuIZPxwNZtMg_6_5"/>
      <w:bookmarkStart w:id="295" w:name="Tc_XGxkWi0vF0CkVnz6UoeA8w_6_0"/>
      <w:bookmarkStart w:id="296" w:name="Tc_Px3nte-40EWVr2S4T6YSog_5_13"/>
      <w:bookmarkStart w:id="297" w:name="Tc_ASbWVZOZFkS4BHpXEpzQNg_5_10"/>
      <w:bookmarkStart w:id="298" w:name="Tc_J1JrZJdnAEqeH5ayb72p7w_5_7"/>
      <w:bookmarkStart w:id="299" w:name="Tc_QEyYiLS180icZRJVXcTRQA_5_4"/>
      <w:bookmarkStart w:id="300" w:name="Tc_sz6e6nj5w0G00HN7avWfvA_5_0"/>
      <w:bookmarkStart w:id="301" w:name="Tc_ajJEnCbEdkKuyizMnRt2ug_4_13"/>
      <w:bookmarkStart w:id="302" w:name="Tc_YgcoKMQoqkC5sY6Etej5NA_4_10"/>
      <w:bookmarkStart w:id="303" w:name="Tc_geeMW3lgMUy6y9NcN5mp-Q_4_7"/>
      <w:bookmarkStart w:id="304" w:name="Tc_gbiCVK6CRkqoKhYHl380Iw_4_4"/>
      <w:bookmarkStart w:id="305" w:name="Tc_wboufWjuNUm6GuwC5h4Fkg_4_2"/>
      <w:bookmarkStart w:id="306" w:name="Tc_NthYoCI9sEmXFpExQQwnbg_3_13"/>
      <w:bookmarkStart w:id="307" w:name="Tc_FW2_I0E3Fki29csT0tNZyg_3_10"/>
      <w:bookmarkStart w:id="308" w:name="Tc_FaHN-rfUeEC7PKLg-wyLvg_3_7"/>
      <w:bookmarkStart w:id="309" w:name="Tc_l2Jwotr2xk6wepqDHvGJeg_3_2"/>
      <w:bookmarkStart w:id="310" w:name="Tc_sHUcwGk7QkmuEkrkOGgucA_2_13"/>
      <w:bookmarkStart w:id="311" w:name="Tc_7iyfi2ZJVUCZN15Ek6F4fw_2_7"/>
      <w:bookmarkStart w:id="312" w:name="Tc_GH26CaKJRUGQMlf76-xcrw_1_2"/>
      <w:bookmarkStart w:id="313" w:name="_c3d72a2c_c9b1_409c_b04d_728b3571d249"/>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tbl>
      <w:tblPr>
        <w:tblW w:w="9616" w:type="dxa"/>
        <w:jc w:val="left"/>
        <w:tblInd w:w="0" w:type="dxa"/>
        <w:tblCellMar>
          <w:top w:w="0" w:type="dxa"/>
          <w:left w:w="0" w:type="dxa"/>
          <w:bottom w:w="0" w:type="dxa"/>
          <w:right w:w="0" w:type="dxa"/>
        </w:tblCellMar>
      </w:tblPr>
      <w:tblGrid>
        <w:gridCol w:w="3901"/>
        <w:gridCol w:w="206"/>
        <w:gridCol w:w="916"/>
        <w:gridCol w:w="206"/>
        <w:gridCol w:w="249"/>
        <w:gridCol w:w="442"/>
        <w:gridCol w:w="206"/>
        <w:gridCol w:w="196"/>
        <w:gridCol w:w="691"/>
        <w:gridCol w:w="206"/>
        <w:gridCol w:w="217"/>
        <w:gridCol w:w="834"/>
        <w:gridCol w:w="206"/>
        <w:gridCol w:w="246"/>
        <w:gridCol w:w="894"/>
      </w:tblGrid>
      <w:tr>
        <w:trPr/>
        <w:tc>
          <w:tcPr>
            <w:tcW w:w="3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77135" cy="175260"/>
                      <wp:effectExtent l="0" t="0" r="0" b="0"/>
                      <wp:wrapNone/>
                      <wp:docPr id="22" name="Frame22"/>
                      <a:graphic xmlns:a="http://schemas.openxmlformats.org/drawingml/2006/main">
                        <a:graphicData uri="http://schemas.microsoft.com/office/word/2010/wordprocessingShape">
                          <wps:wsp>
                            <wps:cNvSpPr txBox="1"/>
                            <wps:spPr>
                              <a:xfrm>
                                <a:off x="0" y="0"/>
                                <a:ext cx="2477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0810" cy="175260"/>
                      <wp:effectExtent l="0" t="0" r="0" b="0"/>
                      <wp:wrapNone/>
                      <wp:docPr id="23" name="Frame2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81660" cy="175260"/>
                      <wp:effectExtent l="0" t="0" r="0" b="0"/>
                      <wp:wrapNone/>
                      <wp:docPr id="24" name="Frame24"/>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0810" cy="175260"/>
                      <wp:effectExtent l="0" t="0" r="0" b="0"/>
                      <wp:wrapNone/>
                      <wp:docPr id="25" name="Frame2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58115" cy="175260"/>
                      <wp:effectExtent l="0" t="0" r="0" b="0"/>
                      <wp:wrapNone/>
                      <wp:docPr id="26" name="Frame26"/>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80670" cy="175260"/>
                      <wp:effectExtent l="0" t="0" r="0" b="0"/>
                      <wp:wrapNone/>
                      <wp:docPr id="27" name="Frame27"/>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0810" cy="175260"/>
                      <wp:effectExtent l="0" t="0" r="0" b="0"/>
                      <wp:wrapNone/>
                      <wp:docPr id="28" name="Frame2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38785" cy="175260"/>
                      <wp:effectExtent l="0" t="0" r="0" b="0"/>
                      <wp:wrapNone/>
                      <wp:docPr id="30" name="Frame3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0810" cy="175260"/>
                      <wp:effectExtent l="0" t="0" r="0" b="0"/>
                      <wp:wrapNone/>
                      <wp:docPr id="31" name="Frame3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7795" cy="175260"/>
                      <wp:effectExtent l="0" t="0" r="0" b="0"/>
                      <wp:wrapNone/>
                      <wp:docPr id="32" name="Frame32"/>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29590" cy="175260"/>
                      <wp:effectExtent l="0" t="0" r="0" b="0"/>
                      <wp:wrapNone/>
                      <wp:docPr id="33" name="Frame33"/>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0810" cy="175260"/>
                      <wp:effectExtent l="0" t="0" r="0" b="0"/>
                      <wp:wrapNone/>
                      <wp:docPr id="34" name="Frame3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56210" cy="175260"/>
                      <wp:effectExtent l="0" t="0" r="0" b="0"/>
                      <wp:wrapNone/>
                      <wp:docPr id="35" name="Frame35"/>
                      <a:graphic xmlns:a="http://schemas.openxmlformats.org/drawingml/2006/main">
                        <a:graphicData uri="http://schemas.microsoft.com/office/word/2010/wordprocessingShape">
                          <wps:wsp>
                            <wps:cNvSpPr txBox="1"/>
                            <wps:spPr>
                              <a:xfrm>
                                <a:off x="0" y="0"/>
                                <a:ext cx="156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67690" cy="175260"/>
                      <wp:effectExtent l="0" t="0" r="0" b="0"/>
                      <wp:wrapNone/>
                      <wp:docPr id="36" name="Frame36"/>
                      <a:graphic xmlns:a="http://schemas.openxmlformats.org/drawingml/2006/main">
                        <a:graphicData uri="http://schemas.microsoft.com/office/word/2010/wordprocessingShape">
                          <wps:wsp>
                            <wps:cNvSpPr txBox="1"/>
                            <wps:spPr>
                              <a:xfrm>
                                <a:off x="0" y="0"/>
                                <a:ext cx="567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0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5509"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2022</w:t>
            </w:r>
          </w:p>
        </w:tc>
      </w:tr>
      <w:tr>
        <w:trPr/>
        <w:tc>
          <w:tcPr>
            <w:tcW w:w="390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0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181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90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shd w:fill="auto" w:val="clear"/>
            <w:vAlign w:val="center"/>
          </w:tcPr>
          <w:p>
            <w:pPr>
              <w:pStyle w:val="TableContents"/>
              <w:spacing w:before="0" w:after="0"/>
              <w:ind w:left="0" w:right="0" w:hanging="0"/>
              <w:rPr/>
            </w:pPr>
            <w:r>
              <w:rPr/>
              <w:t>  </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06" w:type="dxa"/>
            <w:tcBorders/>
            <w:shd w:fill="auto" w:val="clear"/>
            <w:vAlign w:val="center"/>
          </w:tcPr>
          <w:p>
            <w:pPr>
              <w:pStyle w:val="TableContents"/>
              <w:spacing w:before="0" w:after="0"/>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90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at December 31, 2021</w:t>
            </w:r>
          </w:p>
        </w:tc>
        <w:tc>
          <w:tcPr>
            <w:tcW w:w="20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19,858,460</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180,067</w:t>
            </w:r>
          </w:p>
        </w:tc>
        <w:tc>
          <w:tcPr>
            <w:tcW w:w="20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(152,831)</w:t>
            </w:r>
          </w:p>
        </w:tc>
        <w:tc>
          <w:tcPr>
            <w:tcW w:w="20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9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27,238</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Exercise of stock options</w:t>
            </w:r>
          </w:p>
        </w:tc>
        <w:tc>
          <w:tcPr>
            <w:tcW w:w="20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15,830</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20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pPr>
            <w:r>
              <w:rPr/>
              <w:t>​</w:t>
            </w:r>
          </w:p>
        </w:tc>
        <w:tc>
          <w:tcPr>
            <w:tcW w:w="89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r>
      <w:tr>
        <w:trPr/>
        <w:tc>
          <w:tcPr>
            <w:tcW w:w="390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Issuance of common stock under stock incentive plans</w:t>
            </w:r>
          </w:p>
        </w:tc>
        <w:tc>
          <w:tcPr>
            <w:tcW w:w="20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96,496</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pPr>
            <w:r>
              <w:rPr/>
              <w:t>​</w:t>
            </w:r>
          </w:p>
        </w:tc>
        <w:tc>
          <w:tcPr>
            <w:tcW w:w="894" w:type="dxa"/>
            <w:tcBorders/>
            <w:shd w:fill="CCEEFF" w:val="clear"/>
            <w:vAlign w:val="center"/>
          </w:tcPr>
          <w:p>
            <w:pPr>
              <w:pStyle w:val="TableContents"/>
              <w:spacing w:before="0" w:after="0"/>
              <w:ind w:left="0" w:right="0" w:hanging="0"/>
              <w:jc w:val="right"/>
              <w:rPr/>
            </w:pPr>
            <w:r>
              <w:rPr/>
              <w:t>—</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20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824</w:t>
            </w:r>
          </w:p>
        </w:tc>
        <w:tc>
          <w:tcPr>
            <w:tcW w:w="20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pPr>
            <w:r>
              <w:rPr/>
              <w:t>​</w:t>
            </w:r>
          </w:p>
        </w:tc>
        <w:tc>
          <w:tcPr>
            <w:tcW w:w="89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824</w:t>
            </w:r>
          </w:p>
        </w:tc>
      </w:tr>
      <w:tr>
        <w:trPr/>
        <w:tc>
          <w:tcPr>
            <w:tcW w:w="390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w:t>
            </w:r>
          </w:p>
        </w:tc>
        <w:tc>
          <w:tcPr>
            <w:tcW w:w="206" w:type="dxa"/>
            <w:tcBorders/>
            <w:shd w:fill="CCEEFF" w:val="cle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1,935</w:t>
            </w:r>
          </w:p>
        </w:tc>
        <w:tc>
          <w:tcPr>
            <w:tcW w:w="206" w:type="dxa"/>
            <w:tcBorders/>
            <w:shd w:fill="CCEEFF" w:val="clear"/>
            <w:vAlign w:val="center"/>
          </w:tcPr>
          <w:p>
            <w:pPr>
              <w:pStyle w:val="TableContents"/>
              <w:spacing w:before="0" w:after="0"/>
              <w:ind w:left="0" w:right="0" w:hanging="0"/>
              <w:rPr/>
            </w:pPr>
            <w:r>
              <w:rPr/>
              <w:t>​</w:t>
            </w:r>
          </w:p>
        </w:tc>
        <w:tc>
          <w:tcPr>
            <w:tcW w:w="24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9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1,935</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at March 31, 2022</w:t>
            </w:r>
          </w:p>
        </w:tc>
        <w:tc>
          <w:tcPr>
            <w:tcW w:w="206" w:type="dxa"/>
            <w:tcBorders/>
            <w:shd w:fill="auto" w:val="clear"/>
            <w:vAlign w:val="center"/>
          </w:tcPr>
          <w:p>
            <w:pPr>
              <w:pStyle w:val="TableContents"/>
              <w:spacing w:before="0" w:after="0"/>
              <w:ind w:left="0" w:right="0" w:hanging="0"/>
              <w:rPr/>
            </w:pPr>
            <w:r>
              <w:rPr/>
              <w:t>​</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19,970,786</w:t>
            </w:r>
          </w:p>
        </w:tc>
        <w:tc>
          <w:tcPr>
            <w:tcW w:w="20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0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180,960</w:t>
            </w:r>
          </w:p>
        </w:tc>
        <w:tc>
          <w:tcPr>
            <w:tcW w:w="206"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(150,896)</w:t>
            </w:r>
          </w:p>
        </w:tc>
        <w:tc>
          <w:tcPr>
            <w:tcW w:w="206" w:type="dxa"/>
            <w:tcBorders/>
            <w:shd w:fill="auto" w:val="clear"/>
            <w:vAlign w:val="center"/>
          </w:tcPr>
          <w:p>
            <w:pPr>
              <w:pStyle w:val="TableContents"/>
              <w:spacing w:before="0" w:after="0"/>
              <w:ind w:left="0" w:right="0" w:hanging="0"/>
              <w:rPr/>
            </w:pPr>
            <w:r>
              <w:rPr/>
              <w:t>​</w:t>
            </w:r>
          </w:p>
        </w:tc>
        <w:tc>
          <w:tcPr>
            <w:tcW w:w="24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9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30,066</w:t>
            </w:r>
          </w:p>
        </w:tc>
      </w:tr>
    </w:tbl>
    <w:p>
      <w:pPr>
        <w:pStyle w:val="TextBody"/>
        <w:spacing w:before="0" w:after="0"/>
        <w:ind w:left="0" w:right="0" w:hanging="0"/>
        <w:jc w:val="center"/>
        <w:rPr/>
      </w:pPr>
      <w:r>
        <w:rPr/>
        <w:t>​</w:t>
      </w:r>
    </w:p>
    <w:p>
      <w:pPr>
        <w:pStyle w:val="Normal"/>
        <w:spacing w:before="0" w:after="0"/>
        <w:rPr>
          <w:sz w:val="4"/>
          <w:szCs w:val="4"/>
        </w:rPr>
      </w:pPr>
      <w:r>
        <w:rPr>
          <w:sz w:val="4"/>
          <w:szCs w:val="4"/>
        </w:rPr>
      </w:r>
      <w:bookmarkStart w:id="314" w:name="Tc_83b0vETt20mA_b4aPkdGHg_10_13"/>
      <w:bookmarkStart w:id="315" w:name="Tc_wbRW_IR2ek-mAs2mu6vefA_10_10"/>
      <w:bookmarkStart w:id="316" w:name="Tc_ynUh9fb9ZUG_ZW460h4T9g_10_7"/>
      <w:bookmarkStart w:id="317" w:name="Tc_LkRn0dr-eEShvqxZnrzroQ_10_4"/>
      <w:bookmarkStart w:id="318" w:name="Tc_3cXziGxoNUec6eaitkM1fg_10_0"/>
      <w:bookmarkStart w:id="319" w:name="Tc_vV-yTGDJhkOZhsqdMy7TFQ_9_8"/>
      <w:bookmarkStart w:id="320" w:name="Tc_aFogLaAxcUe7vQje5rlm-Q_9_5"/>
      <w:bookmarkStart w:id="321" w:name="Tc_AbOr3D3-30uDYNwQS21i6g_9_2"/>
      <w:bookmarkStart w:id="322" w:name="Tc_J8Y6ujN4FkKN-D3lkxfiyQ_9_0"/>
      <w:bookmarkStart w:id="323" w:name="Tc_JVNPNKOXt0yNgR32nH7WDQ_8_11"/>
      <w:bookmarkStart w:id="324" w:name="Tc_cLVLIkS7kE2xxYxjhXoIWw_8_5"/>
      <w:bookmarkStart w:id="325" w:name="Tc_zYhM34djXUecLZ8riEyPJQ_8_2"/>
      <w:bookmarkStart w:id="326" w:name="Tc_I8RuSqm6yk2SJMVXFHE74g_8_0"/>
      <w:bookmarkStart w:id="327" w:name="Tc_4jXcYXYOlUy7STP242DCbQ_7_11"/>
      <w:bookmarkStart w:id="328" w:name="Tc_IeyPJOJEF0uuf7rRwAkT2Q_7_5"/>
      <w:bookmarkStart w:id="329" w:name="Tc_A5XiKWw0OEeT2s8GcnYqJg_7_0"/>
      <w:bookmarkStart w:id="330" w:name="Tc_xVk4Z2BRlUujRA00LIYzgA_6_11"/>
      <w:bookmarkStart w:id="331" w:name="Tc_1LhoQh3AgkukOaaJ_th7gw_6_5"/>
      <w:bookmarkStart w:id="332" w:name="Tc_cQ0Go7SuX0yBXJdHGd6GJQ_6_0"/>
      <w:bookmarkStart w:id="333" w:name="Tc_Q6xMBSSG7EuRROoPeKL3mQ_5_13"/>
      <w:bookmarkStart w:id="334" w:name="Tc_ZKN6Pn2JzUaxKNTVhmQcOQ_5_10"/>
      <w:bookmarkStart w:id="335" w:name="Tc_pi2lm_uig0aOCua9IeS2_g_5_7"/>
      <w:bookmarkStart w:id="336" w:name="Tc_b2ETjagNJ0Wktd_vWU2mFQ_5_4"/>
      <w:bookmarkStart w:id="337" w:name="Tc_XfigRijU5UOcPd-6yLpdmg_5_0"/>
      <w:bookmarkStart w:id="338" w:name="Tc_6kk6dq0OVkW7x2HkD-pf6w_4_13"/>
      <w:bookmarkStart w:id="339" w:name="Tc_b4FFJi09P0CBDDWMkxsx0A_4_10"/>
      <w:bookmarkStart w:id="340" w:name="Tc_wWok3GcrCkidZe79hHE99w_4_7"/>
      <w:bookmarkStart w:id="341" w:name="Tc_jUHXqxjZykKShnBXpV4GaA_4_4"/>
      <w:bookmarkStart w:id="342" w:name="Tc_Ik-24BkwmkugTfS3qIjBdQ_4_2"/>
      <w:bookmarkStart w:id="343" w:name="Tc_JEfLF8IT9UOyZy-XUNC8Pw_3_13"/>
      <w:bookmarkStart w:id="344" w:name="Tc_iHtvg1xbRUK4i6NVLCCQxQ_3_10"/>
      <w:bookmarkStart w:id="345" w:name="Tc_eVFQTshlTUilmnceNSLevQ_3_7"/>
      <w:bookmarkStart w:id="346" w:name="Tc_06tfdNuwskCOGqBEZR5DZw_3_2"/>
      <w:bookmarkStart w:id="347" w:name="Tc_KaHvPfvlCUuxOz4HiMtWDw_2_13"/>
      <w:bookmarkStart w:id="348" w:name="Tc_L39SIoZJNE6NsFRh0EOI5Q_2_7"/>
      <w:bookmarkStart w:id="349" w:name="Tc_2jo0VN-gr0ugsHSNCVSECw_1_2"/>
      <w:bookmarkStart w:id="350" w:name="_a717bcc2_8bf5_40fe_813b_36a89f65c9be"/>
      <w:bookmarkStart w:id="351" w:name="Tc_83b0vETt20mA_b4aPkdGHg_10_13"/>
      <w:bookmarkStart w:id="352" w:name="Tc_wbRW_IR2ek-mAs2mu6vefA_10_10"/>
      <w:bookmarkStart w:id="353" w:name="Tc_ynUh9fb9ZUG_ZW460h4T9g_10_7"/>
      <w:bookmarkStart w:id="354" w:name="Tc_LkRn0dr-eEShvqxZnrzroQ_10_4"/>
      <w:bookmarkStart w:id="355" w:name="Tc_3cXziGxoNUec6eaitkM1fg_10_0"/>
      <w:bookmarkStart w:id="356" w:name="Tc_vV-yTGDJhkOZhsqdMy7TFQ_9_8"/>
      <w:bookmarkStart w:id="357" w:name="Tc_aFogLaAxcUe7vQje5rlm-Q_9_5"/>
      <w:bookmarkStart w:id="358" w:name="Tc_AbOr3D3-30uDYNwQS21i6g_9_2"/>
      <w:bookmarkStart w:id="359" w:name="Tc_J8Y6ujN4FkKN-D3lkxfiyQ_9_0"/>
      <w:bookmarkStart w:id="360" w:name="Tc_JVNPNKOXt0yNgR32nH7WDQ_8_11"/>
      <w:bookmarkStart w:id="361" w:name="Tc_cLVLIkS7kE2xxYxjhXoIWw_8_5"/>
      <w:bookmarkStart w:id="362" w:name="Tc_zYhM34djXUecLZ8riEyPJQ_8_2"/>
      <w:bookmarkStart w:id="363" w:name="Tc_I8RuSqm6yk2SJMVXFHE74g_8_0"/>
      <w:bookmarkStart w:id="364" w:name="Tc_4jXcYXYOlUy7STP242DCbQ_7_11"/>
      <w:bookmarkStart w:id="365" w:name="Tc_IeyPJOJEF0uuf7rRwAkT2Q_7_5"/>
      <w:bookmarkStart w:id="366" w:name="Tc_A5XiKWw0OEeT2s8GcnYqJg_7_0"/>
      <w:bookmarkStart w:id="367" w:name="Tc_xVk4Z2BRlUujRA00LIYzgA_6_11"/>
      <w:bookmarkStart w:id="368" w:name="Tc_1LhoQh3AgkukOaaJ_th7gw_6_5"/>
      <w:bookmarkStart w:id="369" w:name="Tc_cQ0Go7SuX0yBXJdHGd6GJQ_6_0"/>
      <w:bookmarkStart w:id="370" w:name="Tc_Q6xMBSSG7EuRROoPeKL3mQ_5_13"/>
      <w:bookmarkStart w:id="371" w:name="Tc_ZKN6Pn2JzUaxKNTVhmQcOQ_5_10"/>
      <w:bookmarkStart w:id="372" w:name="Tc_pi2lm_uig0aOCua9IeS2_g_5_7"/>
      <w:bookmarkStart w:id="373" w:name="Tc_b2ETjagNJ0Wktd_vWU2mFQ_5_4"/>
      <w:bookmarkStart w:id="374" w:name="Tc_XfigRijU5UOcPd-6yLpdmg_5_0"/>
      <w:bookmarkStart w:id="375" w:name="Tc_6kk6dq0OVkW7x2HkD-pf6w_4_13"/>
      <w:bookmarkStart w:id="376" w:name="Tc_b4FFJi09P0CBDDWMkxsx0A_4_10"/>
      <w:bookmarkStart w:id="377" w:name="Tc_wWok3GcrCkidZe79hHE99w_4_7"/>
      <w:bookmarkStart w:id="378" w:name="Tc_jUHXqxjZykKShnBXpV4GaA_4_4"/>
      <w:bookmarkStart w:id="379" w:name="Tc_Ik-24BkwmkugTfS3qIjBdQ_4_2"/>
      <w:bookmarkStart w:id="380" w:name="Tc_JEfLF8IT9UOyZy-XUNC8Pw_3_13"/>
      <w:bookmarkStart w:id="381" w:name="Tc_iHtvg1xbRUK4i6NVLCCQxQ_3_10"/>
      <w:bookmarkStart w:id="382" w:name="Tc_eVFQTshlTUilmnceNSLevQ_3_7"/>
      <w:bookmarkStart w:id="383" w:name="Tc_06tfdNuwskCOGqBEZR5DZw_3_2"/>
      <w:bookmarkStart w:id="384" w:name="Tc_KaHvPfvlCUuxOz4HiMtWDw_2_13"/>
      <w:bookmarkStart w:id="385" w:name="Tc_L39SIoZJNE6NsFRh0EOI5Q_2_7"/>
      <w:bookmarkStart w:id="386" w:name="Tc_2jo0VN-gr0ugsHSNCVSECw_1_2"/>
      <w:bookmarkStart w:id="387" w:name="_a717bcc2_8bf5_40fe_813b_36a89f65c9be"/>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tbl>
      <w:tblPr>
        <w:tblW w:w="9616" w:type="dxa"/>
        <w:jc w:val="left"/>
        <w:tblInd w:w="0" w:type="dxa"/>
        <w:tblCellMar>
          <w:top w:w="0" w:type="dxa"/>
          <w:left w:w="0" w:type="dxa"/>
          <w:bottom w:w="0" w:type="dxa"/>
          <w:right w:w="0" w:type="dxa"/>
        </w:tblCellMar>
      </w:tblPr>
      <w:tblGrid>
        <w:gridCol w:w="3901"/>
        <w:gridCol w:w="206"/>
        <w:gridCol w:w="916"/>
        <w:gridCol w:w="206"/>
        <w:gridCol w:w="249"/>
        <w:gridCol w:w="442"/>
        <w:gridCol w:w="206"/>
        <w:gridCol w:w="196"/>
        <w:gridCol w:w="691"/>
        <w:gridCol w:w="206"/>
        <w:gridCol w:w="217"/>
        <w:gridCol w:w="834"/>
        <w:gridCol w:w="206"/>
        <w:gridCol w:w="246"/>
        <w:gridCol w:w="894"/>
      </w:tblGrid>
      <w:tr>
        <w:trPr/>
        <w:tc>
          <w:tcPr>
            <w:tcW w:w="3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477135" cy="175260"/>
                      <wp:effectExtent l="0" t="0" r="0" b="0"/>
                      <wp:wrapNone/>
                      <wp:docPr id="37" name="Frame37"/>
                      <a:graphic xmlns:a="http://schemas.openxmlformats.org/drawingml/2006/main">
                        <a:graphicData uri="http://schemas.microsoft.com/office/word/2010/wordprocessingShape">
                          <wps:wsp>
                            <wps:cNvSpPr txBox="1"/>
                            <wps:spPr>
                              <a:xfrm>
                                <a:off x="0" y="0"/>
                                <a:ext cx="2477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81660" cy="175260"/>
                      <wp:effectExtent l="0" t="0" r="0" b="0"/>
                      <wp:wrapNone/>
                      <wp:docPr id="39" name="Frame39"/>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0810" cy="175260"/>
                      <wp:effectExtent l="0" t="0" r="0" b="0"/>
                      <wp:wrapNone/>
                      <wp:docPr id="40" name="Frame4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8115" cy="175260"/>
                      <wp:effectExtent l="0" t="0" r="0" b="0"/>
                      <wp:wrapNone/>
                      <wp:docPr id="41" name="Frame41"/>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80670" cy="175260"/>
                      <wp:effectExtent l="0" t="0" r="0" b="0"/>
                      <wp:wrapNone/>
                      <wp:docPr id="42" name="Frame42"/>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0810" cy="175260"/>
                      <wp:effectExtent l="0" t="0" r="0" b="0"/>
                      <wp:wrapNone/>
                      <wp:docPr id="43" name="Frame4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8785" cy="175260"/>
                      <wp:effectExtent l="0" t="0" r="0" b="0"/>
                      <wp:wrapNone/>
                      <wp:docPr id="45" name="Frame4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0810" cy="175260"/>
                      <wp:effectExtent l="0" t="0" r="0" b="0"/>
                      <wp:wrapNone/>
                      <wp:docPr id="46" name="Frame4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7795" cy="175260"/>
                      <wp:effectExtent l="0" t="0" r="0" b="0"/>
                      <wp:wrapNone/>
                      <wp:docPr id="47" name="Frame47"/>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29590" cy="175260"/>
                      <wp:effectExtent l="0" t="0" r="0" b="0"/>
                      <wp:wrapNone/>
                      <wp:docPr id="48" name="Frame48"/>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0810" cy="175260"/>
                      <wp:effectExtent l="0" t="0" r="0" b="0"/>
                      <wp:wrapNone/>
                      <wp:docPr id="49" name="Frame4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56210" cy="175260"/>
                      <wp:effectExtent l="0" t="0" r="0" b="0"/>
                      <wp:wrapNone/>
                      <wp:docPr id="50" name="Frame50"/>
                      <a:graphic xmlns:a="http://schemas.openxmlformats.org/drawingml/2006/main">
                        <a:graphicData uri="http://schemas.microsoft.com/office/word/2010/wordprocessingShape">
                          <wps:wsp>
                            <wps:cNvSpPr txBox="1"/>
                            <wps:spPr>
                              <a:xfrm>
                                <a:off x="0" y="0"/>
                                <a:ext cx="156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67690" cy="175260"/>
                      <wp:effectExtent l="0" t="0" r="0" b="0"/>
                      <wp:wrapNone/>
                      <wp:docPr id="51" name="Frame51"/>
                      <a:graphic xmlns:a="http://schemas.openxmlformats.org/drawingml/2006/main">
                        <a:graphicData uri="http://schemas.microsoft.com/office/word/2010/wordprocessingShape">
                          <wps:wsp>
                            <wps:cNvSpPr txBox="1"/>
                            <wps:spPr>
                              <a:xfrm>
                                <a:off x="0" y="0"/>
                                <a:ext cx="567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0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5509"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2021</w:t>
            </w:r>
          </w:p>
        </w:tc>
      </w:tr>
      <w:tr>
        <w:trPr/>
        <w:tc>
          <w:tcPr>
            <w:tcW w:w="390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0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181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90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shd w:fill="auto" w:val="clear"/>
            <w:vAlign w:val="center"/>
          </w:tcPr>
          <w:p>
            <w:pPr>
              <w:pStyle w:val="TableContents"/>
              <w:spacing w:before="0" w:after="0"/>
              <w:ind w:left="0" w:right="0" w:hanging="0"/>
              <w:rPr/>
            </w:pPr>
            <w:r>
              <w:rPr/>
              <w:t>  </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06" w:type="dxa"/>
            <w:tcBorders/>
            <w:shd w:fill="auto" w:val="clear"/>
            <w:vAlign w:val="center"/>
          </w:tcPr>
          <w:p>
            <w:pPr>
              <w:pStyle w:val="TableContents"/>
              <w:spacing w:before="0" w:after="0"/>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90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at December 31, 2020</w:t>
            </w:r>
          </w:p>
        </w:tc>
        <w:tc>
          <w:tcPr>
            <w:tcW w:w="20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19,031,556</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174,584</w:t>
            </w:r>
          </w:p>
        </w:tc>
        <w:tc>
          <w:tcPr>
            <w:tcW w:w="20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(157,174)</w:t>
            </w:r>
          </w:p>
        </w:tc>
        <w:tc>
          <w:tcPr>
            <w:tcW w:w="20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9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17,412</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Exercise of stock options</w:t>
            </w:r>
          </w:p>
        </w:tc>
        <w:tc>
          <w:tcPr>
            <w:tcW w:w="20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54,077</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20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pPr>
            <w:r>
              <w:rPr/>
              <w:t>​</w:t>
            </w:r>
          </w:p>
        </w:tc>
        <w:tc>
          <w:tcPr>
            <w:tcW w:w="89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r>
      <w:tr>
        <w:trPr/>
        <w:tc>
          <w:tcPr>
            <w:tcW w:w="390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Issuance of common stock under stock incentive plans</w:t>
            </w:r>
          </w:p>
        </w:tc>
        <w:tc>
          <w:tcPr>
            <w:tcW w:w="20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136,709</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364</w:t>
            </w:r>
          </w:p>
        </w:tc>
        <w:tc>
          <w:tcPr>
            <w:tcW w:w="20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pPr>
            <w:r>
              <w:rPr/>
              <w:t>​</w:t>
            </w:r>
          </w:p>
        </w:tc>
        <w:tc>
          <w:tcPr>
            <w:tcW w:w="89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364</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20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743</w:t>
            </w:r>
          </w:p>
        </w:tc>
        <w:tc>
          <w:tcPr>
            <w:tcW w:w="20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pPr>
            <w:r>
              <w:rPr/>
              <w:t>​</w:t>
            </w:r>
          </w:p>
        </w:tc>
        <w:tc>
          <w:tcPr>
            <w:tcW w:w="89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743</w:t>
            </w:r>
          </w:p>
        </w:tc>
      </w:tr>
      <w:tr>
        <w:trPr/>
        <w:tc>
          <w:tcPr>
            <w:tcW w:w="390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w:t>
            </w:r>
          </w:p>
        </w:tc>
        <w:tc>
          <w:tcPr>
            <w:tcW w:w="206" w:type="dxa"/>
            <w:tcBorders/>
            <w:shd w:fill="CCEEFF" w:val="cle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(460)</w:t>
            </w:r>
          </w:p>
        </w:tc>
        <w:tc>
          <w:tcPr>
            <w:tcW w:w="206" w:type="dxa"/>
            <w:tcBorders/>
            <w:shd w:fill="CCEEFF" w:val="clear"/>
            <w:vAlign w:val="center"/>
          </w:tcPr>
          <w:p>
            <w:pPr>
              <w:pStyle w:val="TableContents"/>
              <w:spacing w:before="0" w:after="0"/>
              <w:ind w:left="0" w:right="0" w:hanging="0"/>
              <w:rPr/>
            </w:pPr>
            <w:r>
              <w:rPr/>
              <w:t>​</w:t>
            </w:r>
          </w:p>
        </w:tc>
        <w:tc>
          <w:tcPr>
            <w:tcW w:w="24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9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(460)</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at March 31, 2021</w:t>
            </w:r>
          </w:p>
        </w:tc>
        <w:tc>
          <w:tcPr>
            <w:tcW w:w="206" w:type="dxa"/>
            <w:tcBorders/>
            <w:shd w:fill="auto" w:val="clear"/>
            <w:vAlign w:val="center"/>
          </w:tcPr>
          <w:p>
            <w:pPr>
              <w:pStyle w:val="TableContents"/>
              <w:spacing w:before="0" w:after="0"/>
              <w:ind w:left="0" w:right="0" w:hanging="0"/>
              <w:rPr/>
            </w:pPr>
            <w:r>
              <w:rPr/>
              <w:t>​</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19,222,342</w:t>
            </w:r>
          </w:p>
        </w:tc>
        <w:tc>
          <w:tcPr>
            <w:tcW w:w="20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0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175,835</w:t>
            </w:r>
          </w:p>
        </w:tc>
        <w:tc>
          <w:tcPr>
            <w:tcW w:w="206"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(157,634)</w:t>
            </w:r>
          </w:p>
        </w:tc>
        <w:tc>
          <w:tcPr>
            <w:tcW w:w="206" w:type="dxa"/>
            <w:tcBorders/>
            <w:shd w:fill="auto" w:val="clear"/>
            <w:vAlign w:val="center"/>
          </w:tcPr>
          <w:p>
            <w:pPr>
              <w:pStyle w:val="TableContents"/>
              <w:spacing w:before="0" w:after="0"/>
              <w:ind w:left="0" w:right="0" w:hanging="0"/>
              <w:rPr/>
            </w:pPr>
            <w:r>
              <w:rPr/>
              <w:t>​</w:t>
            </w:r>
          </w:p>
        </w:tc>
        <w:tc>
          <w:tcPr>
            <w:tcW w:w="24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9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18,203</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388" w:name="_1eeebb76_f4ba_44b2_aba6_711f7ce6c5ae"/>
      <w:bookmarkEnd w:id="388"/>
      <w:r>
        <w:rPr>
          <w:rFonts w:ascii="Times New Roman;Times;serif" w:hAnsi="Times New Roman;Times;serif"/>
          <w:b/>
          <w:sz w:val="20"/>
        </w:rPr>
        <w:t>EVERSPIN TECHNOLOGIES, INC.</w:t>
      </w:r>
    </w:p>
    <w:p>
      <w:pPr>
        <w:pStyle w:val="TextBody"/>
        <w:spacing w:before="0" w:after="0"/>
        <w:ind w:left="0" w:right="0" w:hanging="0"/>
        <w:jc w:val="center"/>
        <w:rPr>
          <w:rFonts w:ascii="Times New Roman;Times;serif" w:hAnsi="Times New Roman;Times;serif"/>
          <w:b/>
          <w:sz w:val="20"/>
        </w:rPr>
      </w:pPr>
      <w:bookmarkStart w:id="389" w:name="CondensedStatementofCashFlows_267055"/>
      <w:bookmarkEnd w:id="389"/>
      <w:r>
        <w:rPr>
          <w:rFonts w:ascii="Times New Roman;Times;serif" w:hAnsi="Times New Roman;Times;serif"/>
          <w:b/>
          <w:sz w:val="20"/>
        </w:rPr>
        <w:t>Condensed Statement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390" w:name="Tc_DLJAKQktJECt6smEjUCmzg_39_5"/>
      <w:bookmarkStart w:id="391" w:name="Tc_4PV58Y3TZ0WjeWnknbWefw_39_3"/>
      <w:bookmarkStart w:id="392" w:name="Tc_GKmIOWwfdUWxb9KBGHQHXg_39_2"/>
      <w:bookmarkStart w:id="393" w:name="Tc_X_Drho-XkUKmpSvZOUluoQ_39_0"/>
      <w:bookmarkStart w:id="394" w:name="Tc_NIuDVeP700OrRjLtr7vk0Q_38_6"/>
      <w:bookmarkStart w:id="395" w:name="Tc_cDvtovons0iXvC6X6XIyOw_38_5"/>
      <w:bookmarkStart w:id="396" w:name="Tc_MBdzk2qyA0anLdrovsLo0A_38_2"/>
      <w:bookmarkStart w:id="397" w:name="Tc_enIYe7lYFUqAnXAtAhrT1w_38_0"/>
      <w:bookmarkStart w:id="398" w:name="Tc_99lleJfvXU6nH2kQbvSJzw_37_6"/>
      <w:bookmarkStart w:id="399" w:name="Tc_uh9Fz-eAqEyDz4vRvIDR7A_37_5"/>
      <w:bookmarkStart w:id="400" w:name="Tc_mwUWLZepNEO_F6Tw72vs_Q_37_2"/>
      <w:bookmarkStart w:id="401" w:name="Tc_RhVHe6APy0WICCfICPg1og_37_0"/>
      <w:bookmarkStart w:id="402" w:name="Tc_guj8n7CY4UuFqGxKSE9kIg_36_6"/>
      <w:bookmarkStart w:id="403" w:name="Tc_fTYNHJ7bakSDTvSMcdekXQ_36_5"/>
      <w:bookmarkStart w:id="404" w:name="Tc_vSDM6AFU4E2gg_zlsY4IWw_36_2"/>
      <w:bookmarkStart w:id="405" w:name="Tc_91D9XHPXS0ioq-BHAPc7mw_36_0"/>
      <w:bookmarkStart w:id="406" w:name="Tc_HXBWFmP7NE6ViVX0aSoE9w_35_0"/>
      <w:bookmarkStart w:id="407" w:name="Tc_21p37FSAqUGprcPB42y0uA_34_6"/>
      <w:bookmarkStart w:id="408" w:name="Tc_c_Zc6ojXUEiQxO9HgaAkIw_34_5"/>
      <w:bookmarkStart w:id="409" w:name="Tc_t8BHpdP-lEiLyvJ6Ka4rzQ_34_2"/>
      <w:bookmarkStart w:id="410" w:name="Tc_0MCbFeGOS0SfRD759VkwDg_34_0"/>
      <w:bookmarkStart w:id="411" w:name="Tc_W9SabidC3kiVM0seWSuzvA_33_5"/>
      <w:bookmarkStart w:id="412" w:name="Tc_JwXH_-SmmkKQ6ybv9pVu-A_33_2"/>
      <w:bookmarkStart w:id="413" w:name="Tc_hHY-yKbDEECBrARqjrrj7A_33_0"/>
      <w:bookmarkStart w:id="414" w:name="Tc_Z08wMqgIyU6S3-vKBRCdaQ_32_5"/>
      <w:bookmarkStart w:id="415" w:name="Tc_cfF8yhdxbUizYFPt2PgWhQ_32_2"/>
      <w:bookmarkStart w:id="416" w:name="Tc_J9Zs9GQ6NU-UNYOBHlX3nA_32_0"/>
      <w:bookmarkStart w:id="417" w:name="Tc_dSVo4rL5oU-y6M4g_4TFdg_31_0"/>
      <w:bookmarkStart w:id="418" w:name="Tc_y1w5mjAIG0CIQ2cEJeSY2g_30_5"/>
      <w:bookmarkStart w:id="419" w:name="Tc_kvmMWXmz6025zFkm-_SUSQ_30_2"/>
      <w:bookmarkStart w:id="420" w:name="Tc_IXwnhAZQckGe__IE-CoEZg_30_0"/>
      <w:bookmarkStart w:id="421" w:name="Tc_vNjPXUK93EmZTxRxZcmEOQ_29_0"/>
      <w:bookmarkStart w:id="422" w:name="Tc_pNoqzABV1EWo4wEYxTna1A_28_0"/>
      <w:bookmarkStart w:id="423" w:name="Tc_PUIhxwO7bkaEZYzkmLid9g_27_0"/>
      <w:bookmarkStart w:id="424" w:name="Tc_PccRUQlEBEau7vrV_70S0g_26_0"/>
      <w:bookmarkStart w:id="425" w:name="Tc_AI5CYtiZ2k-zkzQ_FaCV8Q_25_0"/>
      <w:bookmarkStart w:id="426" w:name="Tc_bSoA_wQAVE-KIqmVWQH7Hg_24_0"/>
      <w:bookmarkStart w:id="427" w:name="Tc_oHdG2bzBKEeINCs61ONBfg_23_0"/>
      <w:bookmarkStart w:id="428" w:name="Tc_SvWNhOXLqk-E50ieRPypUA_22_0"/>
      <w:bookmarkStart w:id="429" w:name="Tc_OL-gsEYIFkqQ9m3IkWXuKA_21_0"/>
      <w:bookmarkStart w:id="430" w:name="Tc_6iV8V5ucaEijhMLnXciSkA_20_0"/>
      <w:bookmarkStart w:id="431" w:name="Tc__E-poytHT0yddLmpeqp_Bg_19_0"/>
      <w:bookmarkStart w:id="432" w:name="Tc_ZYo3s0uU5kKjStQucoXBNQ_18_0"/>
      <w:bookmarkStart w:id="433" w:name="Tc_qtH0TPCtVE6CuuOAu9a2WQ_17_0"/>
      <w:bookmarkStart w:id="434" w:name="Tc_FzY1dG1PB0-cZndHLbu3Hg_16_0"/>
      <w:bookmarkStart w:id="435" w:name="Tc_6lEo32wdKUush9Nd-oRrjg_15_6"/>
      <w:bookmarkStart w:id="436" w:name="Tc_fcwrsm8Z002dC96L1p-4GQ_15_0"/>
      <w:bookmarkStart w:id="437" w:name="Tc_R4kPYqTUkkew0TssjJLDKQ_14_0"/>
      <w:bookmarkStart w:id="438" w:name="Tc_NbBlxffdh0-sZKVvpwta6Q_13_0"/>
      <w:bookmarkStart w:id="439" w:name="Tc_DUKq_SQD8EuP70_zT-jZxg_12_0"/>
      <w:bookmarkStart w:id="440" w:name="Tc_1h5v3d4PVUWeWgp_dr8XpA_11_0"/>
      <w:bookmarkStart w:id="441" w:name="Tc_UGKal76aj0iSl5SInrh5OA_10_0"/>
      <w:bookmarkStart w:id="442" w:name="Tc__0AY0LZE5EuHPaGdTjfuew_9_0"/>
      <w:bookmarkStart w:id="443" w:name="Tc_fOBdry9LREmkjGFhuRV-xA_8_0"/>
      <w:bookmarkStart w:id="444" w:name="Tc_p6_ntLv35UuBBtswqXoIeg_7_0"/>
      <w:bookmarkStart w:id="445" w:name="Tc_zgNoYhJaoE6_p_u4A-MLWQ_6_0"/>
      <w:bookmarkStart w:id="446" w:name="Tc_1vrgc95gOkOtQCKTBddaRA_5_0"/>
      <w:bookmarkStart w:id="447" w:name="Tc_Zfk2I3IRSUO8ULC98pIrPg_4_5"/>
      <w:bookmarkStart w:id="448" w:name="Tc_EKAWbps7b02Y2HC75vor4w_4_2"/>
      <w:bookmarkStart w:id="449" w:name="Tc_hde-ibVTzEeu4lg5Zv7cyw_4_0"/>
      <w:bookmarkStart w:id="450" w:name="Tc_bOmSnooUNkK5LiAP2iJUow_3_0"/>
      <w:bookmarkStart w:id="451" w:name="Tc___rL3RiwWkKwjhgY-3kHbg_2_5"/>
      <w:bookmarkStart w:id="452" w:name="Tc_OXgSsAQx7EykZijOULGBVw_2_2"/>
      <w:bookmarkStart w:id="453" w:name="Tc_fZaoiTu1GEmeSC_T06yMjA_1_2"/>
      <w:bookmarkStart w:id="454" w:name="_8dab0368_f712_47f7_b9f3_ecbab2cc2d04"/>
      <w:bookmarkStart w:id="455" w:name="Tc_DLJAKQktJECt6smEjUCmzg_39_5"/>
      <w:bookmarkStart w:id="456" w:name="Tc_4PV58Y3TZ0WjeWnknbWefw_39_3"/>
      <w:bookmarkStart w:id="457" w:name="Tc_GKmIOWwfdUWxb9KBGHQHXg_39_2"/>
      <w:bookmarkStart w:id="458" w:name="Tc_X_Drho-XkUKmpSvZOUluoQ_39_0"/>
      <w:bookmarkStart w:id="459" w:name="Tc_NIuDVeP700OrRjLtr7vk0Q_38_6"/>
      <w:bookmarkStart w:id="460" w:name="Tc_cDvtovons0iXvC6X6XIyOw_38_5"/>
      <w:bookmarkStart w:id="461" w:name="Tc_MBdzk2qyA0anLdrovsLo0A_38_2"/>
      <w:bookmarkStart w:id="462" w:name="Tc_enIYe7lYFUqAnXAtAhrT1w_38_0"/>
      <w:bookmarkStart w:id="463" w:name="Tc_99lleJfvXU6nH2kQbvSJzw_37_6"/>
      <w:bookmarkStart w:id="464" w:name="Tc_uh9Fz-eAqEyDz4vRvIDR7A_37_5"/>
      <w:bookmarkStart w:id="465" w:name="Tc_mwUWLZepNEO_F6Tw72vs_Q_37_2"/>
      <w:bookmarkStart w:id="466" w:name="Tc_RhVHe6APy0WICCfICPg1og_37_0"/>
      <w:bookmarkStart w:id="467" w:name="Tc_guj8n7CY4UuFqGxKSE9kIg_36_6"/>
      <w:bookmarkStart w:id="468" w:name="Tc_fTYNHJ7bakSDTvSMcdekXQ_36_5"/>
      <w:bookmarkStart w:id="469" w:name="Tc_vSDM6AFU4E2gg_zlsY4IWw_36_2"/>
      <w:bookmarkStart w:id="470" w:name="Tc_91D9XHPXS0ioq-BHAPc7mw_36_0"/>
      <w:bookmarkStart w:id="471" w:name="Tc_HXBWFmP7NE6ViVX0aSoE9w_35_0"/>
      <w:bookmarkStart w:id="472" w:name="Tc_21p37FSAqUGprcPB42y0uA_34_6"/>
      <w:bookmarkStart w:id="473" w:name="Tc_c_Zc6ojXUEiQxO9HgaAkIw_34_5"/>
      <w:bookmarkStart w:id="474" w:name="Tc_t8BHpdP-lEiLyvJ6Ka4rzQ_34_2"/>
      <w:bookmarkStart w:id="475" w:name="Tc_0MCbFeGOS0SfRD759VkwDg_34_0"/>
      <w:bookmarkStart w:id="476" w:name="Tc_W9SabidC3kiVM0seWSuzvA_33_5"/>
      <w:bookmarkStart w:id="477" w:name="Tc_JwXH_-SmmkKQ6ybv9pVu-A_33_2"/>
      <w:bookmarkStart w:id="478" w:name="Tc_hHY-yKbDEECBrARqjrrj7A_33_0"/>
      <w:bookmarkStart w:id="479" w:name="Tc_Z08wMqgIyU6S3-vKBRCdaQ_32_5"/>
      <w:bookmarkStart w:id="480" w:name="Tc_cfF8yhdxbUizYFPt2PgWhQ_32_2"/>
      <w:bookmarkStart w:id="481" w:name="Tc_J9Zs9GQ6NU-UNYOBHlX3nA_32_0"/>
      <w:bookmarkStart w:id="482" w:name="Tc_dSVo4rL5oU-y6M4g_4TFdg_31_0"/>
      <w:bookmarkStart w:id="483" w:name="Tc_y1w5mjAIG0CIQ2cEJeSY2g_30_5"/>
      <w:bookmarkStart w:id="484" w:name="Tc_kvmMWXmz6025zFkm-_SUSQ_30_2"/>
      <w:bookmarkStart w:id="485" w:name="Tc_IXwnhAZQckGe__IE-CoEZg_30_0"/>
      <w:bookmarkStart w:id="486" w:name="Tc_vNjPXUK93EmZTxRxZcmEOQ_29_0"/>
      <w:bookmarkStart w:id="487" w:name="Tc_pNoqzABV1EWo4wEYxTna1A_28_0"/>
      <w:bookmarkStart w:id="488" w:name="Tc_PUIhxwO7bkaEZYzkmLid9g_27_0"/>
      <w:bookmarkStart w:id="489" w:name="Tc_PccRUQlEBEau7vrV_70S0g_26_0"/>
      <w:bookmarkStart w:id="490" w:name="Tc_AI5CYtiZ2k-zkzQ_FaCV8Q_25_0"/>
      <w:bookmarkStart w:id="491" w:name="Tc_bSoA_wQAVE-KIqmVWQH7Hg_24_0"/>
      <w:bookmarkStart w:id="492" w:name="Tc_oHdG2bzBKEeINCs61ONBfg_23_0"/>
      <w:bookmarkStart w:id="493" w:name="Tc_SvWNhOXLqk-E50ieRPypUA_22_0"/>
      <w:bookmarkStart w:id="494" w:name="Tc_OL-gsEYIFkqQ9m3IkWXuKA_21_0"/>
      <w:bookmarkStart w:id="495" w:name="Tc_6iV8V5ucaEijhMLnXciSkA_20_0"/>
      <w:bookmarkStart w:id="496" w:name="Tc__E-poytHT0yddLmpeqp_Bg_19_0"/>
      <w:bookmarkStart w:id="497" w:name="Tc_ZYo3s0uU5kKjStQucoXBNQ_18_0"/>
      <w:bookmarkStart w:id="498" w:name="Tc_qtH0TPCtVE6CuuOAu9a2WQ_17_0"/>
      <w:bookmarkStart w:id="499" w:name="Tc_FzY1dG1PB0-cZndHLbu3Hg_16_0"/>
      <w:bookmarkStart w:id="500" w:name="Tc_6lEo32wdKUush9Nd-oRrjg_15_6"/>
      <w:bookmarkStart w:id="501" w:name="Tc_fcwrsm8Z002dC96L1p-4GQ_15_0"/>
      <w:bookmarkStart w:id="502" w:name="Tc_R4kPYqTUkkew0TssjJLDKQ_14_0"/>
      <w:bookmarkStart w:id="503" w:name="Tc_NbBlxffdh0-sZKVvpwta6Q_13_0"/>
      <w:bookmarkStart w:id="504" w:name="Tc_DUKq_SQD8EuP70_zT-jZxg_12_0"/>
      <w:bookmarkStart w:id="505" w:name="Tc_1h5v3d4PVUWeWgp_dr8XpA_11_0"/>
      <w:bookmarkStart w:id="506" w:name="Tc_UGKal76aj0iSl5SInrh5OA_10_0"/>
      <w:bookmarkStart w:id="507" w:name="Tc__0AY0LZE5EuHPaGdTjfuew_9_0"/>
      <w:bookmarkStart w:id="508" w:name="Tc_fOBdry9LREmkjGFhuRV-xA_8_0"/>
      <w:bookmarkStart w:id="509" w:name="Tc_p6_ntLv35UuBBtswqXoIeg_7_0"/>
      <w:bookmarkStart w:id="510" w:name="Tc_zgNoYhJaoE6_p_u4A-MLWQ_6_0"/>
      <w:bookmarkStart w:id="511" w:name="Tc_1vrgc95gOkOtQCKTBddaRA_5_0"/>
      <w:bookmarkStart w:id="512" w:name="Tc_Zfk2I3IRSUO8ULC98pIrPg_4_5"/>
      <w:bookmarkStart w:id="513" w:name="Tc_EKAWbps7b02Y2HC75vor4w_4_2"/>
      <w:bookmarkStart w:id="514" w:name="Tc_hde-ibVTzEeu4lg5Zv7cyw_4_0"/>
      <w:bookmarkStart w:id="515" w:name="Tc_bOmSnooUNkK5LiAP2iJUow_3_0"/>
      <w:bookmarkStart w:id="516" w:name="Tc___rL3RiwWkKwjhgY-3kHbg_2_5"/>
      <w:bookmarkStart w:id="517" w:name="Tc_OXgSsAQx7EykZijOULGBVw_2_2"/>
      <w:bookmarkStart w:id="518" w:name="Tc_fZaoiTu1GEmeSC_T06yMjA_1_2"/>
      <w:bookmarkStart w:id="519" w:name="_8dab0368_f712_47f7_b9f3_ecbab2cc2d0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tbl>
      <w:tblPr>
        <w:tblW w:w="9627" w:type="dxa"/>
        <w:jc w:val="left"/>
        <w:tblInd w:w="0" w:type="dxa"/>
        <w:tblCellMar>
          <w:top w:w="0" w:type="dxa"/>
          <w:left w:w="0" w:type="dxa"/>
          <w:bottom w:w="0" w:type="dxa"/>
          <w:right w:w="0" w:type="dxa"/>
        </w:tblCellMar>
      </w:tblPr>
      <w:tblGrid>
        <w:gridCol w:w="6811"/>
        <w:gridCol w:w="326"/>
        <w:gridCol w:w="241"/>
        <w:gridCol w:w="776"/>
        <w:gridCol w:w="401"/>
        <w:gridCol w:w="241"/>
        <w:gridCol w:w="831"/>
      </w:tblGrid>
      <w:tr>
        <w:trPr/>
        <w:tc>
          <w:tcPr>
            <w:tcW w:w="6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324985" cy="175260"/>
                      <wp:effectExtent l="0" t="0" r="0" b="0"/>
                      <wp:wrapNone/>
                      <wp:docPr id="52" name="Frame52"/>
                      <a:graphic xmlns:a="http://schemas.openxmlformats.org/drawingml/2006/main">
                        <a:graphicData uri="http://schemas.microsoft.com/office/word/2010/wordprocessingShape">
                          <wps:wsp>
                            <wps:cNvSpPr txBox="1"/>
                            <wps:spPr>
                              <a:xfrm>
                                <a:off x="0" y="0"/>
                                <a:ext cx="432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3035" cy="175260"/>
                      <wp:effectExtent l="0" t="0" r="0" b="0"/>
                      <wp:wrapNone/>
                      <wp:docPr id="54" name="Frame54"/>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2760" cy="175260"/>
                      <wp:effectExtent l="0" t="0" r="0" b="0"/>
                      <wp:wrapNone/>
                      <wp:docPr id="55" name="Frame55"/>
                      <a:graphic xmlns:a="http://schemas.openxmlformats.org/drawingml/2006/main">
                        <a:graphicData uri="http://schemas.microsoft.com/office/word/2010/wordprocessingShape">
                          <wps:wsp>
                            <wps:cNvSpPr txBox="1"/>
                            <wps:spPr>
                              <a:xfrm>
                                <a:off x="0" y="0"/>
                                <a:ext cx="492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54635" cy="175260"/>
                      <wp:effectExtent l="0" t="0" r="0" b="0"/>
                      <wp:wrapNone/>
                      <wp:docPr id="56" name="Frame56"/>
                      <a:graphic xmlns:a="http://schemas.openxmlformats.org/drawingml/2006/main">
                        <a:graphicData uri="http://schemas.microsoft.com/office/word/2010/wordprocessingShape">
                          <wps:wsp>
                            <wps:cNvSpPr txBox="1"/>
                            <wps:spPr>
                              <a:xfrm>
                                <a:off x="0" y="0"/>
                                <a:ext cx="254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3035" cy="175260"/>
                      <wp:effectExtent l="0" t="0" r="0" b="0"/>
                      <wp:wrapNone/>
                      <wp:docPr id="57" name="Frame57"/>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7685" cy="175260"/>
                      <wp:effectExtent l="0" t="0" r="0" b="0"/>
                      <wp:wrapNone/>
                      <wp:docPr id="58" name="Frame58"/>
                      <a:graphic xmlns:a="http://schemas.openxmlformats.org/drawingml/2006/main">
                        <a:graphicData uri="http://schemas.microsoft.com/office/word/2010/wordprocessingShape">
                          <wps:wsp>
                            <wps:cNvSpPr txBox="1"/>
                            <wps:spPr>
                              <a:xfrm>
                                <a:off x="0" y="0"/>
                                <a:ext cx="527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1" w:type="dxa"/>
            <w:tcBorders/>
            <w:shd w:fill="auto" w:val="clear"/>
            <w:vAlign w:val="center"/>
          </w:tcPr>
          <w:p>
            <w:pPr>
              <w:pStyle w:val="TableContents"/>
              <w:spacing w:before="0" w:after="0"/>
              <w:ind w:left="0" w:right="0" w:hanging="0"/>
              <w:rPr/>
            </w:pPr>
            <w:r>
              <w:rPr/>
              <w:t>    </w:t>
            </w:r>
          </w:p>
        </w:tc>
        <w:tc>
          <w:tcPr>
            <w:tcW w:w="10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7"/>
              </w:rPr>
            </w:pPr>
            <w:r>
              <w:rPr>
                <w:rFonts w:ascii="Times New Roman;Times;serif" w:hAnsi="Times New Roman;Times;serif"/>
                <w:b/>
                <w:sz w:val="17"/>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241" w:type="dxa"/>
            <w:tcBorders/>
            <w:shd w:fill="CCEEFF" w:val="clear"/>
            <w:vAlign w:val="center"/>
          </w:tcPr>
          <w:p>
            <w:pPr>
              <w:pStyle w:val="TableContents"/>
              <w:spacing w:before="0" w:after="0"/>
              <w:ind w:left="0" w:right="0" w:hanging="0"/>
              <w:rPr/>
            </w:pPr>
            <w:r>
              <w:rPr/>
              <w:t>​</w:t>
            </w:r>
          </w:p>
        </w:tc>
        <w:tc>
          <w:tcPr>
            <w:tcW w:w="776" w:type="dxa"/>
            <w:tcBorders/>
            <w:shd w:fill="CCEEFF" w:val="clear"/>
            <w:vAlign w:val="center"/>
          </w:tcPr>
          <w:p>
            <w:pPr>
              <w:pStyle w:val="TableContents"/>
              <w:spacing w:before="0" w:after="0"/>
              <w:ind w:left="0" w:right="0" w:hanging="0"/>
              <w:jc w:val="right"/>
              <w:rPr/>
            </w:pPr>
            <w:r>
              <w:rPr/>
              <w:t>  </w:t>
            </w:r>
          </w:p>
        </w:tc>
        <w:tc>
          <w:tcPr>
            <w:tcW w:w="401" w:type="dxa"/>
            <w:tcBorders/>
            <w:shd w:fill="CCEEFF" w:val="clear"/>
            <w:vAlign w:val="center"/>
          </w:tcPr>
          <w:p>
            <w:pPr>
              <w:pStyle w:val="TableContents"/>
              <w:spacing w:before="0" w:after="0"/>
              <w:ind w:left="0" w:right="0" w:hanging="0"/>
              <w:rPr/>
            </w:pPr>
            <w:r>
              <w:rPr/>
              <w:t> </w:t>
            </w:r>
          </w:p>
        </w:tc>
        <w:tc>
          <w:tcPr>
            <w:tcW w:w="241" w:type="dxa"/>
            <w:tcBorders/>
            <w:shd w:fill="CCEEFF" w:val="clear"/>
            <w:vAlign w:val="center"/>
          </w:tcPr>
          <w:p>
            <w:pPr>
              <w:pStyle w:val="TableContents"/>
              <w:spacing w:before="0" w:after="0"/>
              <w:ind w:left="0" w:right="0" w:hanging="0"/>
              <w:rPr/>
            </w:pPr>
            <w:r>
              <w:rPr/>
              <w:t>​</w:t>
            </w:r>
          </w:p>
        </w:tc>
        <w:tc>
          <w:tcPr>
            <w:tcW w:w="831" w:type="dxa"/>
            <w:tcBorders/>
            <w:shd w:fill="CCEEFF" w:val="clear"/>
            <w:vAlign w:val="center"/>
          </w:tcPr>
          <w:p>
            <w:pPr>
              <w:pStyle w:val="TableContents"/>
              <w:spacing w:before="0" w:after="0"/>
              <w:ind w:left="0" w:right="0" w:hanging="0"/>
              <w:jc w:val="right"/>
              <w:rPr/>
            </w:pPr>
            <w:r>
              <w:rPr/>
              <w:t>  </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income (loss)</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1,935</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(460)</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Adjustments to reconcile net income (loss) to net cash (used in)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pPr>
            <w:r>
              <w:rPr/>
              <w:t>​</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258</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383</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Stock-based compensation</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824</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743</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Non-cash warrant revaluation</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(11)</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Non-cash interest expense</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32</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86</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Changes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776" w:type="dxa"/>
            <w:tcBorders/>
            <w:shd w:fill="auto" w:val="clear"/>
            <w:vAlign w:val="center"/>
          </w:tcPr>
          <w:p>
            <w:pPr>
              <w:pStyle w:val="TableContents"/>
              <w:spacing w:before="0" w:after="0"/>
              <w:ind w:left="0" w:right="0" w:hanging="0"/>
              <w:jc w:val="right"/>
              <w:rPr/>
            </w:pPr>
            <w:r>
              <w:rPr/>
              <w:t>​</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831"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Accounts receivable</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(2,047)</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(2,708)</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Inventory</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188</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363</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126</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62</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Right-of-use assets</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(3,061)</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343</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Other assets</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(13)</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Accounts payable</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267</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(63)</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Accrued liabilities</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(2,014)</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280</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Deferred revenue</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(502)</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3,000</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Lease liabilities</w:t>
            </w:r>
          </w:p>
        </w:tc>
        <w:tc>
          <w:tcPr>
            <w:tcW w:w="326"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3,047</w:t>
            </w:r>
          </w:p>
        </w:tc>
        <w:tc>
          <w:tcPr>
            <w:tcW w:w="401"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(382)</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cash (used in) provided by operating activities</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(971)</w:t>
            </w:r>
          </w:p>
        </w:tc>
        <w:tc>
          <w:tcPr>
            <w:tcW w:w="401"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1,651</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7"/>
              </w:rPr>
            </w:pPr>
            <w:r>
              <w:rPr>
                <w:rFonts w:ascii="Times New Roman;Times;serif" w:hAnsi="Times New Roman;Times;serif"/>
                <w:b/>
                <w:sz w:val="17"/>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pPr>
            <w:r>
              <w:rPr/>
              <w:t>​</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Purchases of property and equipment</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(22)</w:t>
            </w:r>
          </w:p>
        </w:tc>
        <w:tc>
          <w:tcPr>
            <w:tcW w:w="401"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(309)</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(22)</w:t>
            </w:r>
          </w:p>
        </w:tc>
        <w:tc>
          <w:tcPr>
            <w:tcW w:w="401"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(309)</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b/>
                <w:sz w:val="17"/>
              </w:rPr>
            </w:pPr>
            <w:r>
              <w:rPr>
                <w:rFonts w:ascii="Times New Roman;Times;serif" w:hAnsi="Times New Roman;Times;serif"/>
                <w:b/>
                <w:sz w:val="17"/>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776" w:type="dxa"/>
            <w:tcBorders/>
            <w:shd w:fill="auto" w:val="clear"/>
            <w:vAlign w:val="center"/>
          </w:tcPr>
          <w:p>
            <w:pPr>
              <w:pStyle w:val="TableContents"/>
              <w:spacing w:before="0" w:after="0"/>
              <w:ind w:left="0" w:right="0" w:hanging="0"/>
              <w:jc w:val="right"/>
              <w:rPr/>
            </w:pPr>
            <w:r>
              <w:rPr/>
              <w:t>​</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831" w:type="dxa"/>
            <w:tcBorders/>
            <w:shd w:fill="auto" w:val="clear"/>
            <w:vAlign w:val="center"/>
          </w:tcPr>
          <w:p>
            <w:pPr>
              <w:pStyle w:val="TableContents"/>
              <w:spacing w:before="0" w:after="0"/>
              <w:ind w:left="0" w:right="0" w:hanging="0"/>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Payments on long-term debt</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(600)</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(600)</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Proceeds from exercise of stock options and purchase of shares in employee stock purchase plan</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69</w:t>
            </w:r>
          </w:p>
        </w:tc>
        <w:tc>
          <w:tcPr>
            <w:tcW w:w="401"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144</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cash used in financing activities</w:t>
            </w:r>
          </w:p>
        </w:tc>
        <w:tc>
          <w:tcPr>
            <w:tcW w:w="326"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(531)</w:t>
            </w:r>
          </w:p>
        </w:tc>
        <w:tc>
          <w:tcPr>
            <w:tcW w:w="401"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(456)</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(decrease) increase in cash and cash equivalents</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(1,524)</w:t>
            </w:r>
          </w:p>
        </w:tc>
        <w:tc>
          <w:tcPr>
            <w:tcW w:w="401"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886</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Cash and cash equivalents at beginning of period</w:t>
            </w:r>
          </w:p>
        </w:tc>
        <w:tc>
          <w:tcPr>
            <w:tcW w:w="326"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21,409</w:t>
            </w:r>
          </w:p>
        </w:tc>
        <w:tc>
          <w:tcPr>
            <w:tcW w:w="401"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14,599</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Cash and cash equivalents at end of period</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19,885</w:t>
            </w:r>
          </w:p>
        </w:tc>
        <w:tc>
          <w:tcPr>
            <w:tcW w:w="401"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15,485</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7"/>
              </w:rPr>
            </w:pPr>
            <w:r>
              <w:rPr>
                <w:rFonts w:ascii="Times New Roman;Times;serif" w:hAnsi="Times New Roman;Times;serif"/>
                <w:b/>
                <w:sz w:val="17"/>
              </w:rPr>
              <w:t>Supplementary cash flow information:</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pPr>
            <w:r>
              <w:rPr/>
              <w:t>​</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Interest paid</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43</w:t>
            </w:r>
          </w:p>
        </w:tc>
        <w:tc>
          <w:tcPr>
            <w:tcW w:w="401"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66</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Operating cash flows paid for operating leases</w:t>
            </w:r>
          </w:p>
        </w:tc>
        <w:tc>
          <w:tcPr>
            <w:tcW w:w="326" w:type="dxa"/>
            <w:tcBorders/>
            <w:shd w:fill="CCEEFF" w:val="clear"/>
            <w:vAlign w:val="center"/>
          </w:tcPr>
          <w:p>
            <w:pPr>
              <w:pStyle w:val="TableContents"/>
              <w:spacing w:before="0" w:after="0"/>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318</w:t>
            </w:r>
          </w:p>
        </w:tc>
        <w:tc>
          <w:tcPr>
            <w:tcW w:w="401" w:type="dxa"/>
            <w:tcBorders/>
            <w:shd w:fill="CCEEFF" w:val="clear"/>
            <w:vAlign w:val="center"/>
          </w:tcPr>
          <w:p>
            <w:pPr>
              <w:pStyle w:val="TableContents"/>
              <w:spacing w:before="0" w:after="0"/>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413</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Financing cash flows paid for finance leases</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w:t>
            </w:r>
          </w:p>
        </w:tc>
        <w:tc>
          <w:tcPr>
            <w:tcW w:w="401"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7"/>
              </w:rPr>
            </w:pPr>
            <w:r>
              <w:rPr>
                <w:rFonts w:ascii="Times New Roman;Times;serif" w:hAnsi="Times New Roman;Times;serif"/>
                <w:b/>
                <w:sz w:val="17"/>
              </w:rPr>
              <w:t>Non-cash investing and financing activities:</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pPr>
            <w:r>
              <w:rPr/>
              <w:t>​</w:t>
            </w:r>
          </w:p>
        </w:tc>
        <w:tc>
          <w:tcPr>
            <w:tcW w:w="401"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Right-of-use assets obtained in exchange for operating lease liabilities</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3,350</w:t>
            </w:r>
          </w:p>
        </w:tc>
        <w:tc>
          <w:tcPr>
            <w:tcW w:w="401"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Right-of-use assets obtained in exchange for finance lease liabilities</w:t>
            </w:r>
          </w:p>
        </w:tc>
        <w:tc>
          <w:tcPr>
            <w:tcW w:w="326" w:type="dxa"/>
            <w:tcBorders/>
            <w:shd w:fill="CCEEFF" w:val="clear"/>
            <w:vAlign w:val="center"/>
          </w:tcPr>
          <w:p>
            <w:pPr>
              <w:pStyle w:val="TableContents"/>
              <w:spacing w:before="0" w:after="0"/>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36</w:t>
            </w:r>
          </w:p>
        </w:tc>
        <w:tc>
          <w:tcPr>
            <w:tcW w:w="401" w:type="dxa"/>
            <w:tcBorders/>
            <w:shd w:fill="CCEEFF" w:val="clear"/>
            <w:vAlign w:val="center"/>
          </w:tcPr>
          <w:p>
            <w:pPr>
              <w:pStyle w:val="TableContents"/>
              <w:spacing w:before="0" w:after="0"/>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Purchases of property and equipment in accounts payable and accrued liabilities</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257</w:t>
            </w:r>
          </w:p>
        </w:tc>
        <w:tc>
          <w:tcPr>
            <w:tcW w:w="401"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Bonus settled in shares of common stock</w:t>
            </w:r>
          </w:p>
        </w:tc>
        <w:tc>
          <w:tcPr>
            <w:tcW w:w="326" w:type="dxa"/>
            <w:tcBorders/>
            <w:shd w:fill="CCEEFF" w:val="clear"/>
            <w:vAlign w:val="center"/>
          </w:tcPr>
          <w:p>
            <w:pPr>
              <w:pStyle w:val="TableContents"/>
              <w:spacing w:before="0" w:after="0"/>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401" w:type="dxa"/>
            <w:tcBorders/>
            <w:shd w:fill="CCEEFF" w:val="clear"/>
            <w:vAlign w:val="center"/>
          </w:tcPr>
          <w:p>
            <w:pPr>
              <w:pStyle w:val="TableContents"/>
              <w:spacing w:before="0" w:after="0"/>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7"/>
              </w:rPr>
            </w:pPr>
            <w:r>
              <w:rPr>
                <w:rFonts w:ascii="Times New Roman;Times;serif" w:hAnsi="Times New Roman;Times;serif"/>
                <w:sz w:val="17"/>
              </w:rPr>
              <w:t>364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20" w:name="_f2c4edcf_837d_4907_8446_26edf618cdc4"/>
      <w:bookmarkEnd w:id="520"/>
      <w:r>
        <w:rPr>
          <w:rFonts w:ascii="Times New Roman;Times;serif" w:hAnsi="Times New Roman;Times;serif"/>
          <w:b/>
          <w:sz w:val="20"/>
        </w:rPr>
        <w:t>EVERSPIN TECHNOLOGIES, INC.</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521" w:name="NotestoCondensedFinancialStatements_2159"/>
      <w:bookmarkEnd w:id="521"/>
      <w:r>
        <w:rPr>
          <w:rFonts w:ascii="Times New Roman;Times;serif" w:hAnsi="Times New Roman;Times;serif"/>
          <w:b/>
          <w:sz w:val="20"/>
        </w:rPr>
        <w:t>Notes to Unaudited Condensed Financial Statements</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 Organization and Nature of Business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2021,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 March 31, 2022, are not necessarily indicative of the results to be expected for the year ending December 31, 2022 or for any other interim period or for any other future year.</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accompanying condensed financial statements and related financial information should be read in conjunction with the audited financial statements and the related notes thereto for the year ended December 31, 2021, included in the Company’s Annual Report on Form 10-K filed with the SEC.</w:t>
      </w:r>
    </w:p>
    <w:p>
      <w:pPr>
        <w:pStyle w:val="TextBody"/>
        <w:spacing w:before="0" w:after="0"/>
        <w:ind w:left="0" w:right="0" w:firstLine="360"/>
        <w:rPr/>
      </w:pPr>
      <w:r>
        <w:rPr/>
        <w:t>​</w:t>
      </w:r>
    </w:p>
    <w:p>
      <w:pPr>
        <w:pStyle w:val="TextBody"/>
        <w:spacing w:before="0" w:after="120"/>
        <w:ind w:left="0" w:right="0" w:firstLine="446"/>
        <w:rPr>
          <w:rFonts w:ascii="Times New Roman;Times;serif" w:hAnsi="Times New Roman;Times;serif"/>
          <w:sz w:val="20"/>
        </w:rPr>
      </w:pPr>
      <w:r>
        <w:rPr>
          <w:rFonts w:ascii="Times New Roman;Times;serif" w:hAnsi="Times New Roman;Times;serif"/>
          <w:sz w:val="20"/>
        </w:rPr>
        <w:t>The Company believes that its existing cash and cash equivalents as of March 31, 2022, coupled with its anticipated growth and sales levels and availability under its credit facility, will be sufficient to meet its anticipated cash requirements for at least the next 12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Prior Period Reclassifications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Certain immaterial prior period amounts have been reclassified to conform to the current period presentation.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warranty reserves, deferred tax assets and related valuation allowances, and stock-based compensation. The Company believes its estimates and assumptions are reasonable; however, actual results may differ from the Company’s estimates.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522" w:name="Tc_d07yLQ1yik6FutamgtfX0Q_7_3"/>
      <w:bookmarkStart w:id="523" w:name="Tc_eiNY1fXd1kKr2pOYuZbihA_7_0"/>
      <w:bookmarkStart w:id="524" w:name="Tc_ApN-PnIASUKkIzeLUZ8C_w_6_10"/>
      <w:bookmarkStart w:id="525" w:name="Tc_HkBjp771LkW2-T_SwUKpoA_6_8"/>
      <w:bookmarkStart w:id="526" w:name="Tc_zcNTD9Vq7EyoksV_q7fhrQ_6_5"/>
      <w:bookmarkStart w:id="527" w:name="Tc_O8ccPSlefkyPZj60bL2oVQ_6_3"/>
      <w:bookmarkStart w:id="528" w:name="Tc_255wcxQywEqGzjuZDCdNLQ_6_0"/>
      <w:bookmarkStart w:id="529" w:name="Tc_dpPiILJs6UiqCRKZrkuzXA_5_8"/>
      <w:bookmarkStart w:id="530" w:name="Tc_NCUwoEuy5UmXsToKs3foGg_5_0"/>
      <w:bookmarkStart w:id="531" w:name="Tc_LccCbC0rAUuK898S8muXDg_4_9"/>
      <w:bookmarkStart w:id="532" w:name="Tc_O7iOdxP6c0OGVsfChUH9Qg_4_7"/>
      <w:bookmarkStart w:id="533" w:name="Tc_YmO1-u_UvkKwsS627_O1CA_4_4"/>
      <w:bookmarkStart w:id="534" w:name="Tc_VeTkjBJ67Ee7eKAcWOO0YQ_4_2"/>
      <w:bookmarkStart w:id="535" w:name="Tc_DS1ioUYgEUOt18KnAZkBdw_4_0"/>
      <w:bookmarkStart w:id="536" w:name="Tc_7vZ40CIUtUOMJMUwoeBrMg_3_9"/>
      <w:bookmarkStart w:id="537" w:name="Tc_7k1bi2st7U-7rJkvU-xg8Q_3_7"/>
      <w:bookmarkStart w:id="538" w:name="Tc_m7sFaTjVVE-vz6Pn10DJIw_3_2"/>
      <w:bookmarkStart w:id="539" w:name="Tc_-QSGCkxKbEi-pVJroMwWqg_2_7"/>
      <w:bookmarkStart w:id="540" w:name="Tc_81Wku3HjNkOJzDsPy-mjMQ_2_2"/>
      <w:bookmarkStart w:id="541" w:name="Tc_KA-ANvdkeEqJhBrg7Ut49w_1_7"/>
      <w:bookmarkStart w:id="542" w:name="Tc_Kvng9DivykWjH5W_3SKUkA_1_2"/>
      <w:bookmarkStart w:id="543" w:name="_74b37656_0a86_485f_8853_6b0088f3dcd8"/>
      <w:bookmarkStart w:id="544" w:name="Tc_p9qMZRpCc0OezbEkbeMeKA_7_5"/>
      <w:bookmarkStart w:id="545" w:name="Tc_YrFrYTShg0-4CJVtRY_1IQ_7_2"/>
      <w:bookmarkStart w:id="546" w:name="Tc_LImpaxmb2EStENu27_p6LQ_7_0"/>
      <w:bookmarkStart w:id="547" w:name="Tc_G_lhBHwXWE6uFNVlfvWhwg_6_0"/>
      <w:bookmarkStart w:id="548" w:name="Tc_PNowol694kGGeqYbXqbdFw_5_6"/>
      <w:bookmarkStart w:id="549" w:name="Tc_XIBhvtRqCE6KGY8-a945Cw_5_0"/>
      <w:bookmarkStart w:id="550" w:name="Tc_ygEZALNpl0y8T3DtP-_h_g_4_0"/>
      <w:bookmarkStart w:id="551" w:name="Tc_HFv2IQHG50CGbBWwafz7vw_3_5"/>
      <w:bookmarkStart w:id="552" w:name="Tc_jNfH6IQeyUm35rR7nGdOiQ_3_2"/>
      <w:bookmarkStart w:id="553" w:name="Tc_neE71fk5t0aDMuUx3oQ9PQ_3_0"/>
      <w:bookmarkStart w:id="554" w:name="Tc_G6NjQbYGOEeyxXIAiF4IQA_2_5"/>
      <w:bookmarkStart w:id="555" w:name="Tc_WX9_f6-pkkKIcb0iMZEeuQ_2_2"/>
      <w:bookmarkStart w:id="556" w:name="Tc_DlFkTfGTwEqbGa2QV9qvOg_1_5"/>
      <w:bookmarkStart w:id="557" w:name="Tc_xQwYGsysZUijhNM93p1XSw_1_2"/>
      <w:bookmarkStart w:id="558" w:name="_3e646978_8ce2_4b1c_98f4_65e7f730316e"/>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Accounts receivable, net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Accounts receivable, net consisted of the following (in thousands):</w:t>
      </w:r>
    </w:p>
    <w:p>
      <w:pPr>
        <w:pStyle w:val="TextBody"/>
        <w:spacing w:before="0" w:after="0"/>
        <w:ind w:left="0" w:right="0" w:hanging="0"/>
        <w:rPr/>
      </w:pPr>
      <w:r>
        <w:rPr/>
        <w:t>​</w:t>
      </w:r>
    </w:p>
    <w:tbl>
      <w:tblPr>
        <w:tblW w:w="6654" w:type="dxa"/>
        <w:jc w:val="left"/>
        <w:tblInd w:w="0" w:type="dxa"/>
        <w:tblCellMar>
          <w:top w:w="0" w:type="dxa"/>
          <w:left w:w="0" w:type="dxa"/>
          <w:bottom w:w="0" w:type="dxa"/>
          <w:right w:w="0" w:type="dxa"/>
        </w:tblCellMar>
      </w:tblPr>
      <w:tblGrid>
        <w:gridCol w:w="4351"/>
        <w:gridCol w:w="109"/>
        <w:gridCol w:w="214"/>
        <w:gridCol w:w="686"/>
        <w:gridCol w:w="109"/>
        <w:gridCol w:w="281"/>
        <w:gridCol w:w="904"/>
      </w:tblGrid>
      <w:tr>
        <w:trPr/>
        <w:tc>
          <w:tcPr>
            <w:tcW w:w="4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762885" cy="175260"/>
                      <wp:effectExtent l="0" t="0" r="0" b="0"/>
                      <wp:wrapNone/>
                      <wp:docPr id="59" name="Frame59"/>
                      <a:graphic xmlns:a="http://schemas.openxmlformats.org/drawingml/2006/main">
                        <a:graphicData uri="http://schemas.microsoft.com/office/word/2010/wordprocessingShape">
                          <wps:wsp>
                            <wps:cNvSpPr txBox="1"/>
                            <wps:spPr>
                              <a:xfrm>
                                <a:off x="0" y="0"/>
                                <a:ext cx="2762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5890" cy="175260"/>
                      <wp:effectExtent l="0" t="0" r="0" b="0"/>
                      <wp:wrapNone/>
                      <wp:docPr id="61" name="Frame61"/>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35610" cy="175260"/>
                      <wp:effectExtent l="0" t="0" r="0" b="0"/>
                      <wp:wrapNone/>
                      <wp:docPr id="62" name="Frame62"/>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78435" cy="175260"/>
                      <wp:effectExtent l="0" t="0" r="0" b="0"/>
                      <wp:wrapNone/>
                      <wp:docPr id="64" name="Frame64"/>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74040" cy="175260"/>
                      <wp:effectExtent l="0" t="0" r="0" b="0"/>
                      <wp:wrapNone/>
                      <wp:docPr id="65" name="Frame65"/>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Trade accounts receivable </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9,798</w:t>
            </w:r>
          </w:p>
        </w:tc>
        <w:tc>
          <w:tcPr>
            <w:tcW w:w="109" w:type="dxa"/>
            <w:tcBorders/>
            <w:shd w:fill="CCEEFF" w:val="clear"/>
            <w:vAlign w:val="center"/>
          </w:tcPr>
          <w:p>
            <w:pPr>
              <w:pStyle w:val="TableContents"/>
              <w:spacing w:before="0" w:after="0"/>
              <w:ind w:left="0" w:right="0" w:hanging="0"/>
              <w:rPr/>
            </w:pPr>
            <w:r>
              <w:rPr/>
              <w:t>​</w:t>
            </w:r>
          </w:p>
        </w:tc>
        <w:tc>
          <w:tcPr>
            <w:tcW w:w="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8,140</w:t>
            </w:r>
          </w:p>
        </w:tc>
      </w:tr>
      <w:tr>
        <w:trPr/>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Unbilled accounts receivable</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968</w:t>
            </w:r>
          </w:p>
        </w:tc>
        <w:tc>
          <w:tcPr>
            <w:tcW w:w="109" w:type="dxa"/>
            <w:tcBorders/>
            <w:shd w:fill="auto" w:val="clear"/>
            <w:vAlign w:val="center"/>
          </w:tcPr>
          <w:p>
            <w:pPr>
              <w:pStyle w:val="TableContents"/>
              <w:spacing w:before="0" w:after="0"/>
              <w:ind w:left="0" w:right="0" w:hanging="0"/>
              <w:rPr/>
            </w:pPr>
            <w:r>
              <w:rPr/>
              <w:t>​</w:t>
            </w:r>
          </w:p>
        </w:tc>
        <w:tc>
          <w:tcPr>
            <w:tcW w:w="281" w:type="dxa"/>
            <w:tcBorders/>
            <w:shd w:fill="auto" w:val="clear"/>
            <w:vAlign w:val="center"/>
          </w:tcPr>
          <w:p>
            <w:pPr>
              <w:pStyle w:val="TableContents"/>
              <w:spacing w:before="0" w:after="0"/>
              <w:ind w:left="0" w:right="0" w:hanging="0"/>
              <w:rPr/>
            </w:pPr>
            <w:r>
              <w:rPr/>
              <w:t>​</w:t>
            </w:r>
          </w:p>
        </w:tc>
        <w:tc>
          <w:tcPr>
            <w:tcW w:w="9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4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receivables</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109" w:type="dxa"/>
            <w:tcBorders/>
            <w:shd w:fill="CCEEFF" w:val="clear"/>
            <w:vAlign w:val="center"/>
          </w:tcPr>
          <w:p>
            <w:pPr>
              <w:pStyle w:val="TableContents"/>
              <w:spacing w:before="0" w:after="0"/>
              <w:ind w:left="0" w:right="0" w:hanging="0"/>
              <w:rPr/>
            </w:pPr>
            <w:r>
              <w:rPr/>
              <w:t>​</w:t>
            </w:r>
          </w:p>
        </w:tc>
        <w:tc>
          <w:tcPr>
            <w:tcW w:w="281" w:type="dxa"/>
            <w:tcBorders/>
            <w:shd w:fill="CCEEFF" w:val="clear"/>
            <w:vAlign w:val="center"/>
          </w:tcPr>
          <w:p>
            <w:pPr>
              <w:pStyle w:val="TableContents"/>
              <w:spacing w:before="0" w:after="0"/>
              <w:ind w:left="0" w:right="0" w:hanging="0"/>
              <w:rPr/>
            </w:pPr>
            <w:r>
              <w:rPr/>
              <w:t> </w:t>
            </w:r>
          </w:p>
        </w:tc>
        <w:tc>
          <w:tcPr>
            <w:tcW w:w="904" w:type="dxa"/>
            <w:tcBorders/>
            <w:shd w:fill="CCEEFF" w:val="clear"/>
            <w:vAlign w:val="center"/>
          </w:tcPr>
          <w:p>
            <w:pPr>
              <w:pStyle w:val="TableContents"/>
              <w:spacing w:before="0" w:after="0"/>
              <w:ind w:left="0" w:right="0" w:hanging="0"/>
              <w:jc w:val="right"/>
              <w:rPr/>
            </w:pPr>
            <w:r>
              <w:rPr/>
              <w:t>—</w:t>
            </w:r>
          </w:p>
        </w:tc>
      </w:tr>
      <w:tr>
        <w:trPr/>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for product returns and price adjustments</w:t>
            </w:r>
          </w:p>
        </w:tc>
        <w:tc>
          <w:tcPr>
            <w:tcW w:w="109"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109" w:type="dxa"/>
            <w:tcBorders/>
            <w:shd w:fill="auto" w:val="clear"/>
            <w:vAlign w:val="center"/>
          </w:tcPr>
          <w:p>
            <w:pPr>
              <w:pStyle w:val="TableContents"/>
              <w:spacing w:before="0" w:after="0"/>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4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109"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10,240</w:t>
            </w:r>
          </w:p>
        </w:tc>
        <w:tc>
          <w:tcPr>
            <w:tcW w:w="109" w:type="dxa"/>
            <w:tcBorders/>
            <w:shd w:fill="CCEEFF" w:val="clear"/>
            <w:vAlign w:val="center"/>
          </w:tcPr>
          <w:p>
            <w:pPr>
              <w:pStyle w:val="TableContents"/>
              <w:spacing w:before="0" w:after="0"/>
              <w:ind w:left="0" w:right="0" w:hanging="0"/>
              <w:rPr/>
            </w:pPr>
            <w:r>
              <w:rPr/>
              <w:t>​</w:t>
            </w:r>
          </w:p>
        </w:tc>
        <w:tc>
          <w:tcPr>
            <w:tcW w:w="2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8,193</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Concentration of Credit Risk</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pStyle w:val="TextBody"/>
        <w:spacing w:before="0" w:after="0"/>
        <w:ind w:left="0" w:right="0" w:firstLine="360"/>
        <w:rPr/>
      </w:pPr>
      <w:r>
        <w:rPr/>
        <w:t>​</w:t>
      </w:r>
    </w:p>
    <w:tbl>
      <w:tblPr>
        <w:tblW w:w="6374" w:type="dxa"/>
        <w:jc w:val="left"/>
        <w:tblInd w:w="0" w:type="dxa"/>
        <w:tblCellMar>
          <w:top w:w="0" w:type="dxa"/>
          <w:left w:w="0" w:type="dxa"/>
          <w:bottom w:w="0" w:type="dxa"/>
          <w:right w:w="0" w:type="dxa"/>
        </w:tblCellMar>
      </w:tblPr>
      <w:tblGrid>
        <w:gridCol w:w="1081"/>
        <w:gridCol w:w="326"/>
        <w:gridCol w:w="611"/>
        <w:gridCol w:w="427"/>
        <w:gridCol w:w="611"/>
        <w:gridCol w:w="326"/>
        <w:gridCol w:w="109"/>
        <w:gridCol w:w="901"/>
        <w:gridCol w:w="326"/>
        <w:gridCol w:w="1141"/>
        <w:gridCol w:w="361"/>
        <w:gridCol w:w="154"/>
      </w:tblGrid>
      <w:tr>
        <w:trPr/>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86435" cy="175260"/>
                      <wp:effectExtent l="0" t="0" r="0" b="0"/>
                      <wp:wrapNone/>
                      <wp:docPr id="66" name="Frame66"/>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87985" cy="175260"/>
                      <wp:effectExtent l="0" t="0" r="0" b="0"/>
                      <wp:wrapNone/>
                      <wp:docPr id="68" name="Frame68"/>
                      <a:graphic xmlns:a="http://schemas.openxmlformats.org/drawingml/2006/main">
                        <a:graphicData uri="http://schemas.microsoft.com/office/word/2010/wordprocessingShape">
                          <wps:wsp>
                            <wps:cNvSpPr txBox="1"/>
                            <wps:spPr>
                              <a:xfrm>
                                <a:off x="0" y="0"/>
                                <a:ext cx="387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71145" cy="175260"/>
                      <wp:effectExtent l="0" t="0" r="0" b="0"/>
                      <wp:wrapNone/>
                      <wp:docPr id="69" name="Frame69"/>
                      <a:graphic xmlns:a="http://schemas.openxmlformats.org/drawingml/2006/main">
                        <a:graphicData uri="http://schemas.microsoft.com/office/word/2010/wordprocessingShape">
                          <wps:wsp>
                            <wps:cNvSpPr txBox="1"/>
                            <wps:spPr>
                              <a:xfrm>
                                <a:off x="0" y="0"/>
                                <a:ext cx="271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87985" cy="175260"/>
                      <wp:effectExtent l="0" t="0" r="0" b="0"/>
                      <wp:wrapNone/>
                      <wp:docPr id="70" name="Frame70"/>
                      <a:graphic xmlns:a="http://schemas.openxmlformats.org/drawingml/2006/main">
                        <a:graphicData uri="http://schemas.microsoft.com/office/word/2010/wordprocessingShape">
                          <wps:wsp>
                            <wps:cNvSpPr txBox="1"/>
                            <wps:spPr>
                              <a:xfrm>
                                <a:off x="0" y="0"/>
                                <a:ext cx="387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2135" cy="175260"/>
                      <wp:effectExtent l="0" t="0" r="0" b="0"/>
                      <wp:wrapNone/>
                      <wp:docPr id="73" name="Frame73"/>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24535" cy="175260"/>
                      <wp:effectExtent l="0" t="0" r="0" b="0"/>
                      <wp:wrapNone/>
                      <wp:docPr id="75" name="Frame7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29235" cy="175260"/>
                      <wp:effectExtent l="0" t="0" r="0" b="0"/>
                      <wp:wrapNone/>
                      <wp:docPr id="76" name="Frame7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7790" cy="175260"/>
                      <wp:effectExtent l="0" t="0" r="0" b="0"/>
                      <wp:wrapNone/>
                      <wp:docPr id="77" name="Frame7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75"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09" w:type="dxa"/>
            <w:tcBorders/>
            <w:shd w:fill="auto" w:val="clear"/>
            <w:vAlign w:val="center"/>
          </w:tcPr>
          <w:p>
            <w:pPr>
              <w:pStyle w:val="TableContents"/>
              <w:spacing w:before="0" w:after="0"/>
              <w:ind w:left="0" w:right="0" w:hanging="0"/>
              <w:rPr/>
            </w:pPr>
            <w:r>
              <w:rPr/>
              <w:t>​</w:t>
            </w:r>
          </w:p>
        </w:tc>
        <w:tc>
          <w:tcPr>
            <w:tcW w:w="23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Accounts Receivable, net</w:t>
            </w:r>
          </w:p>
        </w:tc>
        <w:tc>
          <w:tcPr>
            <w:tcW w:w="361"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49"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6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61"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4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0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Customers</w:t>
            </w:r>
          </w:p>
        </w:tc>
        <w:tc>
          <w:tcPr>
            <w:tcW w:w="326" w:type="dxa"/>
            <w:tcBorders/>
            <w:shd w:fill="auto" w:val="clear"/>
            <w:vAlign w:val="center"/>
          </w:tcPr>
          <w:p>
            <w:pPr>
              <w:pStyle w:val="TableContents"/>
              <w:spacing w:before="0" w:after="0"/>
              <w:ind w:left="0" w:right="0" w:hanging="0"/>
              <w:rPr/>
            </w:pPr>
            <w:r>
              <w:rPr/>
              <w:t>    </w:t>
            </w:r>
          </w:p>
        </w:tc>
        <w:tc>
          <w:tcPr>
            <w:tcW w:w="6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27" w:type="dxa"/>
            <w:tcBorders/>
            <w:shd w:fill="auto" w:val="clear"/>
            <w:vAlign w:val="center"/>
          </w:tcPr>
          <w:p>
            <w:pPr>
              <w:pStyle w:val="TableContents"/>
              <w:spacing w:before="0" w:after="0"/>
              <w:ind w:left="0" w:right="0" w:hanging="0"/>
              <w:rPr/>
            </w:pPr>
            <w:r>
              <w:rPr/>
              <w:t>    </w:t>
            </w:r>
          </w:p>
        </w:tc>
        <w:tc>
          <w:tcPr>
            <w:tcW w:w="6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spacing w:before="0" w:after="0"/>
              <w:ind w:left="0" w:right="0" w:hanging="0"/>
              <w:rPr/>
            </w:pPr>
            <w:r>
              <w:rPr/>
              <w:t> </w:t>
            </w:r>
          </w:p>
        </w:tc>
        <w:tc>
          <w:tcPr>
            <w:tcW w:w="611" w:type="dxa"/>
            <w:tcBorders/>
            <w:shd w:fill="CCEEFF"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27" w:type="dxa"/>
            <w:tcBorders/>
            <w:shd w:fill="CCEEFF" w:val="clear"/>
            <w:vAlign w:val="center"/>
          </w:tcPr>
          <w:p>
            <w:pPr>
              <w:pStyle w:val="TableContents"/>
              <w:spacing w:before="0" w:after="0"/>
              <w:ind w:left="0" w:right="0" w:hanging="0"/>
              <w:rPr/>
            </w:pPr>
            <w:r>
              <w:rPr/>
              <w:t>​</w:t>
            </w:r>
          </w:p>
        </w:tc>
        <w:tc>
          <w:tcPr>
            <w:tcW w:w="611" w:type="dxa"/>
            <w:tcBorders/>
            <w:shd w:fill="CCEEFF"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B</w:t>
            </w:r>
          </w:p>
        </w:tc>
        <w:tc>
          <w:tcPr>
            <w:tcW w:w="326" w:type="dxa"/>
            <w:tcBorders/>
            <w:shd w:fill="auto" w:val="clear"/>
            <w:vAlign w:val="center"/>
          </w:tcPr>
          <w:p>
            <w:pPr>
              <w:pStyle w:val="TableContents"/>
              <w:spacing w:before="0" w:after="0"/>
              <w:ind w:left="0" w:right="0" w:hanging="0"/>
              <w:rPr/>
            </w:pPr>
            <w:r>
              <w:rPr/>
              <w:t> </w:t>
            </w:r>
          </w:p>
        </w:tc>
        <w:tc>
          <w:tcPr>
            <w:tcW w:w="6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spacing w:before="0" w:after="0"/>
              <w:ind w:left="0" w:right="0" w:hanging="0"/>
              <w:rPr/>
            </w:pPr>
            <w:r>
              <w:rPr/>
              <w:t>​</w:t>
            </w:r>
          </w:p>
        </w:tc>
        <w:tc>
          <w:tcPr>
            <w:tcW w:w="6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bl>
    <w:tbl>
      <w:tblPr>
        <w:tblW w:w="1562" w:type="dxa"/>
        <w:jc w:val="left"/>
        <w:tblInd w:w="0" w:type="dxa"/>
        <w:tblCellMar>
          <w:top w:w="0" w:type="dxa"/>
          <w:left w:w="0" w:type="dxa"/>
          <w:bottom w:w="0" w:type="dxa"/>
          <w:right w:w="0" w:type="dxa"/>
        </w:tblCellMar>
      </w:tblPr>
      <w:tblGrid>
        <w:gridCol w:w="226"/>
        <w:gridCol w:w="1336"/>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33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Less than 10%</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pStyle w:val="TextBody"/>
        <w:spacing w:before="0" w:after="0"/>
        <w:ind w:left="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Level 1— Observable inputs such as quoted prices for identical assets or liabilities in active markets;</w:t>
      </w:r>
    </w:p>
    <w:p>
      <w:pPr>
        <w:pStyle w:val="TextBody"/>
        <w:spacing w:before="0" w:after="0"/>
        <w:ind w:left="36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Level 2— Inputs, other than quoted prices for identical assets or liabilities in active markets, which are observable either directly or indirectly; and</w:t>
      </w:r>
    </w:p>
    <w:p>
      <w:pPr>
        <w:pStyle w:val="TextBody"/>
        <w:spacing w:before="0" w:after="0"/>
        <w:ind w:left="36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Level 3— Unobservable inputs in which there is little or no market data requiring the reporting entity to develop its own assumptions.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360" w:right="0" w:hanging="0"/>
        <w:rPr/>
      </w:pPr>
      <w:bookmarkStart w:id="559" w:name="Tc_txOE7KZduEGvAdEGe1q_sw_9_11"/>
      <w:bookmarkStart w:id="560" w:name="Tc_oAnDwdEA90CNRsHYauSSpg_9_8"/>
      <w:bookmarkStart w:id="561" w:name="Tc_jupUYLv070aMXnJFJZ-9ag_9_6"/>
      <w:bookmarkStart w:id="562" w:name="Tc_06WZquFgX0SxqNicKoqOcw_9_5"/>
      <w:bookmarkStart w:id="563" w:name="Tc_n1RFy9RzuUCX4Erz7ju72g_9_3"/>
      <w:bookmarkStart w:id="564" w:name="Tc_rAO-f3cNFkKAsCziKF-_OA_9_2"/>
      <w:bookmarkStart w:id="565" w:name="Tc_qXzS-qw0ZEaG5u384LKxzg_9_0"/>
      <w:bookmarkStart w:id="566" w:name="Tc_0fKwVlFAqkWw7HcZb1XDUA_8_11"/>
      <w:bookmarkStart w:id="567" w:name="Tc_-sVZjDbbI0KubyQHrRuq6Q_8_8"/>
      <w:bookmarkStart w:id="568" w:name="Tc_X55LDr9TlUCdU-xlJnljBg_8_6"/>
      <w:bookmarkStart w:id="569" w:name="Tc_84BNvsiCKUCO3u3B1PnIxA_8_5"/>
      <w:bookmarkStart w:id="570" w:name="Tc_Tc7SF00rv0aqdVaWoAtZVg_8_3"/>
      <w:bookmarkStart w:id="571" w:name="Tc_IR8eFBZ7L0KiFcXnLOFicQ_8_2"/>
      <w:bookmarkStart w:id="572" w:name="Tc_y7Dufw6ibkW1XkxcQXh9Aw_8_0"/>
      <w:bookmarkStart w:id="573" w:name="Tc_CTJhQM-X-kOSPt5K3kS3Ow_7_0"/>
      <w:bookmarkStart w:id="574" w:name="Tc_Uxr0m_9CikmPnUyg2Z3vnQ_5_11"/>
      <w:bookmarkStart w:id="575" w:name="Tc_QJZTxAvDJkCWeoKnaUZrPQ_5_9"/>
      <w:bookmarkStart w:id="576" w:name="Tc_J8Gfg_JYXkSupc4snMqAWg_5_8"/>
      <w:bookmarkStart w:id="577" w:name="Tc_A4_zN7NY80aWNur7R_As7w_5_6"/>
      <w:bookmarkStart w:id="578" w:name="Tc_kk98c07EUEiIDj9YtK6sKw_5_5"/>
      <w:bookmarkStart w:id="579" w:name="Tc_5HFn4EwbpESkSBusGLN05g_5_2"/>
      <w:bookmarkStart w:id="580" w:name="Tc_C8MCyzzq7Eqhq3jd59F2qg_5_0"/>
      <w:bookmarkStart w:id="581" w:name="Tc_z6CX7couP0ywhUw7q3NTSA_4_11"/>
      <w:bookmarkStart w:id="582" w:name="Tc_CuhIPhklhkiPU3XJD9hBvw_4_9"/>
      <w:bookmarkStart w:id="583" w:name="Tc_GikRHdbJtkWaUN1Ec9ZHCg_4_8"/>
      <w:bookmarkStart w:id="584" w:name="Tc_TKkJp3VJ2EeI_iekxeQiZA_4_6"/>
      <w:bookmarkStart w:id="585" w:name="Tc_Y5RxTO7-VUmBgciG2QWTyQ_4_5"/>
      <w:bookmarkStart w:id="586" w:name="Tc_61D4KiGWeU2QsRfG7soD3A_4_2"/>
      <w:bookmarkStart w:id="587" w:name="Tc_cEOrjDKnFUCn2kYht3phUQ_4_0"/>
      <w:bookmarkStart w:id="588" w:name="Tc_m_CD-Op6I0ahECK6-ZC2Uw_3_0"/>
      <w:bookmarkStart w:id="589" w:name="Tc_W0myQiWMt0mhT-ExQZVeVA_2_11"/>
      <w:bookmarkStart w:id="590" w:name="Tc_RYPTvwjz0USPq0XLkYXXhA_2_8"/>
      <w:bookmarkStart w:id="591" w:name="Tc_cbk4_GkQ00GjfNhdvlaC8g_2_5"/>
      <w:bookmarkStart w:id="592" w:name="Tc_x0Knl_YQr0mKTiPmaKvL3w_2_2"/>
      <w:bookmarkStart w:id="593" w:name="Tc_quudov93gket1slgDEI15w_1_2"/>
      <w:bookmarkStart w:id="594" w:name="_704fb082_1059_4d1c_9442_41d87147f702"/>
      <w:bookmarkStart w:id="595" w:name="Tc_Wo4vWpvcSkezcn2bOvlDOw_9_11"/>
      <w:bookmarkStart w:id="596" w:name="Tc_SugA29-0zUC609o_uxBEFw_9_8"/>
      <w:bookmarkStart w:id="597" w:name="Tc_kD8bpca0fU6x1_XeQQh7Hw_9_6"/>
      <w:bookmarkStart w:id="598" w:name="Tc_LBaPnOXNnk2VHhv4Ql6lMg_9_5"/>
      <w:bookmarkStart w:id="599" w:name="Tc_WopnsbXZJU6XIWNrcWatLA_9_3"/>
      <w:bookmarkStart w:id="600" w:name="Tc_IbMPzO2JrkGuorcHZ6gS6w_9_2"/>
      <w:bookmarkStart w:id="601" w:name="Tc_5cQefSnKxUidTviFrgQrYw_9_0"/>
      <w:bookmarkStart w:id="602" w:name="Tc_l8cEgvWK802FghP5RQ9zUA_8_11"/>
      <w:bookmarkStart w:id="603" w:name="Tc_CqQXJeYw3E-ce05hWgPu9w_8_8"/>
      <w:bookmarkStart w:id="604" w:name="Tc_mS5DTYQH-UKJm79ykO8aAA_8_6"/>
      <w:bookmarkStart w:id="605" w:name="Tc_w7WJSTLEpU21Otj54SYGrg_8_5"/>
      <w:bookmarkStart w:id="606" w:name="Tc_KM4jUekga0yV_N73emNcrA_8_3"/>
      <w:bookmarkStart w:id="607" w:name="Tc_nWrw4u2JF0SDNri9_cQIuQ_8_2"/>
      <w:bookmarkStart w:id="608" w:name="Tc_5X1MQRSmhEaebiQ4GB-NQg_8_0"/>
      <w:bookmarkStart w:id="609" w:name="Tc_cSWCEfV0e06nKmXapJANpg_7_0"/>
      <w:bookmarkStart w:id="610" w:name="Tc_kpGFq2UiPkmxAXhJ-MRP2g_5_11"/>
      <w:bookmarkStart w:id="611" w:name="Tc_bubvdqOXtECh9JuynomUrw_5_9"/>
      <w:bookmarkStart w:id="612" w:name="Tc_jBZ64y2MaUCmjTRffeN55g_5_8"/>
      <w:bookmarkStart w:id="613" w:name="Tc_9UeIQzST8UeLyhjL98vEfQ_5_6"/>
      <w:bookmarkStart w:id="614" w:name="Tc_n4gZdoLRpkCckqxXQmTDqQ_5_5"/>
      <w:bookmarkStart w:id="615" w:name="Tc_w1_hBkGpjUWO5QMlcz9HdQ_5_2"/>
      <w:bookmarkStart w:id="616" w:name="Tc_nn0LQ94viEWFpFX7VQWBWg_5_0"/>
      <w:bookmarkStart w:id="617" w:name="Tc_q7Uey6qBi0qTrcAyJLQJnA_4_11"/>
      <w:bookmarkStart w:id="618" w:name="Tc_hGjCa8qixUeYWSyHumFq3g_4_9"/>
      <w:bookmarkStart w:id="619" w:name="Tc_VfsFurzKqk2jwQYxHx8RUg_4_8"/>
      <w:bookmarkStart w:id="620" w:name="Tc_mpi55g-_f0K51P7KbI5MQA_4_6"/>
      <w:bookmarkStart w:id="621" w:name="Tc_oG9kp6_3L0Odq2oM0fgUeQ_4_5"/>
      <w:bookmarkStart w:id="622" w:name="Tc_wj3g7JWfiUig6xnJmtdVHA_4_2"/>
      <w:bookmarkStart w:id="623" w:name="Tc_yP1pHmbB4kOlW_Ow2vIELA_4_0"/>
      <w:bookmarkStart w:id="624" w:name="Tc_wtn0jHzK7E2fE6M3ndHGpg_3_0"/>
      <w:bookmarkStart w:id="625" w:name="Tc_2692b40JEEidLZbbahm3Qg_2_11"/>
      <w:bookmarkStart w:id="626" w:name="Tc_2o_jmUWadkWXqNWF4PQl9A_2_8"/>
      <w:bookmarkStart w:id="627" w:name="Tc_TWJ1RaJqukqOBkhqpZgPlQ_2_5"/>
      <w:bookmarkStart w:id="628" w:name="Tc_NPFt-82s1Uy519UskeTQxg_2_2"/>
      <w:bookmarkStart w:id="629" w:name="Tc_1qhDThJ-RUqmUbgFWPSQ7g_1_2"/>
      <w:bookmarkStart w:id="630" w:name="_ab6aea14_783d_4e11_b777_6f10231edffa"/>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As of March 31, 2022,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Level 1 assets consist of highly liquid money market funds that are included in cash equivalents. The Company’s Level 3 liability consists of warrants issued in connection with the Company’s current credit facility (Note 6).</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tables sets forth the fair value of the Company’s financial assets and liabilities measured at fair value on a recurring basis (in thousands):</w:t>
      </w:r>
    </w:p>
    <w:p>
      <w:pPr>
        <w:pStyle w:val="TextBody"/>
        <w:spacing w:before="0" w:after="0"/>
        <w:ind w:left="0" w:right="0" w:hanging="0"/>
        <w:rPr/>
      </w:pPr>
      <w:r>
        <w:rPr/>
        <w:t>​</w:t>
      </w:r>
    </w:p>
    <w:tbl>
      <w:tblPr>
        <w:tblW w:w="7581" w:type="dxa"/>
        <w:jc w:val="left"/>
        <w:tblInd w:w="0" w:type="dxa"/>
        <w:tblCellMar>
          <w:top w:w="0" w:type="dxa"/>
          <w:left w:w="0" w:type="dxa"/>
          <w:bottom w:w="0" w:type="dxa"/>
          <w:right w:w="0" w:type="dxa"/>
        </w:tblCellMar>
      </w:tblPr>
      <w:tblGrid>
        <w:gridCol w:w="3196"/>
        <w:gridCol w:w="326"/>
        <w:gridCol w:w="211"/>
        <w:gridCol w:w="676"/>
        <w:gridCol w:w="326"/>
        <w:gridCol w:w="239"/>
        <w:gridCol w:w="392"/>
        <w:gridCol w:w="326"/>
        <w:gridCol w:w="239"/>
        <w:gridCol w:w="392"/>
        <w:gridCol w:w="326"/>
        <w:gridCol w:w="211"/>
        <w:gridCol w:w="721"/>
      </w:tblGrid>
      <w:tr>
        <w:trPr/>
        <w:tc>
          <w:tcPr>
            <w:tcW w:w="3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29460" cy="175260"/>
                      <wp:effectExtent l="0" t="0" r="0" b="0"/>
                      <wp:wrapNone/>
                      <wp:docPr id="78" name="Frame78"/>
                      <a:graphic xmlns:a="http://schemas.openxmlformats.org/drawingml/2006/main">
                        <a:graphicData uri="http://schemas.microsoft.com/office/word/2010/wordprocessingShape">
                          <wps:wsp>
                            <wps:cNvSpPr txBox="1"/>
                            <wps:spPr>
                              <a:xfrm>
                                <a:off x="0" y="0"/>
                                <a:ext cx="2029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29260" cy="175260"/>
                      <wp:effectExtent l="0" t="0" r="0" b="0"/>
                      <wp:wrapNone/>
                      <wp:docPr id="81" name="Frame8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51765" cy="175260"/>
                      <wp:effectExtent l="0" t="0" r="0" b="0"/>
                      <wp:wrapNone/>
                      <wp:docPr id="83" name="Frame83"/>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48920" cy="175260"/>
                      <wp:effectExtent l="0" t="0" r="0" b="0"/>
                      <wp:wrapNone/>
                      <wp:docPr id="84" name="Frame84"/>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1765" cy="175260"/>
                      <wp:effectExtent l="0" t="0" r="0" b="0"/>
                      <wp:wrapNone/>
                      <wp:docPr id="86" name="Frame86"/>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48920" cy="175260"/>
                      <wp:effectExtent l="0" t="0" r="0" b="0"/>
                      <wp:wrapNone/>
                      <wp:docPr id="87" name="Frame87"/>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57835" cy="175260"/>
                      <wp:effectExtent l="0" t="0" r="0" b="0"/>
                      <wp:wrapNone/>
                      <wp:docPr id="90" name="Frame90"/>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5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3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rPr/>
            </w:pPr>
            <w:r>
              <w:rPr/>
              <w:t>​</w:t>
            </w:r>
          </w:p>
        </w:tc>
      </w:tr>
      <w:tr>
        <w:trPr/>
        <w:tc>
          <w:tcPr>
            <w:tcW w:w="31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19,898</w:t>
            </w:r>
          </w:p>
        </w:tc>
        <w:tc>
          <w:tcPr>
            <w:tcW w:w="326" w:type="dxa"/>
            <w:tcBorders/>
            <w:shd w:fill="auto" w:val="clear"/>
            <w:vAlign w:val="center"/>
          </w:tcPr>
          <w:p>
            <w:pPr>
              <w:pStyle w:val="TableContents"/>
              <w:spacing w:before="0" w:after="0"/>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19,898</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measured at fair value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19,898</w:t>
            </w:r>
          </w:p>
        </w:tc>
        <w:tc>
          <w:tcPr>
            <w:tcW w:w="326" w:type="dxa"/>
            <w:tcBorders/>
            <w:shd w:fill="CCEEFF" w:val="clear"/>
            <w:vAlign w:val="center"/>
          </w:tcPr>
          <w:p>
            <w:pPr>
              <w:pStyle w:val="TableContents"/>
              <w:spacing w:before="0" w:after="0"/>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19,898</w:t>
            </w:r>
          </w:p>
        </w:tc>
      </w:tr>
      <w:tr>
        <w:trPr/>
        <w:tc>
          <w:tcPr>
            <w:tcW w:w="3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rPr/>
            </w:pPr>
            <w:r>
              <w:rPr/>
              <w:t>​</w:t>
            </w:r>
          </w:p>
        </w:tc>
      </w:tr>
      <w:tr>
        <w:trPr/>
        <w:tc>
          <w:tcPr>
            <w:tcW w:w="31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 liability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measured at fair value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39</w:t>
            </w:r>
          </w:p>
        </w:tc>
      </w:tr>
    </w:tbl>
    <w:p>
      <w:pPr>
        <w:pStyle w:val="TextBody"/>
        <w:spacing w:before="0" w:after="0"/>
        <w:ind w:left="0" w:right="0" w:hanging="0"/>
        <w:rPr/>
      </w:pPr>
      <w:r>
        <w:rPr/>
        <w:t>​</w:t>
      </w:r>
    </w:p>
    <w:tbl>
      <w:tblPr>
        <w:tblW w:w="7581" w:type="dxa"/>
        <w:jc w:val="left"/>
        <w:tblInd w:w="0" w:type="dxa"/>
        <w:tblCellMar>
          <w:top w:w="0" w:type="dxa"/>
          <w:left w:w="0" w:type="dxa"/>
          <w:bottom w:w="0" w:type="dxa"/>
          <w:right w:w="0" w:type="dxa"/>
        </w:tblCellMar>
      </w:tblPr>
      <w:tblGrid>
        <w:gridCol w:w="3196"/>
        <w:gridCol w:w="326"/>
        <w:gridCol w:w="211"/>
        <w:gridCol w:w="676"/>
        <w:gridCol w:w="326"/>
        <w:gridCol w:w="239"/>
        <w:gridCol w:w="392"/>
        <w:gridCol w:w="326"/>
        <w:gridCol w:w="239"/>
        <w:gridCol w:w="392"/>
        <w:gridCol w:w="326"/>
        <w:gridCol w:w="211"/>
        <w:gridCol w:w="721"/>
      </w:tblGrid>
      <w:tr>
        <w:trPr/>
        <w:tc>
          <w:tcPr>
            <w:tcW w:w="3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29460" cy="175260"/>
                      <wp:effectExtent l="0" t="0" r="0" b="0"/>
                      <wp:wrapNone/>
                      <wp:docPr id="91" name="Frame91"/>
                      <a:graphic xmlns:a="http://schemas.openxmlformats.org/drawingml/2006/main">
                        <a:graphicData uri="http://schemas.microsoft.com/office/word/2010/wordprocessingShape">
                          <wps:wsp>
                            <wps:cNvSpPr txBox="1"/>
                            <wps:spPr>
                              <a:xfrm>
                                <a:off x="0" y="0"/>
                                <a:ext cx="2029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260" cy="175260"/>
                      <wp:effectExtent l="0" t="0" r="0" b="0"/>
                      <wp:wrapNone/>
                      <wp:docPr id="94" name="Frame9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1765" cy="175260"/>
                      <wp:effectExtent l="0" t="0" r="0" b="0"/>
                      <wp:wrapNone/>
                      <wp:docPr id="96" name="Frame96"/>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48920" cy="175260"/>
                      <wp:effectExtent l="0" t="0" r="0" b="0"/>
                      <wp:wrapNone/>
                      <wp:docPr id="97" name="Frame97"/>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1765" cy="175260"/>
                      <wp:effectExtent l="0" t="0" r="0" b="0"/>
                      <wp:wrapNone/>
                      <wp:docPr id="99" name="Frame99"/>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48920" cy="175260"/>
                      <wp:effectExtent l="0" t="0" r="0" b="0"/>
                      <wp:wrapNone/>
                      <wp:docPr id="100" name="Frame100"/>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57835" cy="175260"/>
                      <wp:effectExtent l="0" t="0" r="0" b="0"/>
                      <wp:wrapNone/>
                      <wp:docPr id="103" name="Frame103"/>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5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3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rPr/>
            </w:pPr>
            <w:r>
              <w:rPr/>
              <w:t>​</w:t>
            </w:r>
          </w:p>
        </w:tc>
      </w:tr>
      <w:tr>
        <w:trPr/>
        <w:tc>
          <w:tcPr>
            <w:tcW w:w="31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21,508</w:t>
            </w:r>
          </w:p>
        </w:tc>
        <w:tc>
          <w:tcPr>
            <w:tcW w:w="326" w:type="dxa"/>
            <w:tcBorders/>
            <w:shd w:fill="auto" w:val="clear"/>
            <w:vAlign w:val="center"/>
          </w:tcPr>
          <w:p>
            <w:pPr>
              <w:pStyle w:val="TableContents"/>
              <w:spacing w:before="0" w:after="0"/>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21,508</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measured at fair value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21,508</w:t>
            </w:r>
          </w:p>
        </w:tc>
        <w:tc>
          <w:tcPr>
            <w:tcW w:w="326" w:type="dxa"/>
            <w:tcBorders/>
            <w:shd w:fill="CCEEFF" w:val="clear"/>
            <w:vAlign w:val="center"/>
          </w:tcPr>
          <w:p>
            <w:pPr>
              <w:pStyle w:val="TableContents"/>
              <w:spacing w:before="0" w:after="0"/>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21,508</w:t>
            </w:r>
          </w:p>
        </w:tc>
      </w:tr>
      <w:tr>
        <w:trPr/>
        <w:tc>
          <w:tcPr>
            <w:tcW w:w="3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31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 liability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measured at fair value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50</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Recently Issued Pronouncements </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June 2016, the Financial Accounting Standards Board (FASB) issued Accounting Standards Update (ASU) No. 2016-13, </w:t>
      </w:r>
      <w:r>
        <w:rPr>
          <w:rFonts w:ascii="Times New Roman;Times;serif" w:hAnsi="Times New Roman;Times;serif"/>
          <w:i/>
          <w:sz w:val="20"/>
        </w:rPr>
        <w:t>Financial Instruments-Credit Losses (Topic 326): Measurement of Credit Losses on Financial Instruments</w:t>
      </w:r>
      <w:r>
        <w:rPr>
          <w:rFonts w:ascii="Times New Roman;Times;serif" w:hAnsi="Times New Roman;Times;serif"/>
          <w:sz w:val="20"/>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2019-04, </w:t>
      </w:r>
      <w:r>
        <w:rPr>
          <w:rFonts w:ascii="Times New Roman;Times;serif" w:hAnsi="Times New Roman;Times;serif"/>
          <w:i/>
          <w:sz w:val="20"/>
        </w:rPr>
        <w:t>Codification Improvements Financial Instruments-Credit Losses (Topic 326)</w:t>
      </w:r>
      <w:r>
        <w:rPr>
          <w:rFonts w:ascii="Times New Roman;Times;serif" w:hAnsi="Times New Roman;Times;serif"/>
          <w:sz w:val="20"/>
        </w:rPr>
        <w:t>. ASU 2019-04 provides narrow-scope amendments to help apply ASU 2016-13, and is effective with the adoption of ASU 2016-13. The Company is evaluating the impact of the adoption of ASU 2016-13 and ASU 2019-04 on its financial statements.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color w:val="212529"/>
          <w:sz w:val="20"/>
          <w:highlight w:val="white"/>
        </w:rPr>
        <w:t xml:space="preserve">We </w:t>
      </w:r>
      <w:r>
        <w:rPr>
          <w:rFonts w:ascii="Times New Roman;Times;serif" w:hAnsi="Times New Roman;Times;serif"/>
          <w:sz w:val="20"/>
          <w:highlight w:val="white"/>
        </w:rPr>
        <w:t>reviewed</w:t>
      </w:r>
      <w:r>
        <w:rPr>
          <w:rFonts w:ascii="Times New Roman;Times;serif" w:hAnsi="Times New Roman;Times;serif"/>
          <w:color w:val="212529"/>
          <w:sz w:val="20"/>
          <w:highlight w:val="white"/>
        </w:rPr>
        <w:t xml:space="preserve"> all other recently issued accounting pronouncements and concluded that they were either not applicable or not expected to have a significant impact to the condensed consolidated financial statements.</w:t>
      </w:r>
    </w:p>
    <w:p>
      <w:pPr>
        <w:pStyle w:val="TextBody"/>
        <w:spacing w:before="0" w:after="0"/>
        <w:ind w:left="0" w:right="0" w:firstLine="360"/>
        <w:rPr/>
      </w:pPr>
      <w:r>
        <w:rPr/>
        <w:t>​</w:t>
      </w:r>
    </w:p>
    <w:p>
      <w:pPr>
        <w:pStyle w:val="TextBody"/>
        <w:spacing w:before="0" w:after="0"/>
        <w:ind w:left="0" w:right="0" w:firstLine="360"/>
        <w:rPr/>
      </w:pPr>
      <w:r>
        <w:rPr/>
        <w:t>​</w:t>
      </w:r>
    </w:p>
    <w:p>
      <w:pPr>
        <w:pStyle w:val="TextBody"/>
        <w:spacing w:before="0" w:after="0"/>
        <w:ind w:left="0" w:right="0" w:firstLine="360"/>
        <w:rPr/>
      </w:pPr>
      <w:r>
        <w:rPr/>
        <w:t>​</w:t>
      </w:r>
    </w:p>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631" w:name="Tc_nQ99l95pjEq9JXKLjiklvQ_6_5"/>
      <w:bookmarkStart w:id="632" w:name="Tc_kRHmHfe7XUWLetTuNL3kSQ_6_2"/>
      <w:bookmarkStart w:id="633" w:name="Tc_Obx5cTpxlES-ycs8my2xmA_6_0"/>
      <w:bookmarkStart w:id="634" w:name="Tc_CRJE_-qRBE6Dv5XhxjKfaA_5_0"/>
      <w:bookmarkStart w:id="635" w:name="Tc_PobGjNkeAUmf_CBJ1PfK4Q_4_0"/>
      <w:bookmarkStart w:id="636" w:name="Tc_rbGq9REPYEKCvjSaoXp03w_3_5"/>
      <w:bookmarkStart w:id="637" w:name="Tc_TmXCBbumI02W9SH_rdNlkw_3_2"/>
      <w:bookmarkStart w:id="638" w:name="Tc_RlQoCmSyrkCx9JR6eEFt_Q_3_0"/>
      <w:bookmarkStart w:id="639" w:name="Tc_1QAD0ld7NESbWjgchH5Q_g_2_5"/>
      <w:bookmarkStart w:id="640" w:name="Tc_mD9OU5y26kG6KGahPHO-_w_2_2"/>
      <w:bookmarkStart w:id="641" w:name="Tc_TuK_CO7fhUeltSd1xlnYCw_1_2"/>
      <w:bookmarkStart w:id="642" w:name="Tc_OXg85dCfF0GPxeLPjJi-_w_7_5"/>
      <w:bookmarkStart w:id="643" w:name="Tc_4FddKdR6V0OETisySjia7Q_7_2"/>
      <w:bookmarkStart w:id="644" w:name="Tc_PQE2_LMUEUGlMfpHuR6fzA_7_0"/>
      <w:bookmarkStart w:id="645" w:name="Tc_ju7IwIqZsUW4iPD1T7PI8A_6_0"/>
      <w:bookmarkStart w:id="646" w:name="Tc_jQ8Zblr4aEucsNtyJE5WKQ_5_0"/>
      <w:bookmarkStart w:id="647" w:name="Tc_7wcbR85bykCMNpZ99DoLVQ_4_6"/>
      <w:bookmarkStart w:id="648" w:name="Tc_XaYCiK_vDEatzaDPOxKNGg_4_0"/>
      <w:bookmarkStart w:id="649" w:name="Tc_J3nl2sMPIE2LZMA5Idzq1g_3_5"/>
      <w:bookmarkStart w:id="650" w:name="Tc_Ph1ZKxSInEGEanjS2aTnCA_3_2"/>
      <w:bookmarkStart w:id="651" w:name="Tc_rabDH3yqzUKGvPDhnlxAEw_3_0"/>
      <w:bookmarkStart w:id="652" w:name="Tc_Nlxg7C8rM0y_fMRRdYI8ew_2_5"/>
      <w:bookmarkStart w:id="653" w:name="Tc_Vq8J2culvkSPf0GkfA2N2Q_2_2"/>
      <w:bookmarkStart w:id="654" w:name="Tc_TfJ5XLtjlkOuMFNMRZ-lug_1_2"/>
      <w:bookmarkStart w:id="655" w:name="_dadc8422_85b4_4cd3_b8f1_f27473afc959"/>
      <w:bookmarkStart w:id="656" w:name="Tc_U7-zonuhCkKDwCpkYyxbxw_5_5"/>
      <w:bookmarkStart w:id="657" w:name="Tc_rKtd18Tp6kGE7I_uJaHYZg_5_2"/>
      <w:bookmarkStart w:id="658" w:name="Tc_FfopVkbam0aqaERscIiLPg_5_0"/>
      <w:bookmarkStart w:id="659" w:name="Tc_qn84av8sP06Bf8G41_kEAA_4_0"/>
      <w:bookmarkStart w:id="660" w:name="Tc_pcGSSNXFA0m37zWUJjTnsQ_3_5"/>
      <w:bookmarkStart w:id="661" w:name="Tc_Ucdk3jnJIka1XAR7XicKnw_3_2"/>
      <w:bookmarkStart w:id="662" w:name="Tc_R9WwOR-jP0COQTmiQEXJjg_3_0"/>
      <w:bookmarkStart w:id="663" w:name="Tc__jz0nSUi5Euevd8Z9EwifA_2_5"/>
      <w:bookmarkStart w:id="664" w:name="Tc_HfMzrD5sn02hWslfycQR1Q_2_2"/>
      <w:bookmarkStart w:id="665" w:name="Tc_bC_nlKgCsUSURVu2q_sL7Q_1_2"/>
      <w:bookmarkStart w:id="666" w:name="_1c8102a5_db95_45a8_b93c_d0d33027c0c6"/>
      <w:bookmarkStart w:id="667" w:name="Tc_SlVQxqjV9EKsp-Ch5dZYhA_5_5"/>
      <w:bookmarkStart w:id="668" w:name="Tc_fyLIPZq-UE6rSP744TArSA_5_2"/>
      <w:bookmarkStart w:id="669" w:name="Tc_yMw-30YkAUecf4QdZOr4uQ_5_0"/>
      <w:bookmarkStart w:id="670" w:name="Tc_r_MmclnOMUuiL48iNYw_iQ_4_0"/>
      <w:bookmarkStart w:id="671" w:name="Tc_hc-b-3K1Uka0DYG6r7-MuQ_3_5"/>
      <w:bookmarkStart w:id="672" w:name="Tc_aboBgDTAr0WOIGpJd7mtzQ_3_2"/>
      <w:bookmarkStart w:id="673" w:name="Tc_ueblE0eoj0SMlUBlVRC10g_3_0"/>
      <w:bookmarkStart w:id="674" w:name="Tc_Tn9t5q73m0Cvb_7KQgzHFA_2_5"/>
      <w:bookmarkStart w:id="675" w:name="Tc_Mgp-Q4RdPUiDt0SUrSrKnQ_2_2"/>
      <w:bookmarkStart w:id="676" w:name="Tc_MkWk81rU2UyFVaC5jiBMeA_1_2"/>
      <w:bookmarkStart w:id="677" w:name="_d1093991_4a5e_43c9_85d1_d098df6e394c"/>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ascii="Times New Roman;Times;serif" w:hAnsi="Times New Roman;Times;serif"/>
          <w:b/>
          <w:sz w:val="20"/>
        </w:rPr>
        <w:t>3. Revenue</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sells products to its distributors and OEMs. The Company also recognized revenue under licensing, patent, and royalty agreements with some customers.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presents the Company’s revenues disaggregated by sales channel (in thousands):</w:t>
      </w:r>
    </w:p>
    <w:p>
      <w:pPr>
        <w:pStyle w:val="TextBody"/>
        <w:spacing w:before="0" w:after="0"/>
        <w:ind w:left="0" w:right="0" w:firstLine="360"/>
        <w:rPr/>
      </w:pPr>
      <w:r>
        <w:rPr/>
        <w:t>​</w:t>
      </w:r>
    </w:p>
    <w:tbl>
      <w:tblPr>
        <w:tblW w:w="4196" w:type="dxa"/>
        <w:jc w:val="left"/>
        <w:tblInd w:w="0" w:type="dxa"/>
        <w:tblCellMar>
          <w:top w:w="0" w:type="dxa"/>
          <w:left w:w="0" w:type="dxa"/>
          <w:bottom w:w="0" w:type="dxa"/>
          <w:right w:w="0" w:type="dxa"/>
        </w:tblCellMar>
      </w:tblPr>
      <w:tblGrid>
        <w:gridCol w:w="1381"/>
        <w:gridCol w:w="326"/>
        <w:gridCol w:w="238"/>
        <w:gridCol w:w="763"/>
        <w:gridCol w:w="368"/>
        <w:gridCol w:w="238"/>
        <w:gridCol w:w="882"/>
      </w:tblGrid>
      <w:tr>
        <w:trPr/>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76935" cy="175260"/>
                      <wp:effectExtent l="0" t="0" r="0" b="0"/>
                      <wp:wrapNone/>
                      <wp:docPr id="104" name="Frame104"/>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51130" cy="175260"/>
                      <wp:effectExtent l="0" t="0" r="0" b="0"/>
                      <wp:wrapNone/>
                      <wp:docPr id="106" name="Frame106"/>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84505" cy="175260"/>
                      <wp:effectExtent l="0" t="0" r="0" b="0"/>
                      <wp:wrapNone/>
                      <wp:docPr id="107" name="Frame107"/>
                      <a:graphic xmlns:a="http://schemas.openxmlformats.org/drawingml/2006/main">
                        <a:graphicData uri="http://schemas.microsoft.com/office/word/2010/wordprocessingShape">
                          <wps:wsp>
                            <wps:cNvSpPr txBox="1"/>
                            <wps:spPr>
                              <a:xfrm>
                                <a:off x="0" y="0"/>
                                <a:ext cx="484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33680" cy="175260"/>
                      <wp:effectExtent l="0" t="0" r="0" b="0"/>
                      <wp:wrapNone/>
                      <wp:docPr id="108" name="Frame108"/>
                      <a:graphic xmlns:a="http://schemas.openxmlformats.org/drawingml/2006/main">
                        <a:graphicData uri="http://schemas.microsoft.com/office/word/2010/wordprocessingShape">
                          <wps:wsp>
                            <wps:cNvSpPr txBox="1"/>
                            <wps:spPr>
                              <a:xfrm>
                                <a:off x="0" y="0"/>
                                <a:ext cx="233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1130" cy="175260"/>
                      <wp:effectExtent l="0" t="0" r="0" b="0"/>
                      <wp:wrapNone/>
                      <wp:docPr id="109" name="Frame109"/>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60070" cy="175260"/>
                      <wp:effectExtent l="0" t="0" r="0" b="0"/>
                      <wp:wrapNone/>
                      <wp:docPr id="110" name="Frame110"/>
                      <a:graphic xmlns:a="http://schemas.openxmlformats.org/drawingml/2006/main">
                        <a:graphicData uri="http://schemas.microsoft.com/office/word/2010/wordprocessingShape">
                          <wps:wsp>
                            <wps:cNvSpPr txBox="1"/>
                            <wps:spPr>
                              <a:xfrm>
                                <a:off x="0" y="0"/>
                                <a:ext cx="560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8" w:type="dxa"/>
            <w:tcBorders/>
            <w:shd w:fill="auto" w:val="clear"/>
            <w:vAlign w:val="center"/>
          </w:tcPr>
          <w:p>
            <w:pPr>
              <w:pStyle w:val="TableContents"/>
              <w:spacing w:before="0" w:after="0"/>
              <w:ind w:left="0" w:right="0" w:hanging="0"/>
              <w:rPr/>
            </w:pPr>
            <w:r>
              <w:rPr/>
              <w:t>    </w:t>
            </w:r>
          </w:p>
        </w:tc>
        <w:tc>
          <w:tcPr>
            <w:tcW w:w="11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Distributor</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10,794</w:t>
            </w:r>
          </w:p>
        </w:tc>
        <w:tc>
          <w:tcPr>
            <w:tcW w:w="368"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7,866</w:t>
            </w:r>
          </w:p>
        </w:tc>
      </w:tr>
      <w:tr>
        <w:trPr/>
        <w:tc>
          <w:tcPr>
            <w:tcW w:w="1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Non-distributor</w:t>
            </w:r>
          </w:p>
        </w:tc>
        <w:tc>
          <w:tcPr>
            <w:tcW w:w="326"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3,553</w:t>
            </w:r>
          </w:p>
        </w:tc>
        <w:tc>
          <w:tcPr>
            <w:tcW w:w="368"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2,414</w:t>
            </w:r>
          </w:p>
        </w:tc>
      </w:tr>
      <w:tr>
        <w:trPr/>
        <w:tc>
          <w:tcPr>
            <w:tcW w:w="1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68" w:type="dxa"/>
            <w:tcBorders/>
            <w:shd w:fill="CCEEFF" w:val="clear"/>
            <w:vAlign w:val="center"/>
          </w:tcPr>
          <w:p>
            <w:pPr>
              <w:pStyle w:val="TableContents"/>
              <w:spacing w:before="0" w:after="0"/>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10,280</w:t>
            </w:r>
          </w:p>
        </w:tc>
      </w:tr>
    </w:tbl>
    <w:p>
      <w:pPr>
        <w:pStyle w:val="TextBody"/>
        <w:spacing w:before="0" w:after="0"/>
        <w:ind w:left="0" w:right="0" w:firstLine="360"/>
        <w:rPr/>
      </w:pPr>
      <w:r>
        <w:rPr/>
        <w:t>​</w:t>
      </w:r>
    </w:p>
    <w:p>
      <w:pPr>
        <w:pStyle w:val="TextBody"/>
        <w:spacing w:before="0" w:after="160"/>
        <w:ind w:left="0" w:right="0" w:firstLine="360"/>
        <w:jc w:val="both"/>
        <w:rPr>
          <w:rFonts w:ascii="Times New Roman;Times;serif" w:hAnsi="Times New Roman;Times;serif"/>
          <w:sz w:val="20"/>
        </w:rPr>
      </w:pPr>
      <w:r>
        <w:rPr>
          <w:rFonts w:ascii="Times New Roman;Times;serif" w:hAnsi="Times New Roman;Times;serif"/>
          <w:sz w:val="20"/>
        </w:rPr>
        <w:t>The following table presents the Company’s revenues disaggregated by timing of recognition (in thousands):</w:t>
      </w:r>
    </w:p>
    <w:tbl>
      <w:tblPr>
        <w:tblW w:w="4061" w:type="dxa"/>
        <w:jc w:val="left"/>
        <w:tblInd w:w="0" w:type="dxa"/>
        <w:tblCellMar>
          <w:top w:w="0" w:type="dxa"/>
          <w:left w:w="0" w:type="dxa"/>
          <w:bottom w:w="0" w:type="dxa"/>
          <w:right w:w="0" w:type="dxa"/>
        </w:tblCellMar>
      </w:tblPr>
      <w:tblGrid>
        <w:gridCol w:w="1246"/>
        <w:gridCol w:w="326"/>
        <w:gridCol w:w="238"/>
        <w:gridCol w:w="763"/>
        <w:gridCol w:w="368"/>
        <w:gridCol w:w="238"/>
        <w:gridCol w:w="882"/>
      </w:tblGrid>
      <w:tr>
        <w:trPr/>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91210" cy="175260"/>
                      <wp:effectExtent l="0" t="0" r="0" b="0"/>
                      <wp:wrapNone/>
                      <wp:docPr id="111" name="Frame111"/>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1130" cy="175260"/>
                      <wp:effectExtent l="0" t="0" r="0" b="0"/>
                      <wp:wrapNone/>
                      <wp:docPr id="113" name="Frame113"/>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84505" cy="175260"/>
                      <wp:effectExtent l="0" t="0" r="0" b="0"/>
                      <wp:wrapNone/>
                      <wp:docPr id="114" name="Frame114"/>
                      <a:graphic xmlns:a="http://schemas.openxmlformats.org/drawingml/2006/main">
                        <a:graphicData uri="http://schemas.microsoft.com/office/word/2010/wordprocessingShape">
                          <wps:wsp>
                            <wps:cNvSpPr txBox="1"/>
                            <wps:spPr>
                              <a:xfrm>
                                <a:off x="0" y="0"/>
                                <a:ext cx="484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33680" cy="175260"/>
                      <wp:effectExtent l="0" t="0" r="0" b="0"/>
                      <wp:wrapNone/>
                      <wp:docPr id="115" name="Frame115"/>
                      <a:graphic xmlns:a="http://schemas.openxmlformats.org/drawingml/2006/main">
                        <a:graphicData uri="http://schemas.microsoft.com/office/word/2010/wordprocessingShape">
                          <wps:wsp>
                            <wps:cNvSpPr txBox="1"/>
                            <wps:spPr>
                              <a:xfrm>
                                <a:off x="0" y="0"/>
                                <a:ext cx="233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1130" cy="175260"/>
                      <wp:effectExtent l="0" t="0" r="0" b="0"/>
                      <wp:wrapNone/>
                      <wp:docPr id="116" name="Frame116"/>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60070" cy="175260"/>
                      <wp:effectExtent l="0" t="0" r="0" b="0"/>
                      <wp:wrapNone/>
                      <wp:docPr id="117" name="Frame117"/>
                      <a:graphic xmlns:a="http://schemas.openxmlformats.org/drawingml/2006/main">
                        <a:graphicData uri="http://schemas.microsoft.com/office/word/2010/wordprocessingShape">
                          <wps:wsp>
                            <wps:cNvSpPr txBox="1"/>
                            <wps:spPr>
                              <a:xfrm>
                                <a:off x="0" y="0"/>
                                <a:ext cx="560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8" w:type="dxa"/>
            <w:tcBorders/>
            <w:shd w:fill="auto" w:val="clear"/>
            <w:vAlign w:val="center"/>
          </w:tcPr>
          <w:p>
            <w:pPr>
              <w:pStyle w:val="TableContents"/>
              <w:spacing w:before="0" w:after="0"/>
              <w:ind w:left="0" w:right="0" w:hanging="0"/>
              <w:rPr/>
            </w:pPr>
            <w:r>
              <w:rPr/>
              <w:t>    </w:t>
            </w:r>
          </w:p>
        </w:tc>
        <w:tc>
          <w:tcPr>
            <w:tcW w:w="11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Point in time</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13,646</w:t>
            </w:r>
          </w:p>
        </w:tc>
        <w:tc>
          <w:tcPr>
            <w:tcW w:w="368"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10,034</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Over time</w:t>
            </w:r>
          </w:p>
        </w:tc>
        <w:tc>
          <w:tcPr>
            <w:tcW w:w="326"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68"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68" w:type="dxa"/>
            <w:tcBorders/>
            <w:shd w:fill="CCEEFF" w:val="clear"/>
            <w:vAlign w:val="center"/>
          </w:tcPr>
          <w:p>
            <w:pPr>
              <w:pStyle w:val="TableContents"/>
              <w:spacing w:before="0" w:after="0"/>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10,280</w:t>
            </w:r>
          </w:p>
        </w:tc>
      </w:tr>
    </w:tbl>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presents the Company’s revenues disaggregated by type (in thousands):</w:t>
      </w:r>
    </w:p>
    <w:p>
      <w:pPr>
        <w:pStyle w:val="TextBody"/>
        <w:spacing w:before="0" w:after="0"/>
        <w:ind w:left="0" w:right="0" w:firstLine="360"/>
        <w:rPr/>
      </w:pPr>
      <w:r>
        <w:rPr/>
        <w:t>​</w:t>
      </w:r>
    </w:p>
    <w:tbl>
      <w:tblPr>
        <w:tblW w:w="4076" w:type="dxa"/>
        <w:jc w:val="left"/>
        <w:tblInd w:w="0" w:type="dxa"/>
        <w:tblCellMar>
          <w:top w:w="0" w:type="dxa"/>
          <w:left w:w="0" w:type="dxa"/>
          <w:bottom w:w="0" w:type="dxa"/>
          <w:right w:w="0" w:type="dxa"/>
        </w:tblCellMar>
      </w:tblPr>
      <w:tblGrid>
        <w:gridCol w:w="1261"/>
        <w:gridCol w:w="326"/>
        <w:gridCol w:w="238"/>
        <w:gridCol w:w="763"/>
        <w:gridCol w:w="368"/>
        <w:gridCol w:w="238"/>
        <w:gridCol w:w="882"/>
      </w:tblGrid>
      <w:tr>
        <w:trPr/>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00735" cy="175260"/>
                      <wp:effectExtent l="0" t="0" r="0" b="0"/>
                      <wp:wrapNone/>
                      <wp:docPr id="118" name="Frame118"/>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51130" cy="175260"/>
                      <wp:effectExtent l="0" t="0" r="0" b="0"/>
                      <wp:wrapNone/>
                      <wp:docPr id="120" name="Frame120"/>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84505" cy="175260"/>
                      <wp:effectExtent l="0" t="0" r="0" b="0"/>
                      <wp:wrapNone/>
                      <wp:docPr id="121" name="Frame121"/>
                      <a:graphic xmlns:a="http://schemas.openxmlformats.org/drawingml/2006/main">
                        <a:graphicData uri="http://schemas.microsoft.com/office/word/2010/wordprocessingShape">
                          <wps:wsp>
                            <wps:cNvSpPr txBox="1"/>
                            <wps:spPr>
                              <a:xfrm>
                                <a:off x="0" y="0"/>
                                <a:ext cx="484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33680" cy="175260"/>
                      <wp:effectExtent l="0" t="0" r="0" b="0"/>
                      <wp:wrapNone/>
                      <wp:docPr id="122" name="Frame122"/>
                      <a:graphic xmlns:a="http://schemas.openxmlformats.org/drawingml/2006/main">
                        <a:graphicData uri="http://schemas.microsoft.com/office/word/2010/wordprocessingShape">
                          <wps:wsp>
                            <wps:cNvSpPr txBox="1"/>
                            <wps:spPr>
                              <a:xfrm>
                                <a:off x="0" y="0"/>
                                <a:ext cx="233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1130" cy="175260"/>
                      <wp:effectExtent l="0" t="0" r="0" b="0"/>
                      <wp:wrapNone/>
                      <wp:docPr id="123" name="Frame123"/>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60070" cy="175260"/>
                      <wp:effectExtent l="0" t="0" r="0" b="0"/>
                      <wp:wrapNone/>
                      <wp:docPr id="124" name="Frame124"/>
                      <a:graphic xmlns:a="http://schemas.openxmlformats.org/drawingml/2006/main">
                        <a:graphicData uri="http://schemas.microsoft.com/office/word/2010/wordprocessingShape">
                          <wps:wsp>
                            <wps:cNvSpPr txBox="1"/>
                            <wps:spPr>
                              <a:xfrm>
                                <a:off x="0" y="0"/>
                                <a:ext cx="560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2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8" w:type="dxa"/>
            <w:tcBorders/>
            <w:shd w:fill="auto" w:val="clear"/>
            <w:vAlign w:val="center"/>
          </w:tcPr>
          <w:p>
            <w:pPr>
              <w:pStyle w:val="TableContents"/>
              <w:spacing w:before="0" w:after="0"/>
              <w:ind w:left="0" w:right="0" w:hanging="0"/>
              <w:rPr/>
            </w:pPr>
            <w:r>
              <w:rPr/>
              <w:t>    </w:t>
            </w:r>
          </w:p>
        </w:tc>
        <w:tc>
          <w:tcPr>
            <w:tcW w:w="11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12,671</w:t>
            </w:r>
          </w:p>
        </w:tc>
        <w:tc>
          <w:tcPr>
            <w:tcW w:w="368"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9,068</w:t>
            </w:r>
          </w:p>
        </w:tc>
      </w:tr>
      <w:tr>
        <w:trPr/>
        <w:tc>
          <w:tcPr>
            <w:tcW w:w="1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Licensing</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7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68"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right"/>
              <w:rPr/>
            </w:pPr>
            <w:r>
              <w:rPr/>
              <w:t>—</w:t>
            </w:r>
          </w:p>
        </w:tc>
      </w:tr>
      <w:tr>
        <w:trPr/>
        <w:tc>
          <w:tcPr>
            <w:tcW w:w="1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Royalties</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68"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1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revenue</w:t>
            </w:r>
          </w:p>
        </w:tc>
        <w:tc>
          <w:tcPr>
            <w:tcW w:w="326"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68"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1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68" w:type="dxa"/>
            <w:tcBorders/>
            <w:shd w:fill="CCEEFF" w:val="clear"/>
            <w:vAlign w:val="center"/>
          </w:tcPr>
          <w:p>
            <w:pPr>
              <w:pStyle w:val="TableContents"/>
              <w:spacing w:before="0" w:after="0"/>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10,280</w:t>
            </w:r>
          </w:p>
        </w:tc>
      </w:tr>
    </w:tbl>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recognizes revenue in three primary geographic regions: Asia-Pacific (APAC); North America; and Europe, Middle East and Africa (EMEA). The Company recognizes revenue by geography based on the region in which the products are sold, and not to where the end products in which they are assembled are shipped. The Company’s revenue by region for the periods indicated was as follows (in thousands):</w:t>
      </w:r>
    </w:p>
    <w:p>
      <w:pPr>
        <w:pStyle w:val="TextBody"/>
        <w:spacing w:before="0" w:after="0"/>
        <w:ind w:left="0" w:right="0" w:firstLine="360"/>
        <w:rPr/>
      </w:pPr>
      <w:r>
        <w:rPr/>
        <w:t>​</w:t>
      </w:r>
    </w:p>
    <w:tbl>
      <w:tblPr>
        <w:tblW w:w="4121" w:type="dxa"/>
        <w:jc w:val="left"/>
        <w:tblInd w:w="0" w:type="dxa"/>
        <w:tblCellMar>
          <w:top w:w="0" w:type="dxa"/>
          <w:left w:w="0" w:type="dxa"/>
          <w:bottom w:w="0" w:type="dxa"/>
          <w:right w:w="0" w:type="dxa"/>
        </w:tblCellMar>
      </w:tblPr>
      <w:tblGrid>
        <w:gridCol w:w="1306"/>
        <w:gridCol w:w="326"/>
        <w:gridCol w:w="238"/>
        <w:gridCol w:w="763"/>
        <w:gridCol w:w="368"/>
        <w:gridCol w:w="238"/>
        <w:gridCol w:w="882"/>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29310" cy="175260"/>
                      <wp:effectExtent l="0" t="0" r="0" b="0"/>
                      <wp:wrapNone/>
                      <wp:docPr id="125" name="Frame125"/>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1130" cy="175260"/>
                      <wp:effectExtent l="0" t="0" r="0" b="0"/>
                      <wp:wrapNone/>
                      <wp:docPr id="127" name="Frame127"/>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84505" cy="175260"/>
                      <wp:effectExtent l="0" t="0" r="0" b="0"/>
                      <wp:wrapNone/>
                      <wp:docPr id="128" name="Frame128"/>
                      <a:graphic xmlns:a="http://schemas.openxmlformats.org/drawingml/2006/main">
                        <a:graphicData uri="http://schemas.microsoft.com/office/word/2010/wordprocessingShape">
                          <wps:wsp>
                            <wps:cNvSpPr txBox="1"/>
                            <wps:spPr>
                              <a:xfrm>
                                <a:off x="0" y="0"/>
                                <a:ext cx="484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33680" cy="175260"/>
                      <wp:effectExtent l="0" t="0" r="0" b="0"/>
                      <wp:wrapNone/>
                      <wp:docPr id="129" name="Frame129"/>
                      <a:graphic xmlns:a="http://schemas.openxmlformats.org/drawingml/2006/main">
                        <a:graphicData uri="http://schemas.microsoft.com/office/word/2010/wordprocessingShape">
                          <wps:wsp>
                            <wps:cNvSpPr txBox="1"/>
                            <wps:spPr>
                              <a:xfrm>
                                <a:off x="0" y="0"/>
                                <a:ext cx="233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1130" cy="175260"/>
                      <wp:effectExtent l="0" t="0" r="0" b="0"/>
                      <wp:wrapNone/>
                      <wp:docPr id="130" name="Frame130"/>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0070" cy="175260"/>
                      <wp:effectExtent l="0" t="0" r="0" b="0"/>
                      <wp:wrapNone/>
                      <wp:docPr id="131" name="Frame131"/>
                      <a:graphic xmlns:a="http://schemas.openxmlformats.org/drawingml/2006/main">
                        <a:graphicData uri="http://schemas.microsoft.com/office/word/2010/wordprocessingShape">
                          <wps:wsp>
                            <wps:cNvSpPr txBox="1"/>
                            <wps:spPr>
                              <a:xfrm>
                                <a:off x="0" y="0"/>
                                <a:ext cx="560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8" w:type="dxa"/>
            <w:tcBorders/>
            <w:shd w:fill="auto" w:val="clear"/>
            <w:vAlign w:val="center"/>
          </w:tcPr>
          <w:p>
            <w:pPr>
              <w:pStyle w:val="TableContents"/>
              <w:spacing w:before="0" w:after="0"/>
              <w:ind w:left="0" w:right="0" w:hanging="0"/>
              <w:rPr/>
            </w:pPr>
            <w:r>
              <w:rPr/>
              <w:t>    </w:t>
            </w:r>
          </w:p>
        </w:tc>
        <w:tc>
          <w:tcPr>
            <w:tcW w:w="11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APAC</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9,234</w:t>
            </w:r>
          </w:p>
        </w:tc>
        <w:tc>
          <w:tcPr>
            <w:tcW w:w="368"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7,158</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North America</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7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368"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1,740</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EMEA</w:t>
            </w:r>
          </w:p>
        </w:tc>
        <w:tc>
          <w:tcPr>
            <w:tcW w:w="326" w:type="dxa"/>
            <w:tcBorders/>
            <w:shd w:fill="CCEEFF" w:val="clear"/>
            <w:vAlign w:val="center"/>
          </w:tcPr>
          <w:p>
            <w:pPr>
              <w:pStyle w:val="TableContents"/>
              <w:spacing w:before="0" w:after="0"/>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68" w:type="dxa"/>
            <w:tcBorders/>
            <w:shd w:fill="CCEEFF" w:val="clear"/>
            <w:vAlign w:val="center"/>
          </w:tcPr>
          <w:p>
            <w:pPr>
              <w:pStyle w:val="TableContents"/>
              <w:spacing w:before="0" w:after="0"/>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auto" w:val="clear"/>
            <w:vAlign w:val="center"/>
          </w:tcPr>
          <w:p>
            <w:pPr>
              <w:pStyle w:val="TableContents"/>
              <w:spacing w:before="0" w:after="0"/>
              <w:ind w:left="0" w:right="0" w:hanging="0"/>
              <w:rPr/>
            </w:pPr>
            <w:r>
              <w:rPr/>
              <w:t>​</w:t>
            </w:r>
          </w:p>
        </w:tc>
        <w:tc>
          <w:tcPr>
            <w:tcW w:w="23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68" w:type="dxa"/>
            <w:tcBorders/>
            <w:shd w:fill="auto" w:val="clear"/>
            <w:vAlign w:val="center"/>
          </w:tcPr>
          <w:p>
            <w:pPr>
              <w:pStyle w:val="TableContents"/>
              <w:spacing w:before="0" w:after="0"/>
              <w:ind w:left="0" w:right="0" w:hanging="0"/>
              <w:rPr/>
            </w:pPr>
            <w:r>
              <w:rPr/>
              <w:t>​</w:t>
            </w:r>
          </w:p>
        </w:tc>
        <w:tc>
          <w:tcPr>
            <w:tcW w:w="23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10,280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678" w:name="Tc_erWjRt3D80-00PBFPsEzjw_6_5"/>
      <w:bookmarkStart w:id="679" w:name="Tc_g-l8vAvXlECGqCyDDYTbSA_6_2"/>
      <w:bookmarkStart w:id="680" w:name="Tc_r4Dzf6Bno0aGEeCkO9BS2A_6_0"/>
      <w:bookmarkStart w:id="681" w:name="Tc_jMeozw73hUmpVZIDHRCKuA_5_0"/>
      <w:bookmarkStart w:id="682" w:name="Tc_s5bfU6bmqkqcIm1FEExoQg_4_0"/>
      <w:bookmarkStart w:id="683" w:name="Tc_E83SZrdjvUikhXgiZrM10A_3_5"/>
      <w:bookmarkStart w:id="684" w:name="Tc_WWla-oLP-0eyINC5NpCpkQ_3_2"/>
      <w:bookmarkStart w:id="685" w:name="Tc_VXOwyKmQ-EWHEZrnXL7s2Q_3_0"/>
      <w:bookmarkStart w:id="686" w:name="Tc_PWGvKpV1SEyd6zgwRC7T4w_2_5"/>
      <w:bookmarkStart w:id="687" w:name="Tc_Gy9O9fAEckWFHvNNIICJLg_2_2"/>
      <w:bookmarkStart w:id="688" w:name="Tc_mqQYKR4u902xSGev628zxA_1_5"/>
      <w:bookmarkStart w:id="689" w:name="Tc_86kP12vG0keey1bdN2aRQQ_1_2"/>
      <w:bookmarkStart w:id="690" w:name="_5359a17b_4e0c_4052_8d32_8eef1b5442a8"/>
      <w:bookmarkEnd w:id="678"/>
      <w:bookmarkEnd w:id="679"/>
      <w:bookmarkEnd w:id="680"/>
      <w:bookmarkEnd w:id="681"/>
      <w:bookmarkEnd w:id="682"/>
      <w:bookmarkEnd w:id="683"/>
      <w:bookmarkEnd w:id="684"/>
      <w:bookmarkEnd w:id="685"/>
      <w:bookmarkEnd w:id="686"/>
      <w:bookmarkEnd w:id="687"/>
      <w:bookmarkEnd w:id="688"/>
      <w:bookmarkEnd w:id="689"/>
      <w:bookmarkEnd w:id="690"/>
      <w:r>
        <w:rPr>
          <w:rFonts w:ascii="Times New Roman;Times;serif" w:hAnsi="Times New Roman;Times;serif"/>
          <w:b/>
          <w:sz w:val="20"/>
        </w:rPr>
        <w:t>4. Balance Sheet Components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Inventory</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Inventory consisted of the following (in thousands):</w:t>
      </w:r>
    </w:p>
    <w:p>
      <w:pPr>
        <w:pStyle w:val="TextBody"/>
        <w:spacing w:before="0" w:after="0"/>
        <w:ind w:left="0" w:right="0" w:hanging="0"/>
        <w:rPr/>
      </w:pPr>
      <w:r>
        <w:rPr/>
        <w:t>​</w:t>
      </w:r>
    </w:p>
    <w:tbl>
      <w:tblPr>
        <w:tblW w:w="4193" w:type="dxa"/>
        <w:jc w:val="left"/>
        <w:tblInd w:w="0" w:type="dxa"/>
        <w:tblCellMar>
          <w:top w:w="0" w:type="dxa"/>
          <w:left w:w="0" w:type="dxa"/>
          <w:bottom w:w="0" w:type="dxa"/>
          <w:right w:w="0" w:type="dxa"/>
        </w:tblCellMar>
      </w:tblPr>
      <w:tblGrid>
        <w:gridCol w:w="1456"/>
        <w:gridCol w:w="326"/>
        <w:gridCol w:w="242"/>
        <w:gridCol w:w="658"/>
        <w:gridCol w:w="326"/>
        <w:gridCol w:w="281"/>
        <w:gridCol w:w="904"/>
      </w:tblGrid>
      <w:tr>
        <w:trPr/>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24560" cy="175260"/>
                      <wp:effectExtent l="0" t="0" r="0" b="0"/>
                      <wp:wrapNone/>
                      <wp:docPr id="132" name="Frame132"/>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3670" cy="175260"/>
                      <wp:effectExtent l="0" t="0" r="0" b="0"/>
                      <wp:wrapNone/>
                      <wp:docPr id="134" name="Frame134"/>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17830" cy="175260"/>
                      <wp:effectExtent l="0" t="0" r="0" b="0"/>
                      <wp:wrapNone/>
                      <wp:docPr id="135" name="Frame135"/>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78435" cy="175260"/>
                      <wp:effectExtent l="0" t="0" r="0" b="0"/>
                      <wp:wrapNone/>
                      <wp:docPr id="137" name="Frame137"/>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74040" cy="175260"/>
                      <wp:effectExtent l="0" t="0" r="0" b="0"/>
                      <wp:wrapNone/>
                      <wp:docPr id="138" name="Frame138"/>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CCEEFF" w:val="clear"/>
            <w:vAlign w:val="center"/>
          </w:tcPr>
          <w:p>
            <w:pPr>
              <w:pStyle w:val="TableContents"/>
              <w:spacing w:before="0" w:after="0"/>
              <w:ind w:left="0" w:right="0" w:hanging="0"/>
              <w:rPr/>
            </w:pPr>
            <w:r>
              <w:rPr/>
              <w:t>​</w:t>
            </w:r>
          </w:p>
        </w:tc>
        <w:tc>
          <w:tcPr>
            <w:tcW w:w="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Work-in-process</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 </w:t>
            </w:r>
          </w:p>
        </w:tc>
        <w:tc>
          <w:tcPr>
            <w:tcW w:w="6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4,499</w:t>
            </w:r>
          </w:p>
        </w:tc>
        <w:tc>
          <w:tcPr>
            <w:tcW w:w="326" w:type="dxa"/>
            <w:tcBorders/>
            <w:shd w:fill="auto" w:val="clear"/>
            <w:vAlign w:val="center"/>
          </w:tcPr>
          <w:p>
            <w:pPr>
              <w:pStyle w:val="TableContents"/>
              <w:spacing w:before="0" w:after="0"/>
              <w:ind w:left="0" w:right="0" w:hanging="0"/>
              <w:rPr/>
            </w:pPr>
            <w:r>
              <w:rPr/>
              <w:t>​</w:t>
            </w:r>
          </w:p>
        </w:tc>
        <w:tc>
          <w:tcPr>
            <w:tcW w:w="281" w:type="dxa"/>
            <w:tcBorders/>
            <w:shd w:fill="auto" w:val="clear"/>
            <w:vAlign w:val="center"/>
          </w:tcPr>
          <w:p>
            <w:pPr>
              <w:pStyle w:val="TableContents"/>
              <w:spacing w:before="0" w:after="0"/>
              <w:ind w:left="0" w:right="0" w:hanging="0"/>
              <w:rPr/>
            </w:pPr>
            <w:r>
              <w:rPr/>
              <w:t> </w:t>
            </w:r>
          </w:p>
        </w:tc>
        <w:tc>
          <w:tcPr>
            <w:tcW w:w="9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4,620</w:t>
            </w:r>
          </w:p>
        </w:tc>
      </w:tr>
      <w:tr>
        <w:trPr/>
        <w:tc>
          <w:tcPr>
            <w:tcW w:w="1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26" w:type="dxa"/>
            <w:tcBorders/>
            <w:shd w:fill="CCEEFF" w:val="clear"/>
            <w:vAlign w:val="center"/>
          </w:tcPr>
          <w:p>
            <w:pPr>
              <w:pStyle w:val="TableContents"/>
              <w:spacing w:before="0" w:after="0"/>
              <w:ind w:left="0" w:right="0" w:hanging="0"/>
              <w:rPr/>
            </w:pPr>
            <w:r>
              <w:rPr/>
              <w:t>​</w:t>
            </w:r>
          </w:p>
        </w:tc>
        <w:tc>
          <w:tcPr>
            <w:tcW w:w="2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inventory</w:t>
            </w:r>
          </w:p>
        </w:tc>
        <w:tc>
          <w:tcPr>
            <w:tcW w:w="326" w:type="dxa"/>
            <w:tcBorders/>
            <w:shd w:fill="auto" w:val="clear"/>
            <w:vAlign w:val="center"/>
          </w:tcPr>
          <w:p>
            <w:pPr>
              <w:pStyle w:val="TableContents"/>
              <w:spacing w:before="0" w:after="0"/>
              <w:ind w:left="0" w:right="0" w:hanging="0"/>
              <w:rPr/>
            </w:pPr>
            <w:r>
              <w:rPr/>
              <w:t>​</w:t>
            </w:r>
          </w:p>
        </w:tc>
        <w:tc>
          <w:tcPr>
            <w:tcW w:w="24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6,208</w:t>
            </w:r>
          </w:p>
        </w:tc>
        <w:tc>
          <w:tcPr>
            <w:tcW w:w="326" w:type="dxa"/>
            <w:tcBorders/>
            <w:shd w:fill="auto" w:val="clear"/>
            <w:vAlign w:val="center"/>
          </w:tcPr>
          <w:p>
            <w:pPr>
              <w:pStyle w:val="TableContents"/>
              <w:spacing w:before="0" w:after="0"/>
              <w:ind w:left="0" w:right="0" w:hanging="0"/>
              <w:rPr/>
            </w:pPr>
            <w:r>
              <w:rPr/>
              <w:t>​</w:t>
            </w:r>
          </w:p>
        </w:tc>
        <w:tc>
          <w:tcPr>
            <w:tcW w:w="2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6,396</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bookmarkStart w:id="691" w:name="Tc_QPTyjUM_KEW2R4s7MYRdPg_6_5"/>
      <w:bookmarkStart w:id="692" w:name="Tc_N5rXAbfU2Eam-drYrK1nHg_6_2"/>
      <w:bookmarkStart w:id="693" w:name="Tc_APv44R3Tx0K3NlQaQR-0OA_6_0"/>
      <w:bookmarkStart w:id="694" w:name="Tc_pTXFRR89PEa_X6Xj7grxsg_5_0"/>
      <w:bookmarkStart w:id="695" w:name="Tc_tKhzSK1QVUKIJk_RL_hxvA_4_0"/>
      <w:bookmarkStart w:id="696" w:name="Tc_NiNnx-MWrEG4i2Gf1Zb28Q_3_5"/>
      <w:bookmarkStart w:id="697" w:name="Tc_nptHMem0yESJjGNF_KCvCQ_3_2"/>
      <w:bookmarkStart w:id="698" w:name="Tc_EHA-uU9Lr0W9-UiHqaqrjQ_3_0"/>
      <w:bookmarkStart w:id="699" w:name="Tc_yiDm_3ALDEWEd4t_kwWI7A_2_5"/>
      <w:bookmarkStart w:id="700" w:name="Tc_F-rW9LBiGE2b4BYNlgERUg_2_2"/>
      <w:bookmarkStart w:id="701" w:name="Tc_dmSpxqK2UkK76o7-jQPCgg_1_5"/>
      <w:bookmarkStart w:id="702" w:name="Tc_IqGO6Cy1N0eVBvJ3n2aXhg_1_2"/>
      <w:bookmarkStart w:id="703" w:name="_b56a5c67_b831_4d02_a10f_e65e2bf3132d"/>
      <w:bookmarkEnd w:id="691"/>
      <w:bookmarkEnd w:id="692"/>
      <w:bookmarkEnd w:id="693"/>
      <w:bookmarkEnd w:id="694"/>
      <w:bookmarkEnd w:id="695"/>
      <w:bookmarkEnd w:id="696"/>
      <w:bookmarkEnd w:id="697"/>
      <w:bookmarkEnd w:id="698"/>
      <w:bookmarkEnd w:id="699"/>
      <w:bookmarkEnd w:id="700"/>
      <w:bookmarkEnd w:id="701"/>
      <w:bookmarkEnd w:id="702"/>
      <w:bookmarkEnd w:id="703"/>
      <w:r>
        <w:rPr>
          <w:rFonts w:ascii="Times New Roman;Times;serif" w:hAnsi="Times New Roman;Times;serif"/>
          <w:b/>
          <w:i/>
          <w:sz w:val="20"/>
        </w:rPr>
        <w:t>Accrued Liabilities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Accrued liabilities consisted of the following (in thousands):</w:t>
      </w:r>
    </w:p>
    <w:p>
      <w:pPr>
        <w:pStyle w:val="TextBody"/>
        <w:spacing w:before="0" w:after="0"/>
        <w:ind w:left="0" w:right="0" w:hanging="0"/>
        <w:rPr/>
      </w:pPr>
      <w:r>
        <w:rPr/>
        <w:t>​</w:t>
      </w:r>
    </w:p>
    <w:tbl>
      <w:tblPr>
        <w:tblW w:w="4838" w:type="dxa"/>
        <w:jc w:val="left"/>
        <w:tblInd w:w="0" w:type="dxa"/>
        <w:tblCellMar>
          <w:top w:w="0" w:type="dxa"/>
          <w:left w:w="0" w:type="dxa"/>
          <w:bottom w:w="0" w:type="dxa"/>
          <w:right w:w="0" w:type="dxa"/>
        </w:tblCellMar>
      </w:tblPr>
      <w:tblGrid>
        <w:gridCol w:w="2101"/>
        <w:gridCol w:w="326"/>
        <w:gridCol w:w="242"/>
        <w:gridCol w:w="658"/>
        <w:gridCol w:w="326"/>
        <w:gridCol w:w="281"/>
        <w:gridCol w:w="904"/>
      </w:tblGrid>
      <w:tr>
        <w:trPr/>
        <w:tc>
          <w:tcPr>
            <w:tcW w:w="21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4135" cy="175260"/>
                      <wp:effectExtent l="0" t="0" r="0" b="0"/>
                      <wp:wrapNone/>
                      <wp:docPr id="139" name="Frame139"/>
                      <a:graphic xmlns:a="http://schemas.openxmlformats.org/drawingml/2006/main">
                        <a:graphicData uri="http://schemas.microsoft.com/office/word/2010/wordprocessingShape">
                          <wps:wsp>
                            <wps:cNvSpPr txBox="1"/>
                            <wps:spPr>
                              <a:xfrm>
                                <a:off x="0" y="0"/>
                                <a:ext cx="1334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53670" cy="175260"/>
                      <wp:effectExtent l="0" t="0" r="0" b="0"/>
                      <wp:wrapNone/>
                      <wp:docPr id="141" name="Frame141"/>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17830" cy="175260"/>
                      <wp:effectExtent l="0" t="0" r="0" b="0"/>
                      <wp:wrapNone/>
                      <wp:docPr id="142" name="Frame142"/>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8435" cy="175260"/>
                      <wp:effectExtent l="0" t="0" r="0" b="0"/>
                      <wp:wrapNone/>
                      <wp:docPr id="144" name="Frame144"/>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74040" cy="175260"/>
                      <wp:effectExtent l="0" t="0" r="0" b="0"/>
                      <wp:wrapNone/>
                      <wp:docPr id="145" name="Frame145"/>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1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Payroll-related expenses</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26" w:type="dxa"/>
            <w:tcBorders/>
            <w:shd w:fill="CCEEFF" w:val="clear"/>
            <w:vAlign w:val="center"/>
          </w:tcPr>
          <w:p>
            <w:pPr>
              <w:pStyle w:val="TableContents"/>
              <w:spacing w:before="0" w:after="0"/>
              <w:ind w:left="0" w:right="0" w:hanging="0"/>
              <w:rPr/>
            </w:pPr>
            <w:r>
              <w:rPr/>
              <w:t>​</w:t>
            </w:r>
          </w:p>
        </w:tc>
        <w:tc>
          <w:tcPr>
            <w:tcW w:w="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r>
      <w:tr>
        <w:trPr/>
        <w:tc>
          <w:tcPr>
            <w:tcW w:w="2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Inventory </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6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auto" w:val="clear"/>
            <w:vAlign w:val="center"/>
          </w:tcPr>
          <w:p>
            <w:pPr>
              <w:pStyle w:val="TableContents"/>
              <w:spacing w:before="0" w:after="0"/>
              <w:ind w:left="0" w:right="0" w:hanging="0"/>
              <w:rPr/>
            </w:pPr>
            <w:r>
              <w:rPr/>
              <w:t>​</w:t>
            </w:r>
          </w:p>
        </w:tc>
        <w:tc>
          <w:tcPr>
            <w:tcW w:w="281" w:type="dxa"/>
            <w:tcBorders/>
            <w:shd w:fill="auto" w:val="clear"/>
            <w:vAlign w:val="center"/>
          </w:tcPr>
          <w:p>
            <w:pPr>
              <w:pStyle w:val="TableContents"/>
              <w:spacing w:before="0" w:after="0"/>
              <w:ind w:left="0" w:right="0" w:hanging="0"/>
              <w:rPr/>
            </w:pPr>
            <w:r>
              <w:rPr/>
              <w:t>​</w:t>
            </w:r>
          </w:p>
        </w:tc>
        <w:tc>
          <w:tcPr>
            <w:tcW w:w="9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2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shd w:fill="CCEEFF" w:val="clear"/>
            <w:vAlign w:val="center"/>
          </w:tcPr>
          <w:p>
            <w:pPr>
              <w:pStyle w:val="TableContents"/>
              <w:spacing w:before="0" w:after="0"/>
              <w:ind w:left="0" w:right="0" w:hanging="0"/>
              <w:rPr/>
            </w:pPr>
            <w:r>
              <w:rPr/>
              <w:t>​</w:t>
            </w:r>
          </w:p>
        </w:tc>
        <w:tc>
          <w:tcPr>
            <w:tcW w:w="2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2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accrued liabilities</w:t>
            </w:r>
          </w:p>
        </w:tc>
        <w:tc>
          <w:tcPr>
            <w:tcW w:w="326" w:type="dxa"/>
            <w:tcBorders/>
            <w:shd w:fill="auto" w:val="clear"/>
            <w:vAlign w:val="center"/>
          </w:tcPr>
          <w:p>
            <w:pPr>
              <w:pStyle w:val="TableContents"/>
              <w:spacing w:before="0" w:after="0"/>
              <w:ind w:left="0" w:right="0" w:hanging="0"/>
              <w:rPr/>
            </w:pPr>
            <w:r>
              <w:rPr/>
              <w:t>​</w:t>
            </w:r>
          </w:p>
        </w:tc>
        <w:tc>
          <w:tcPr>
            <w:tcW w:w="24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auto" w:val="clear"/>
            <w:vAlign w:val="center"/>
          </w:tcPr>
          <w:p>
            <w:pPr>
              <w:pStyle w:val="TableContents"/>
              <w:spacing w:before="0" w:after="0"/>
              <w:ind w:left="0" w:right="0" w:hanging="0"/>
              <w:rPr/>
            </w:pPr>
            <w:r>
              <w:rPr/>
              <w:t>​</w:t>
            </w:r>
          </w:p>
        </w:tc>
        <w:tc>
          <w:tcPr>
            <w:tcW w:w="2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3,579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Deferred Revenue</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During the year ended December 31, 2021, the Company executed contractual arrangements with a customer for the development of a RAD-Hard product, consisting of a technology license, design license agreement and development subcontract. The Company does not share in the rights to future revenues or royalties. The total arrangements are for $6.5 million in consideration.</w:t>
      </w:r>
    </w:p>
    <w:p>
      <w:pPr>
        <w:pStyle w:val="TextBody"/>
        <w:spacing w:before="0" w:after="0"/>
        <w:ind w:left="0" w:right="0" w:firstLine="36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recognizes revenue related to the performance obligations over time using the input method based on costs incurred to date relative to the total expected costs of the contract and began recognizing revenue in the second quarter of 2021 over the performance obligation period. This method depicts performance under the contract and requires the Company to make estimates about the future costs expected to be incurred to perform under the contact, including labor and material costs.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As of March 31, 2022, the Company has billed $4.2 million for the performance under the contractual agreements. Under the input method of recognition, the Company has recognized $0.6 million in revenue for the three-months ended March 31, 2022, and $3.9 million in revenue since inception of the contractual agreement.  As a result, the Company has recorded $0.3 million in deferred revenue as of March 31, 2022. The Company expects to recognize the remaining $2.6 million of the transaction price as services are performed throughout the contractual period and performance is expected to be complete in the year ended December 31, 2024.</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5. Leases </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Operating leases consist primarily of office space expiring at various dates through 2029. Finance leases relate to a server lease expiring in January 2025. The Company’s lease agreements do not contain any material residual value guarantees or material restrictive covenants. </w:t>
      </w:r>
    </w:p>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bookmarkStart w:id="704" w:name="Tc_eFXNpsdqgE-0zf4B6Q9gIw_4_6"/>
      <w:bookmarkStart w:id="705" w:name="Tc_-sTy76y-OU2wpsadUv9ZWw_4_5"/>
      <w:bookmarkStart w:id="706" w:name="Tc_jeS1CUlimEyxRq0jEuPnEQ_4_3"/>
      <w:bookmarkStart w:id="707" w:name="Tc_BERJhCs7jkWjcNfLwvPCPg_4_0"/>
      <w:bookmarkStart w:id="708" w:name="Tc_fUs4XMBqiEKR1TXk2mQ56w_3_5"/>
      <w:bookmarkStart w:id="709" w:name="Tc_5ANCd4_8CkO2iwEvClcP0w_3_0"/>
      <w:bookmarkStart w:id="710" w:name="Tc_FAGWIxAZLUGl-MyN1H4ZwA_2_5"/>
      <w:bookmarkStart w:id="711" w:name="Tc_0hQuOFZlDkaPSz0Q5n3K8Q_2_2"/>
      <w:bookmarkStart w:id="712" w:name="Tc_HkploAH1tkqqRaIoSGOnhw_1_5"/>
      <w:bookmarkStart w:id="713" w:name="Tc_ae-MHSHuD0u3T9QEoZPZPg_1_2"/>
      <w:bookmarkStart w:id="714" w:name="_418598d5_6fd0_47c7_82f8_45e655158b1b"/>
      <w:bookmarkStart w:id="715" w:name="Tc_sfZ59uL-4U-nF2YqfiXqOw_4_6"/>
      <w:bookmarkStart w:id="716" w:name="Tc_O_Cje_929kOJidFGGO0uBw_4_3"/>
      <w:bookmarkStart w:id="717" w:name="Tc_79OxsRhvAUCNmezUqpH1HQ_4_0"/>
      <w:bookmarkStart w:id="718" w:name="Tc_yt5qytCawU6qInGWQM5tSQ_3_0"/>
      <w:bookmarkStart w:id="719" w:name="Tc_7PbPHFFpx06o5yGrS_azqg_2_5"/>
      <w:bookmarkStart w:id="720" w:name="Tc_gWxf20VXYUSJ0-temPvGSw_2_2"/>
      <w:bookmarkStart w:id="721" w:name="Tc__aqwsj9Y3kGs6s9D7bxIjg_1_5"/>
      <w:bookmarkStart w:id="722" w:name="Tc_jRbHXCojzki6-N8jyj8p7w_1_2"/>
      <w:bookmarkStart w:id="723" w:name="_d828ee8a_7b40_46ba_a8ff_c395bb3f50b8"/>
      <w:bookmarkStart w:id="724" w:name="Tc_TMNGxfZr_UKzR2LK0xrmzw_12_2"/>
      <w:bookmarkStart w:id="725" w:name="Tc_7ayFqKdh0Uu3m_JmwNDG0A_12_0"/>
      <w:bookmarkStart w:id="726" w:name="Tc_AXaLW0MpY02LqbliSADLZw_11_0"/>
      <w:bookmarkStart w:id="727" w:name="Tc_PXC2-2rQtUeqs1gEn6VrIQ_10_0"/>
      <w:bookmarkStart w:id="728" w:name="Tc_s6tyxkhCMkCdn9PcfWIqjA_9_0"/>
      <w:bookmarkStart w:id="729" w:name="Tc_jzXyz529YkiNSdXy0pBCog_8_0"/>
      <w:bookmarkStart w:id="730" w:name="Tc_WGaIxoNG5kKXB42pPJpBDw_7_0"/>
      <w:bookmarkStart w:id="731" w:name="Tc_od_h8KBaMk-RH1luu0HI5g_6_0"/>
      <w:bookmarkStart w:id="732" w:name="Tc_KG4Y_z9j10mywuBaIPRuUQ_5_0"/>
      <w:bookmarkStart w:id="733" w:name="Tc_5ZEFGrIafkut1F06AOyDsA_4_0"/>
      <w:bookmarkStart w:id="734" w:name="Tc_fAgTAorfkkmWmcC1jIrSIA_3_0"/>
      <w:bookmarkStart w:id="735" w:name="Tc_CIDR1ra140iPa0_V5rZwfQ_2_2"/>
      <w:bookmarkStart w:id="736" w:name="Tc_D5ZQnQDBG0SPJTiekFlRvg_2_0"/>
      <w:bookmarkStart w:id="737" w:name="Tc_yClcyrJz3EefpCHvRv0JiQ_1_2"/>
      <w:bookmarkStart w:id="738" w:name="Tc_YRVUVeqghkCe0jzHosKy2w_1_0"/>
      <w:bookmarkStart w:id="739" w:name="_9de66f25_b2bd_4335_a9a7_20d602b2ee46"/>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Pr>
          <w:rFonts w:ascii="Times New Roman;Times;serif" w:hAnsi="Times New Roman;Times;serif"/>
          <w:sz w:val="20"/>
        </w:rPr>
        <w:t>The undiscounted future non-cancellable lease payments under the Company’s operating and finance leases were as follows (in thousands):</w:t>
      </w:r>
    </w:p>
    <w:p>
      <w:pPr>
        <w:pStyle w:val="TextBody"/>
        <w:spacing w:before="0" w:after="0"/>
        <w:ind w:left="0" w:right="0" w:firstLine="360"/>
        <w:rPr/>
      </w:pPr>
      <w:r>
        <w:rPr/>
        <w:t>​</w:t>
      </w:r>
    </w:p>
    <w:tbl>
      <w:tblPr>
        <w:tblW w:w="4859" w:type="dxa"/>
        <w:jc w:val="left"/>
        <w:tblInd w:w="0" w:type="dxa"/>
        <w:tblCellMar>
          <w:top w:w="0" w:type="dxa"/>
          <w:left w:w="0" w:type="dxa"/>
          <w:bottom w:w="0" w:type="dxa"/>
          <w:right w:w="0" w:type="dxa"/>
        </w:tblCellMar>
      </w:tblPr>
      <w:tblGrid>
        <w:gridCol w:w="3646"/>
        <w:gridCol w:w="326"/>
        <w:gridCol w:w="211"/>
        <w:gridCol w:w="676"/>
      </w:tblGrid>
      <w:tr>
        <w:trPr/>
        <w:tc>
          <w:tcPr>
            <w:tcW w:w="3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15210" cy="175260"/>
                      <wp:effectExtent l="0" t="0" r="0" b="0"/>
                      <wp:wrapNone/>
                      <wp:docPr id="146" name="Frame146"/>
                      <a:graphic xmlns:a="http://schemas.openxmlformats.org/drawingml/2006/main">
                        <a:graphicData uri="http://schemas.microsoft.com/office/word/2010/wordprocessingShape">
                          <wps:wsp>
                            <wps:cNvSpPr txBox="1"/>
                            <wps:spPr>
                              <a:xfrm>
                                <a:off x="0" y="0"/>
                                <a:ext cx="2315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9" name="Frame14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As of March 31, 2022</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4,351</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current portion of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liabilities, net of current portion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2,897</w:t>
            </w:r>
          </w:p>
        </w:tc>
      </w:tr>
    </w:tbl>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Other information related to the Company’s operating lease liabilities was as follows:</w:t>
      </w:r>
    </w:p>
    <w:p>
      <w:pPr>
        <w:pStyle w:val="TextBody"/>
        <w:spacing w:before="0" w:after="0"/>
        <w:ind w:left="0" w:right="0" w:firstLine="360"/>
        <w:rPr/>
      </w:pPr>
      <w:r>
        <w:rPr/>
        <w:t>​</w:t>
      </w:r>
    </w:p>
    <w:tbl>
      <w:tblPr>
        <w:tblW w:w="6608" w:type="dxa"/>
        <w:jc w:val="left"/>
        <w:tblInd w:w="0" w:type="dxa"/>
        <w:tblCellMar>
          <w:top w:w="0" w:type="dxa"/>
          <w:left w:w="0" w:type="dxa"/>
          <w:bottom w:w="0" w:type="dxa"/>
          <w:right w:w="0" w:type="dxa"/>
        </w:tblCellMar>
      </w:tblPr>
      <w:tblGrid>
        <w:gridCol w:w="3916"/>
        <w:gridCol w:w="326"/>
        <w:gridCol w:w="568"/>
        <w:gridCol w:w="332"/>
        <w:gridCol w:w="326"/>
        <w:gridCol w:w="634"/>
        <w:gridCol w:w="506"/>
      </w:tblGrid>
      <w:tr>
        <w:trPr/>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486660" cy="175260"/>
                      <wp:effectExtent l="0" t="0" r="0" b="0"/>
                      <wp:wrapNone/>
                      <wp:docPr id="150" name="Frame150"/>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60680" cy="175260"/>
                      <wp:effectExtent l="0" t="0" r="0" b="0"/>
                      <wp:wrapNone/>
                      <wp:docPr id="152" name="Frame152"/>
                      <a:graphic xmlns:a="http://schemas.openxmlformats.org/drawingml/2006/main">
                        <a:graphicData uri="http://schemas.microsoft.com/office/word/2010/wordprocessingShape">
                          <wps:wsp>
                            <wps:cNvSpPr txBox="1"/>
                            <wps:spPr>
                              <a:xfrm>
                                <a:off x="0" y="0"/>
                                <a:ext cx="360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0820" cy="175260"/>
                      <wp:effectExtent l="0" t="0" r="0" b="0"/>
                      <wp:wrapNone/>
                      <wp:docPr id="153" name="Frame153"/>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02590" cy="175260"/>
                      <wp:effectExtent l="0" t="0" r="0" b="0"/>
                      <wp:wrapNone/>
                      <wp:docPr id="155" name="Frame155"/>
                      <a:graphic xmlns:a="http://schemas.openxmlformats.org/drawingml/2006/main">
                        <a:graphicData uri="http://schemas.microsoft.com/office/word/2010/wordprocessingShape">
                          <wps:wsp>
                            <wps:cNvSpPr txBox="1"/>
                            <wps:spPr>
                              <a:xfrm>
                                <a:off x="0" y="0"/>
                                <a:ext cx="402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21310" cy="175260"/>
                      <wp:effectExtent l="0" t="0" r="0" b="0"/>
                      <wp:wrapNone/>
                      <wp:docPr id="156" name="Frame156"/>
                      <a:graphic xmlns:a="http://schemas.openxmlformats.org/drawingml/2006/main">
                        <a:graphicData uri="http://schemas.microsoft.com/office/word/2010/wordprocessingShape">
                          <wps:wsp>
                            <wps:cNvSpPr txBox="1"/>
                            <wps:spPr>
                              <a:xfrm>
                                <a:off x="0" y="0"/>
                                <a:ext cx="321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spacing w:before="0" w:after="0"/>
              <w:ind w:left="0" w:right="0" w:hanging="0"/>
              <w:rPr/>
            </w:pPr>
            <w:r>
              <w:rPr/>
              <w:t>    </w:t>
            </w:r>
          </w:p>
        </w:tc>
        <w:tc>
          <w:tcPr>
            <w:tcW w:w="5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3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6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506" w:type="dxa"/>
            <w:tcBorders/>
            <w:shd w:fill="CCEEFF" w:val="clear"/>
            <w:vAlign w:val="center"/>
          </w:tcPr>
          <w:p>
            <w:pPr>
              <w:pStyle w:val="TableContents"/>
              <w:spacing w:before="0" w:after="0"/>
              <w:ind w:left="0" w:right="0" w:hanging="0"/>
              <w:rPr/>
            </w:pPr>
            <w:r>
              <w:rPr/>
              <w:t>    </w:t>
            </w:r>
          </w:p>
        </w:tc>
      </w:tr>
      <w:tr>
        <w:trPr/>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auto" w:val="clear"/>
            <w:vAlign w:val="center"/>
          </w:tcPr>
          <w:p>
            <w:pPr>
              <w:pStyle w:val="TableContents"/>
              <w:spacing w:before="0" w:after="0"/>
              <w:ind w:left="0" w:right="0" w:hanging="0"/>
              <w:rPr/>
            </w:pPr>
            <w:r>
              <w:rPr/>
              <w:t>​</w:t>
            </w:r>
          </w:p>
        </w:tc>
        <w:tc>
          <w:tcPr>
            <w:tcW w:w="5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6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rPr/>
      </w:pPr>
      <w:r>
        <w:rPr/>
        <w: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Other information related to the Company’s finance lease liabilities was as follows:</w:t>
      </w:r>
    </w:p>
    <w:p>
      <w:pPr>
        <w:pStyle w:val="TextBody"/>
        <w:spacing w:before="0" w:after="0"/>
        <w:ind w:left="0" w:right="0" w:firstLine="360"/>
        <w:rPr/>
      </w:pPr>
      <w:r>
        <w:rPr/>
        <w:t>​</w:t>
      </w:r>
    </w:p>
    <w:tbl>
      <w:tblPr>
        <w:tblW w:w="6608" w:type="dxa"/>
        <w:jc w:val="left"/>
        <w:tblInd w:w="0" w:type="dxa"/>
        <w:tblCellMar>
          <w:top w:w="0" w:type="dxa"/>
          <w:left w:w="0" w:type="dxa"/>
          <w:bottom w:w="0" w:type="dxa"/>
          <w:right w:w="0" w:type="dxa"/>
        </w:tblCellMar>
      </w:tblPr>
      <w:tblGrid>
        <w:gridCol w:w="3916"/>
        <w:gridCol w:w="326"/>
        <w:gridCol w:w="568"/>
        <w:gridCol w:w="332"/>
        <w:gridCol w:w="326"/>
        <w:gridCol w:w="550"/>
        <w:gridCol w:w="590"/>
      </w:tblGrid>
      <w:tr>
        <w:trPr/>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486660" cy="175260"/>
                      <wp:effectExtent l="0" t="0" r="0" b="0"/>
                      <wp:wrapNone/>
                      <wp:docPr id="157" name="Frame157"/>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60680" cy="175260"/>
                      <wp:effectExtent l="0" t="0" r="0" b="0"/>
                      <wp:wrapNone/>
                      <wp:docPr id="159" name="Frame159"/>
                      <a:graphic xmlns:a="http://schemas.openxmlformats.org/drawingml/2006/main">
                        <a:graphicData uri="http://schemas.microsoft.com/office/word/2010/wordprocessingShape">
                          <wps:wsp>
                            <wps:cNvSpPr txBox="1"/>
                            <wps:spPr>
                              <a:xfrm>
                                <a:off x="0" y="0"/>
                                <a:ext cx="360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0820" cy="175260"/>
                      <wp:effectExtent l="0" t="0" r="0" b="0"/>
                      <wp:wrapNone/>
                      <wp:docPr id="160" name="Frame160"/>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49250" cy="175260"/>
                      <wp:effectExtent l="0" t="0" r="0" b="0"/>
                      <wp:wrapNone/>
                      <wp:docPr id="162" name="Frame162"/>
                      <a:graphic xmlns:a="http://schemas.openxmlformats.org/drawingml/2006/main">
                        <a:graphicData uri="http://schemas.microsoft.com/office/word/2010/wordprocessingShape">
                          <wps:wsp>
                            <wps:cNvSpPr txBox="1"/>
                            <wps:spPr>
                              <a:xfrm>
                                <a:off x="0" y="0"/>
                                <a:ext cx="349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74650" cy="175260"/>
                      <wp:effectExtent l="0" t="0" r="0" b="0"/>
                      <wp:wrapNone/>
                      <wp:docPr id="163" name="Frame163"/>
                      <a:graphic xmlns:a="http://schemas.openxmlformats.org/drawingml/2006/main">
                        <a:graphicData uri="http://schemas.microsoft.com/office/word/2010/wordprocessingShape">
                          <wps:wsp>
                            <wps:cNvSpPr txBox="1"/>
                            <wps:spPr>
                              <a:xfrm>
                                <a:off x="0" y="0"/>
                                <a:ext cx="374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spacing w:before="0" w:after="0"/>
              <w:ind w:left="0" w:right="0" w:hanging="0"/>
              <w:rPr/>
            </w:pPr>
            <w:r>
              <w:rPr/>
              <w:t>    </w:t>
            </w:r>
          </w:p>
        </w:tc>
        <w:tc>
          <w:tcPr>
            <w:tcW w:w="5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3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50" w:type="dxa"/>
            <w:tcBorders/>
            <w:shd w:fill="CCEEFF" w:val="clear"/>
            <w:vAlign w:val="center"/>
          </w:tcPr>
          <w:p>
            <w:pPr>
              <w:pStyle w:val="TableContents"/>
              <w:spacing w:before="0" w:after="0"/>
              <w:ind w:left="0" w:right="0" w:hanging="0"/>
              <w:jc w:val="right"/>
              <w:rPr/>
            </w:pPr>
            <w:r>
              <w:rPr/>
              <w:t>—</w:t>
            </w:r>
          </w:p>
        </w:tc>
        <w:tc>
          <w:tcPr>
            <w:tcW w:w="590" w:type="dxa"/>
            <w:tcBorders/>
            <w:shd w:fill="CCEEFF" w:val="clear"/>
            <w:vAlign w:val="center"/>
          </w:tcPr>
          <w:p>
            <w:pPr>
              <w:pStyle w:val="TableContents"/>
              <w:spacing w:before="0" w:after="0"/>
              <w:ind w:left="0" w:right="0" w:hanging="0"/>
              <w:rPr/>
            </w:pPr>
            <w:r>
              <w:rPr/>
              <w:t>    </w:t>
            </w:r>
          </w:p>
        </w:tc>
      </w:tr>
      <w:tr>
        <w:trPr/>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auto" w:val="clear"/>
            <w:vAlign w:val="center"/>
          </w:tcPr>
          <w:p>
            <w:pPr>
              <w:pStyle w:val="TableContents"/>
              <w:spacing w:before="0" w:after="0"/>
              <w:ind w:left="0" w:right="0" w:hanging="0"/>
              <w:rPr/>
            </w:pPr>
            <w:r>
              <w:rPr/>
              <w:t>​</w:t>
            </w:r>
          </w:p>
        </w:tc>
        <w:tc>
          <w:tcPr>
            <w:tcW w:w="5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550" w:type="dxa"/>
            <w:tcBorders/>
            <w:shd w:fill="auto" w:val="clear"/>
            <w:vAlign w:val="center"/>
          </w:tcPr>
          <w:p>
            <w:pPr>
              <w:pStyle w:val="TableContents"/>
              <w:spacing w:before="0" w:after="0"/>
              <w:ind w:left="0" w:right="0" w:hanging="0"/>
              <w:jc w:val="right"/>
              <w:rPr/>
            </w:pPr>
            <w:r>
              <w:rPr/>
              <w:t>—</w:t>
            </w:r>
          </w:p>
        </w:tc>
        <w:tc>
          <w:tcPr>
            <w:tcW w:w="59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rPr/>
      </w:pPr>
      <w:r>
        <w:rPr/>
        <w:t>​</w:t>
      </w:r>
    </w:p>
    <w:p>
      <w:pPr>
        <w:pStyle w:val="TextBody"/>
        <w:spacing w:before="0" w:after="0"/>
        <w:ind w:left="0" w:right="0" w:firstLine="360"/>
        <w:rPr/>
      </w:pPr>
      <w:r>
        <w:rPr/>
        <w:t>​</w:t>
      </w:r>
    </w:p>
    <w:p>
      <w:pPr>
        <w:pStyle w:val="TextBody"/>
        <w:spacing w:before="0" w:after="0"/>
        <w:ind w:left="0" w:right="0" w:firstLine="360"/>
        <w:rPr/>
      </w:pPr>
      <w:r>
        <w:rPr/>
        <w:t>​</w:t>
      </w:r>
    </w:p>
    <w:p>
      <w:pPr>
        <w:pStyle w:val="TextBody"/>
        <w:spacing w:before="0" w:after="0"/>
        <w:ind w:left="0" w:right="0" w:firstLine="360"/>
        <w:rPr/>
      </w:pPr>
      <w:r>
        <w:rPr/>
        <w:t>​</w:t>
      </w:r>
    </w:p>
    <w:p>
      <w:pPr>
        <w:pStyle w:val="TextBody"/>
        <w:spacing w:before="0" w:after="0"/>
        <w:ind w:left="0" w:right="0" w:firstLine="36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6. Debt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2019 Credit Facility</w:t>
      </w:r>
    </w:p>
    <w:p>
      <w:pPr>
        <w:pStyle w:val="TextBody"/>
        <w:spacing w:before="0" w:after="0"/>
        <w:ind w:left="0" w:right="0" w:firstLine="450"/>
        <w:rPr>
          <w:highlight w:val="yellow"/>
        </w:rPr>
      </w:pPr>
      <w:r>
        <w:rPr>
          <w:highlight w:val="yellow"/>
        </w:rPr>
        <w:t>​</w:t>
      </w:r>
    </w:p>
    <w:p>
      <w:pPr>
        <w:pStyle w:val="TextBody"/>
        <w:shd w:fill="FFFFFF" w:val="clear"/>
        <w:spacing w:before="0" w:after="0"/>
        <w:ind w:left="0" w:right="0" w:firstLine="360"/>
        <w:rPr>
          <w:rFonts w:ascii="Times New Roman;Times;serif" w:hAnsi="Times New Roman;Times;serif"/>
          <w:sz w:val="20"/>
        </w:rPr>
      </w:pPr>
      <w:r>
        <w:rPr>
          <w:rFonts w:ascii="Times New Roman;Times;serif" w:hAnsi="Times New Roman;Times;serif"/>
          <w:sz w:val="20"/>
        </w:rPr>
        <w:t>In August 2019, the Company executed an Amended and Restated Loan and Security Agreement (2019 Credit Facility), which amended and restated the Company’s prior loan and security agreement (2017 Credit Facility), providing for a formula revolving line of credit (Line of Credit) and a term loan (2019 Term Loan) with Silicon Valley Bank (SVB).</w:t>
      </w:r>
    </w:p>
    <w:p>
      <w:pPr>
        <w:pStyle w:val="TextBody"/>
        <w:shd w:fill="FFFFFF" w:val="clear"/>
        <w:spacing w:before="100" w:after="100"/>
        <w:ind w:left="0" w:right="0" w:firstLine="360"/>
        <w:rPr/>
      </w:pPr>
      <w:r>
        <w:rPr/>
        <w:t>​</w:t>
      </w:r>
    </w:p>
    <w:p>
      <w:pPr>
        <w:pStyle w:val="TextBody"/>
        <w:shd w:fill="FFFFFF" w:val="clear"/>
        <w:spacing w:before="0" w:after="0"/>
        <w:ind w:left="0" w:right="0" w:firstLine="360"/>
        <w:rPr>
          <w:rFonts w:ascii="Times New Roman;Times;serif" w:hAnsi="Times New Roman;Times;serif"/>
          <w:sz w:val="24"/>
        </w:rPr>
      </w:pPr>
      <w:r>
        <w:rPr>
          <w:rFonts w:ascii="Times New Roman;Times;serif" w:hAnsi="Times New Roman;Times;serif"/>
          <w:sz w:val="20"/>
        </w:rPr>
        <w:t>In July 2020, the Company executed the first amendment to the 2019 Credit Facility with SVB. The amendment, among other things, extended the initial 12-month</w:t>
      </w:r>
      <w:r>
        <w:rPr>
          <w:rFonts w:ascii="Times New Roman;Times;serif" w:hAnsi="Times New Roman;Times;serif"/>
          <w:sz w:val="24"/>
        </w:rPr>
        <w:t> </w:t>
      </w:r>
      <w:r>
        <w:rPr>
          <w:rFonts w:ascii="Times New Roman;Times;serif" w:hAnsi="Times New Roman;Times;serif"/>
          <w:sz w:val="20"/>
        </w:rPr>
        <w:t>interest-only period for the 2019 Term Loan to a 16-month</w:t>
      </w:r>
      <w:r>
        <w:rPr>
          <w:rFonts w:ascii="Times New Roman;Times;serif" w:hAnsi="Times New Roman;Times;serif"/>
          <w:sz w:val="24"/>
        </w:rPr>
        <w:t> </w:t>
      </w:r>
      <w:r>
        <w:rPr>
          <w:rFonts w:ascii="Times New Roman;Times;serif" w:hAnsi="Times New Roman;Times;serif"/>
          <w:sz w:val="20"/>
        </w:rPr>
        <w:t>interest-only period and lowered the floor interest rate. The floor interest rates for the 2019 Term Loan and the Line of Credit were reduced from 4.75%</w:t>
      </w:r>
      <w:r>
        <w:rPr>
          <w:rFonts w:ascii="Times New Roman;Times;serif" w:hAnsi="Times New Roman;Times;serif"/>
          <w:sz w:val="24"/>
        </w:rPr>
        <w:t xml:space="preserve"> </w:t>
      </w:r>
      <w:r>
        <w:rPr>
          <w:rFonts w:ascii="Times New Roman;Times;serif" w:hAnsi="Times New Roman;Times;serif"/>
          <w:sz w:val="20"/>
        </w:rPr>
        <w:t>and 6.75%</w:t>
      </w:r>
      <w:r>
        <w:rPr>
          <w:rFonts w:ascii="Times New Roman;Times;serif" w:hAnsi="Times New Roman;Times;serif"/>
          <w:sz w:val="24"/>
        </w:rPr>
        <w:t xml:space="preserve"> </w:t>
      </w:r>
      <w:r>
        <w:rPr>
          <w:rFonts w:ascii="Times New Roman;Times;serif" w:hAnsi="Times New Roman;Times;serif"/>
          <w:sz w:val="20"/>
        </w:rPr>
        <w:t>to 3.75%</w:t>
      </w:r>
      <w:r>
        <w:rPr>
          <w:rFonts w:ascii="Times New Roman;Times;serif" w:hAnsi="Times New Roman;Times;serif"/>
          <w:sz w:val="24"/>
        </w:rPr>
        <w:t xml:space="preserve"> </w:t>
      </w:r>
      <w:r>
        <w:rPr>
          <w:rFonts w:ascii="Times New Roman;Times;serif" w:hAnsi="Times New Roman;Times;serif"/>
          <w:sz w:val="20"/>
        </w:rPr>
        <w:t>and 4.75%, respectively.</w:t>
      </w:r>
    </w:p>
    <w:p>
      <w:pPr>
        <w:pStyle w:val="TextBody"/>
        <w:shd w:fill="FFFFFF" w:val="clear"/>
        <w:spacing w:before="100" w:after="100"/>
        <w:ind w:left="0" w:right="0" w:firstLine="360"/>
        <w:rPr/>
      </w:pPr>
      <w:r>
        <w:rPr/>
        <w:t>​</w:t>
      </w:r>
    </w:p>
    <w:p>
      <w:pPr>
        <w:pStyle w:val="TextBody"/>
        <w:shd w:fill="FFFFFF" w:val="clear"/>
        <w:spacing w:before="0" w:after="0"/>
        <w:ind w:left="0" w:right="0" w:firstLine="360"/>
        <w:rPr>
          <w:rFonts w:ascii="Times New Roman;Times;serif" w:hAnsi="Times New Roman;Times;serif"/>
          <w:sz w:val="20"/>
        </w:rPr>
      </w:pPr>
      <w:r>
        <w:rPr>
          <w:rFonts w:ascii="Times New Roman;Times;serif" w:hAnsi="Times New Roman;Times;serif"/>
          <w:sz w:val="20"/>
        </w:rPr>
        <w:t>The amended Line of Credit allows for a maximum draw of $5.0 million, subject to a formula borrowing base, and bears interest at a floating rate equal to the Wall Street Journal (WSJ) prime rate plus 1.5%, per annum, subject to a floor of 4.75%. As of March 31, 2022, the interest rate was 5.00%. 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Currently, $4.0 million remains available under the Line of Credit, subject to borrowing base availability. As of March 31, 2022, the effective interest rate under the Line of Credit was 10.18% and the outstanding balance was $1.0 million. The Line of Credit was set to mature on August 5, 2021. The second amendment, entered into on July 28, 2021, extended the maturity date of the Line of Credit to August 5, 2022.</w:t>
      </w:r>
    </w:p>
    <w:p>
      <w:pPr>
        <w:pStyle w:val="TextBody"/>
        <w:shd w:fill="FFFFFF" w:val="clear"/>
        <w:spacing w:before="100" w:after="10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firstLine="360"/>
        <w:rPr>
          <w:rFonts w:ascii="Times New Roman;Times;serif" w:hAnsi="Times New Roman;Times;serif"/>
          <w:sz w:val="24"/>
        </w:rPr>
      </w:pPr>
      <w:r>
        <w:rPr>
          <w:rFonts w:ascii="Times New Roman;Times;serif" w:hAnsi="Times New Roman;Times;serif"/>
          <w:sz w:val="20"/>
        </w:rPr>
        <w:t>The amended 2019 Term Loan provides for a $6.0</w:t>
      </w:r>
      <w:r>
        <w:rPr>
          <w:rFonts w:ascii="Times New Roman;Times;serif" w:hAnsi="Times New Roman;Times;serif"/>
          <w:sz w:val="24"/>
        </w:rPr>
        <w:t> </w:t>
      </w:r>
      <w:r>
        <w:rPr>
          <w:rFonts w:ascii="Times New Roman;Times;serif" w:hAnsi="Times New Roman;Times;serif"/>
          <w:sz w:val="20"/>
        </w:rPr>
        <w:t>million term loan. The 2019 Term Loan has a term of 46 months, and a 16-month</w:t>
      </w:r>
      <w:r>
        <w:rPr>
          <w:rFonts w:ascii="Times New Roman;Times;serif" w:hAnsi="Times New Roman;Times;serif"/>
          <w:sz w:val="24"/>
        </w:rPr>
        <w:t> </w:t>
      </w:r>
      <w:r>
        <w:rPr>
          <w:rFonts w:ascii="Times New Roman;Times;serif" w:hAnsi="Times New Roman;Times;serif"/>
          <w:sz w:val="20"/>
        </w:rPr>
        <w:t>interest-only period followed by 30 months</w:t>
      </w:r>
      <w:r>
        <w:rPr>
          <w:rFonts w:ascii="Times New Roman;Times;serif" w:hAnsi="Times New Roman;Times;serif"/>
          <w:sz w:val="24"/>
        </w:rPr>
        <w:t> </w:t>
      </w:r>
      <w:r>
        <w:rPr>
          <w:rFonts w:ascii="Times New Roman;Times;serif" w:hAnsi="Times New Roman;Times;serif"/>
          <w:sz w:val="20"/>
        </w:rPr>
        <w:t>of equal principal payments, plus accrued interest. The 2019 Term Loan bears interest at a floating rate equal to the WSJ prime rate minus 0.75%, subject to a floor of 3.75%. As of March 31, 2022, the interest rate was 3.75%. A final payment of 7%</w:t>
      </w:r>
      <w:r>
        <w:rPr>
          <w:rFonts w:ascii="Times New Roman;Times;serif" w:hAnsi="Times New Roman;Times;serif"/>
          <w:sz w:val="24"/>
        </w:rPr>
        <w:t xml:space="preserve"> </w:t>
      </w:r>
      <w:r>
        <w:rPr>
          <w:rFonts w:ascii="Times New Roman;Times;serif" w:hAnsi="Times New Roman;Times;serif"/>
          <w:sz w:val="20"/>
        </w:rPr>
        <w:t>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w:t>
      </w:r>
      <w:r>
        <w:rPr>
          <w:rFonts w:ascii="Times New Roman;Times;serif" w:hAnsi="Times New Roman;Times;serif"/>
          <w:sz w:val="24"/>
        </w:rPr>
        <w:t xml:space="preserve"> </w:t>
      </w:r>
      <w:r>
        <w:rPr>
          <w:rFonts w:ascii="Times New Roman;Times;serif" w:hAnsi="Times New Roman;Times;serif"/>
          <w:sz w:val="20"/>
        </w:rPr>
        <w:t>of the total commitment, which is due only if the 2019 Term Loan is prepaid prior to the scheduled maturity date for any reason. As of March 31, 2022, the effective interest rate under the 2019 Term Loan was 7.85%</w:t>
      </w:r>
      <w:r>
        <w:rPr>
          <w:rFonts w:ascii="Times New Roman;Times;serif" w:hAnsi="Times New Roman;Times;serif"/>
          <w:sz w:val="24"/>
        </w:rPr>
        <w:t xml:space="preserve"> </w:t>
      </w:r>
      <w:r>
        <w:rPr>
          <w:rFonts w:ascii="Times New Roman;Times;serif" w:hAnsi="Times New Roman;Times;serif"/>
          <w:sz w:val="20"/>
        </w:rPr>
        <w:t>and the outstanding balance was $3.4</w:t>
      </w:r>
      <w:r>
        <w:rPr>
          <w:rFonts w:ascii="Times New Roman;Times;serif" w:hAnsi="Times New Roman;Times;serif"/>
          <w:sz w:val="24"/>
        </w:rPr>
        <w:t> </w:t>
      </w:r>
      <w:r>
        <w:rPr>
          <w:rFonts w:ascii="Times New Roman;Times;serif" w:hAnsi="Times New Roman;Times;serif"/>
          <w:sz w:val="20"/>
        </w:rPr>
        <w:t>million. The 2019 Term Loan matures on June 1, 2023.</w:t>
      </w:r>
    </w:p>
    <w:p>
      <w:pPr>
        <w:pStyle w:val="TextBody"/>
        <w:shd w:fill="FFFFFF" w:val="clear"/>
        <w:spacing w:before="100" w:after="100"/>
        <w:ind w:left="0" w:right="0" w:firstLine="360"/>
        <w:rPr/>
      </w:pPr>
      <w:r>
        <w:rPr/>
        <w:t>​</w:t>
      </w:r>
    </w:p>
    <w:p>
      <w:pPr>
        <w:pStyle w:val="TextBody"/>
        <w:shd w:fill="FFFFFF" w:val="clear"/>
        <w:spacing w:before="0" w:after="0"/>
        <w:ind w:left="0" w:right="0" w:firstLine="446"/>
        <w:rPr>
          <w:rFonts w:ascii="Times New Roman;Times;serif" w:hAnsi="Times New Roman;Times;serif"/>
          <w:sz w:val="20"/>
        </w:rPr>
      </w:pPr>
      <w:r>
        <w:rPr>
          <w:rFonts w:ascii="Times New Roman;Times;serif" w:hAnsi="Times New Roman;Times;serif"/>
          <w:sz w:val="20"/>
        </w:rPr>
        <w:t>In conjunction with entering into the 2019 Credit Facility, on August 5, 2019, the Company and SVB amended and restated the warrant issued to SVB in connection with the first amendment to the 2017 Credit Facility, which was a warrant to purchase 9,375 shares of the Company’s common stock at an exercise price of $8.91 per share, to add an option by SVB to put the warrant back to the Company for $50,000 upon expiration or a liquidity event, to be prorated if SVB exercises a portion of the warrant. The warrant expires on July 6, 2023. The warrant is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(expense) income, net in the Company’s statements of operations and comprehensive income (loss). The Company recognized other income of $11,000 and other expense of $4,000 for the three months ended March 31, 2022 and 2021, respectively, related to the change in fair value of the warrant within other expense, net in the statements of operations and comprehensive income (loss).</w:t>
      </w:r>
    </w:p>
    <w:p>
      <w:pPr>
        <w:pStyle w:val="TextBody"/>
        <w:shd w:fill="FFFFFF" w:val="clear"/>
        <w:spacing w:before="100" w:after="100"/>
        <w:ind w:left="0" w:right="0" w:firstLine="446"/>
        <w:rPr/>
      </w:pPr>
      <w:r>
        <w:rPr/>
        <w:t>​</w:t>
      </w:r>
    </w:p>
    <w:p>
      <w:pPr>
        <w:pStyle w:val="TextBody"/>
        <w:shd w:fill="FFFFFF" w:val="clear"/>
        <w:spacing w:before="0" w:after="0"/>
        <w:ind w:left="0" w:right="0" w:firstLine="446"/>
        <w:rPr>
          <w:rFonts w:ascii="Times New Roman;Times;serif" w:hAnsi="Times New Roman;Times;serif"/>
          <w:sz w:val="20"/>
        </w:rPr>
      </w:pPr>
      <w:r>
        <w:rPr>
          <w:rFonts w:ascii="Times New Roman;Times;serif" w:hAnsi="Times New Roman;Times;serif"/>
          <w:sz w:val="20"/>
        </w:rPr>
        <w:t>Additionally, in conjunction with entering into the first amendment to the 2019 Credit Facility, on July 15, 2020, the Company issued an additional warrant to SVB to purchase 21,500 shares of its common stock at an exercise price of $0.01 per share, which was to expire on July 15, 2025. The warrant was classified as equity and was recorded as a debt discount that was amortized to interest expense using the effective interest method. The fair value of the warrant was $152,000 on the date of issuance using the Black-Scholes option-pricing model.</w:t>
      </w:r>
    </w:p>
    <w:p>
      <w:pPr>
        <w:pStyle w:val="TextBody"/>
        <w:shd w:fill="FFFFFF" w:val="clear"/>
        <w:spacing w:before="100" w:after="100"/>
        <w:ind w:left="0" w:right="0" w:firstLine="446"/>
        <w:rPr/>
      </w:pPr>
      <w:r>
        <w:rPr/>
        <w:t>​</w:t>
      </w:r>
    </w:p>
    <w:p>
      <w:pPr>
        <w:pStyle w:val="TextBody"/>
        <w:shd w:fill="FFFFFF" w:val="clear"/>
        <w:spacing w:before="0" w:after="0"/>
        <w:ind w:left="0" w:right="0" w:firstLine="446"/>
        <w:rPr>
          <w:rFonts w:ascii="Times New Roman;Times;serif" w:hAnsi="Times New Roman;Times;serif"/>
          <w:sz w:val="20"/>
        </w:rPr>
      </w:pPr>
      <w:r>
        <w:rPr>
          <w:rFonts w:ascii="Times New Roman;Times;serif" w:hAnsi="Times New Roman;Times;serif"/>
          <w:sz w:val="20"/>
        </w:rPr>
        <w:t>On July 22, 2021, SVB elected to exercise the warrant associated with the first amendment to the 2019 Credit Facility, which resulted in a net cashless exercise of the warrant and the issuance of 21,463 shares of the Company’s common stock.</w:t>
      </w:r>
    </w:p>
    <w:p>
      <w:pPr>
        <w:pStyle w:val="TextBody"/>
        <w:shd w:fill="FFFFFF" w:val="clear"/>
        <w:spacing w:before="100" w:after="100"/>
        <w:ind w:left="0" w:right="0" w:firstLine="360"/>
        <w:rPr/>
      </w:pPr>
      <w:r>
        <w:rPr/>
        <w:t>​</w:t>
      </w:r>
    </w:p>
    <w:p>
      <w:pPr>
        <w:pStyle w:val="TextBody"/>
        <w:shd w:fill="FFFFFF" w:val="clear"/>
        <w:spacing w:before="0" w:after="0"/>
        <w:ind w:left="0" w:right="0" w:firstLine="360"/>
        <w:rPr>
          <w:rFonts w:ascii="Times New Roman;Times;serif" w:hAnsi="Times New Roman;Times;serif"/>
          <w:sz w:val="20"/>
        </w:rPr>
      </w:pPr>
      <w:r>
        <w:rPr>
          <w:rFonts w:ascii="Times New Roman;Times;serif" w:hAnsi="Times New Roman;Times;serif"/>
          <w:sz w:val="20"/>
        </w:rPr>
        <w:t>Collateral for the 2019 Credit Facility includes all of the Company’s assets except for intellectual property. The Company is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as of March 31, 2022.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2019 Term Loan. As of March 31, 2022, management does not believe that it is probable that the clause will be triggered within the next 12 months, and therefore the 2019 Term Loan is classified as long-term debt.</w:t>
      </w:r>
    </w:p>
    <w:p>
      <w:pPr>
        <w:pStyle w:val="TextBody"/>
        <w:shd w:fill="FFFFFF" w:val="clear"/>
        <w:spacing w:before="100" w:after="100"/>
        <w:ind w:left="0" w:right="0" w:firstLine="360"/>
        <w:rPr/>
      </w:pPr>
      <w:r>
        <w:rPr/>
        <w:t>​</w:t>
      </w:r>
    </w:p>
    <w:p>
      <w:pPr>
        <w:pStyle w:val="TextBody"/>
        <w:pBdr/>
        <w:shd w:fill="FFFFFF" w:val="clear"/>
        <w:spacing w:before="0" w:after="0"/>
        <w:ind w:left="0" w:right="0" w:firstLine="360"/>
        <w:rPr>
          <w:rFonts w:ascii="Times New Roman;Times;serif" w:hAnsi="Times New Roman;Times;serif"/>
          <w:sz w:val="20"/>
        </w:rPr>
      </w:pPr>
      <w:r>
        <w:rPr>
          <w:rFonts w:ascii="Times New Roman;Times;serif" w:hAnsi="Times New Roman;Times;serif"/>
          <w:sz w:val="20"/>
        </w:rPr>
        <w:t>The amortization of the debt issuance costs and accretion of the debt discount is included in interest expense within the statements of operations and comprehensive income (loss) and included in non-cash interest expense within the statement of cash flows.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240"/>
        <w:ind w:left="0" w:right="0" w:firstLine="446"/>
        <w:rPr>
          <w:rFonts w:ascii="Times New Roman;Times;serif" w:hAnsi="Times New Roman;Times;serif"/>
          <w:sz w:val="20"/>
        </w:rPr>
      </w:pPr>
      <w:bookmarkStart w:id="740" w:name="Tc_p5SyOwXia0y7r4X3usMTSw_5_2"/>
      <w:bookmarkStart w:id="741" w:name="Tc_tdGhBEj-5Ea1p21FV1Tlgw_5_0"/>
      <w:bookmarkStart w:id="742" w:name="Tc_XmmcoMQGqEaDUC5maOMLug_4_0"/>
      <w:bookmarkStart w:id="743" w:name="Tc_JvcQs44UGEK28cBcY1P7mQ_3_0"/>
      <w:bookmarkStart w:id="744" w:name="Tc_0B8Go2_-_E-FnLJEXkjjdA_2_2"/>
      <w:bookmarkStart w:id="745" w:name="_8584169d_884f_4b8c_b68e_dbe12501d466"/>
      <w:bookmarkStart w:id="746" w:name="Tc_LWdoF975okqnHkRQxEFhBA_5_8"/>
      <w:bookmarkStart w:id="747" w:name="Tc_MfPZMlF8nUmF5RKTS8zxxg_5_5"/>
      <w:bookmarkStart w:id="748" w:name="Tc_GHURGKo4CUWzABcqv0_raQ_5_2"/>
      <w:bookmarkStart w:id="749" w:name="Tc_jBAZkURaDki5Pd1vtNluBQ_5_0"/>
      <w:bookmarkStart w:id="750" w:name="Tc_NYbAOXh0s0q8j6pmj37gMA_4_0"/>
      <w:bookmarkStart w:id="751" w:name="Tc_5CtB8OffWkyOAtRDJe_GAg_3_8"/>
      <w:bookmarkStart w:id="752" w:name="Tc_TpPt9ylgzkOTfu6sypF9-g_3_5"/>
      <w:bookmarkStart w:id="753" w:name="Tc_t8laUoLaAUSG_TiIjnr0JA_3_2"/>
      <w:bookmarkStart w:id="754" w:name="Tc_J1ZwzyPUHEKbeT8vfGtspw_3_0"/>
      <w:bookmarkStart w:id="755" w:name="Tc_Ape0XmQAJUOrS9O0oDyvhA_2_8"/>
      <w:bookmarkStart w:id="756" w:name="Tc_iVVQcDYPA0WOxdANDl3qwA_2_5"/>
      <w:bookmarkStart w:id="757" w:name="Tc_TNc3cOLroUqFJM_GrVTiYQ_2_2"/>
      <w:bookmarkStart w:id="758" w:name="Tc_4DCXn5yX90SPF5o4GW10Iw_1_5"/>
      <w:bookmarkStart w:id="759" w:name="Tc_RJ4Jn6bXqUyFGgkfKG7q6g_1_2"/>
      <w:bookmarkStart w:id="760" w:name="_002f1ce5_2346_45fc_bfa0_00534c11c891"/>
      <w:bookmarkStart w:id="761" w:name="Tc_bCws2958xE6dV6vyOdGS4Q_5_8"/>
      <w:bookmarkStart w:id="762" w:name="Tc_6vpRoLjYYEiSA13rPByN5Q_5_5"/>
      <w:bookmarkStart w:id="763" w:name="Tc_zWg_9c8cCkaFQsrHMTjL-A_5_2"/>
      <w:bookmarkStart w:id="764" w:name="Tc_oeuUjKhT9kCJmiMlsVfGDg_5_0"/>
      <w:bookmarkStart w:id="765" w:name="Tc_Z20PI7IeLU6Yhv_8iUgvNg_4_0"/>
      <w:bookmarkStart w:id="766" w:name="Tc_xPtjZk8F60-dpAk2e5GZtw_3_8"/>
      <w:bookmarkStart w:id="767" w:name="Tc_wqomnEVqXUSwXOf7dEeE8Q_3_5"/>
      <w:bookmarkStart w:id="768" w:name="Tc_ZoIYMSgp9UOMvTI2YiJH1w_3_2"/>
      <w:bookmarkStart w:id="769" w:name="Tc_tvIqxv28wEOpNHoTgyGiTQ_3_0"/>
      <w:bookmarkStart w:id="770" w:name="Tc_SgXgLMdnakyTBKLRkpvSMQ_2_8"/>
      <w:bookmarkStart w:id="771" w:name="Tc_1rHK9A8jJU25toOlTuyz8w_2_5"/>
      <w:bookmarkStart w:id="772" w:name="Tc_TnOYTWPDsk6BGsgXMKMUTg_2_2"/>
      <w:bookmarkStart w:id="773" w:name="Tc_x4RYWiHAE0qnITFWDc_kQA_1_5"/>
      <w:bookmarkStart w:id="774" w:name="Tc_bwFC0wCbG0-7wRnzTsHIHw_1_2"/>
      <w:bookmarkStart w:id="775" w:name="_35704c44_a752_4e95_b40a_dbae1638078c"/>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r>
        <w:rPr>
          <w:rFonts w:ascii="Times New Roman;Times;serif" w:hAnsi="Times New Roman;Times;serif"/>
          <w:sz w:val="20"/>
        </w:rPr>
        <w:t>The carrying value of the Company’s 2019 Credit Facility at March 31, 2022, was as follows (in thousands):</w:t>
      </w:r>
    </w:p>
    <w:p>
      <w:pPr>
        <w:pStyle w:val="TextBody"/>
        <w:spacing w:before="0" w:after="0"/>
        <w:ind w:left="0" w:right="0" w:hanging="0"/>
        <w:rPr/>
      </w:pPr>
      <w:r>
        <w:rPr/>
        <w:t>​</w:t>
      </w:r>
    </w:p>
    <w:tbl>
      <w:tblPr>
        <w:tblW w:w="5979" w:type="dxa"/>
        <w:jc w:val="left"/>
        <w:tblInd w:w="0" w:type="dxa"/>
        <w:tblCellMar>
          <w:top w:w="0" w:type="dxa"/>
          <w:left w:w="0" w:type="dxa"/>
          <w:bottom w:w="0" w:type="dxa"/>
          <w:right w:w="0" w:type="dxa"/>
        </w:tblCellMar>
      </w:tblPr>
      <w:tblGrid>
        <w:gridCol w:w="2401"/>
        <w:gridCol w:w="326"/>
        <w:gridCol w:w="211"/>
        <w:gridCol w:w="571"/>
        <w:gridCol w:w="326"/>
        <w:gridCol w:w="251"/>
        <w:gridCol w:w="680"/>
        <w:gridCol w:w="326"/>
        <w:gridCol w:w="211"/>
        <w:gridCol w:w="676"/>
      </w:tblGrid>
      <w:tr>
        <w:trPr/>
        <w:tc>
          <w:tcPr>
            <w:tcW w:w="2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24635" cy="175260"/>
                      <wp:effectExtent l="0" t="0" r="0" b="0"/>
                      <wp:wrapNone/>
                      <wp:docPr id="164" name="Frame164"/>
                      <a:graphic xmlns:a="http://schemas.openxmlformats.org/drawingml/2006/main">
                        <a:graphicData uri="http://schemas.microsoft.com/office/word/2010/wordprocessingShape">
                          <wps:wsp>
                            <wps:cNvSpPr txBox="1"/>
                            <wps:spPr>
                              <a:xfrm>
                                <a:off x="0" y="0"/>
                                <a:ext cx="1524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2585" cy="175260"/>
                      <wp:effectExtent l="0" t="0" r="0" b="0"/>
                      <wp:wrapNone/>
                      <wp:docPr id="167" name="Frame16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59385" cy="175260"/>
                      <wp:effectExtent l="0" t="0" r="0" b="0"/>
                      <wp:wrapNone/>
                      <wp:docPr id="169" name="Frame169"/>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1800" cy="175260"/>
                      <wp:effectExtent l="0" t="0" r="0" b="0"/>
                      <wp:wrapNone/>
                      <wp:docPr id="170" name="Frame170"/>
                      <a:graphic xmlns:a="http://schemas.openxmlformats.org/drawingml/2006/main">
                        <a:graphicData uri="http://schemas.microsoft.com/office/word/2010/wordprocessingShape">
                          <wps:wsp>
                            <wps:cNvSpPr txBox="1"/>
                            <wps:spPr>
                              <a:xfrm>
                                <a:off x="0" y="0"/>
                                <a:ext cx="431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260"/>
                      <wp:effectExtent l="0" t="0" r="0" b="0"/>
                      <wp:wrapNone/>
                      <wp:docPr id="173" name="Frame17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26" w:type="dxa"/>
            <w:tcBorders/>
            <w:shd w:fill="auto" w:val="clear"/>
            <w:vAlign w:val="center"/>
          </w:tcPr>
          <w:p>
            <w:pPr>
              <w:pStyle w:val="TableContents"/>
              <w:spacing w:before="0" w:after="0"/>
              <w:ind w:left="0" w:right="0" w:hanging="0"/>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Long-Term</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Portion</w:t>
            </w:r>
          </w:p>
        </w:tc>
        <w:tc>
          <w:tcPr>
            <w:tcW w:w="326" w:type="dxa"/>
            <w:tcBorders/>
            <w:shd w:fill="auto" w:val="clear"/>
            <w:vAlign w:val="center"/>
          </w:tcPr>
          <w:p>
            <w:pPr>
              <w:pStyle w:val="TableContents"/>
              <w:spacing w:before="0" w:after="0"/>
              <w:ind w:left="0" w:right="0" w:hanging="0"/>
              <w:rPr/>
            </w:pPr>
            <w:r>
              <w:rPr/>
              <w:t>​</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Debt</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 Facility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3,400</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4,420</w:t>
            </w:r>
          </w:p>
        </w:tc>
      </w:tr>
      <w:tr>
        <w:trPr/>
        <w:tc>
          <w:tcPr>
            <w:tcW w:w="2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Unamortized debt discounts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2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carrying value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3,377</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4,331</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carrying value of the Company’s 2019 Credit Facility as of December 31, 2021 was as follows (in thousands):</w:t>
      </w:r>
    </w:p>
    <w:p>
      <w:pPr>
        <w:pStyle w:val="TextBody"/>
        <w:spacing w:before="0" w:after="0"/>
        <w:ind w:left="0" w:right="0" w:firstLine="360"/>
        <w:rPr/>
      </w:pPr>
      <w:r>
        <w:rPr/>
        <w:t>​</w:t>
      </w:r>
    </w:p>
    <w:tbl>
      <w:tblPr>
        <w:tblW w:w="5979" w:type="dxa"/>
        <w:jc w:val="left"/>
        <w:tblInd w:w="0" w:type="dxa"/>
        <w:tblCellMar>
          <w:top w:w="0" w:type="dxa"/>
          <w:left w:w="0" w:type="dxa"/>
          <w:bottom w:w="0" w:type="dxa"/>
          <w:right w:w="0" w:type="dxa"/>
        </w:tblCellMar>
      </w:tblPr>
      <w:tblGrid>
        <w:gridCol w:w="2401"/>
        <w:gridCol w:w="326"/>
        <w:gridCol w:w="211"/>
        <w:gridCol w:w="571"/>
        <w:gridCol w:w="326"/>
        <w:gridCol w:w="251"/>
        <w:gridCol w:w="680"/>
        <w:gridCol w:w="326"/>
        <w:gridCol w:w="211"/>
        <w:gridCol w:w="676"/>
      </w:tblGrid>
      <w:tr>
        <w:trPr/>
        <w:tc>
          <w:tcPr>
            <w:tcW w:w="2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24635" cy="175260"/>
                      <wp:effectExtent l="0" t="0" r="0" b="0"/>
                      <wp:wrapNone/>
                      <wp:docPr id="174" name="Frame174"/>
                      <a:graphic xmlns:a="http://schemas.openxmlformats.org/drawingml/2006/main">
                        <a:graphicData uri="http://schemas.microsoft.com/office/word/2010/wordprocessingShape">
                          <wps:wsp>
                            <wps:cNvSpPr txBox="1"/>
                            <wps:spPr>
                              <a:xfrm>
                                <a:off x="0" y="0"/>
                                <a:ext cx="1524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2585" cy="175260"/>
                      <wp:effectExtent l="0" t="0" r="0" b="0"/>
                      <wp:wrapNone/>
                      <wp:docPr id="177" name="Frame17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9385" cy="175260"/>
                      <wp:effectExtent l="0" t="0" r="0" b="0"/>
                      <wp:wrapNone/>
                      <wp:docPr id="179" name="Frame179"/>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1800" cy="175260"/>
                      <wp:effectExtent l="0" t="0" r="0" b="0"/>
                      <wp:wrapNone/>
                      <wp:docPr id="180" name="Frame180"/>
                      <a:graphic xmlns:a="http://schemas.openxmlformats.org/drawingml/2006/main">
                        <a:graphicData uri="http://schemas.microsoft.com/office/word/2010/wordprocessingShape">
                          <wps:wsp>
                            <wps:cNvSpPr txBox="1"/>
                            <wps:spPr>
                              <a:xfrm>
                                <a:off x="0" y="0"/>
                                <a:ext cx="431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9260" cy="175260"/>
                      <wp:effectExtent l="0" t="0" r="0" b="0"/>
                      <wp:wrapNone/>
                      <wp:docPr id="183" name="Frame18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26" w:type="dxa"/>
            <w:tcBorders/>
            <w:shd w:fill="auto" w:val="clear"/>
            <w:vAlign w:val="center"/>
          </w:tcPr>
          <w:p>
            <w:pPr>
              <w:pStyle w:val="TableContents"/>
              <w:spacing w:before="0" w:after="0"/>
              <w:ind w:left="0" w:right="0" w:hanging="0"/>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Long-Term</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Portion</w:t>
            </w:r>
          </w:p>
        </w:tc>
        <w:tc>
          <w:tcPr>
            <w:tcW w:w="326" w:type="dxa"/>
            <w:tcBorders/>
            <w:shd w:fill="auto" w:val="clear"/>
            <w:vAlign w:val="center"/>
          </w:tcPr>
          <w:p>
            <w:pPr>
              <w:pStyle w:val="TableContents"/>
              <w:spacing w:before="0" w:after="0"/>
              <w:ind w:left="0" w:right="0" w:hanging="0"/>
              <w:rPr/>
            </w:pPr>
            <w:r>
              <w:rPr/>
              <w:t>​</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Debt</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 Facility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3,400</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5,020</w:t>
            </w:r>
          </w:p>
        </w:tc>
      </w:tr>
      <w:tr>
        <w:trPr/>
        <w:tc>
          <w:tcPr>
            <w:tcW w:w="2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Unamortized debt discounts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2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carrying value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3,370</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4,899</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table below includes the principal repayments due under the 2019 Credit Facility (in thousands):</w:t>
      </w:r>
    </w:p>
    <w:p>
      <w:pPr>
        <w:pStyle w:val="TextBody"/>
        <w:spacing w:before="0" w:after="0"/>
        <w:ind w:left="0" w:right="0" w:hanging="0"/>
        <w:rPr/>
      </w:pPr>
      <w:r>
        <w:rPr/>
        <w:t>​</w:t>
      </w:r>
    </w:p>
    <w:tbl>
      <w:tblPr>
        <w:tblW w:w="5907" w:type="dxa"/>
        <w:jc w:val="left"/>
        <w:tblInd w:w="0" w:type="dxa"/>
        <w:tblCellMar>
          <w:top w:w="0" w:type="dxa"/>
          <w:left w:w="0" w:type="dxa"/>
          <w:bottom w:w="0" w:type="dxa"/>
          <w:right w:w="0" w:type="dxa"/>
        </w:tblCellMar>
      </w:tblPr>
      <w:tblGrid>
        <w:gridCol w:w="2311"/>
        <w:gridCol w:w="326"/>
        <w:gridCol w:w="777"/>
        <w:gridCol w:w="2493"/>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467485" cy="175260"/>
                      <wp:effectExtent l="0" t="0" r="0" b="0"/>
                      <wp:wrapNone/>
                      <wp:docPr id="184" name="Frame184"/>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93395" cy="175260"/>
                      <wp:effectExtent l="0" t="0" r="0" b="0"/>
                      <wp:wrapNone/>
                      <wp:docPr id="186" name="Frame186"/>
                      <a:graphic xmlns:a="http://schemas.openxmlformats.org/drawingml/2006/main">
                        <a:graphicData uri="http://schemas.microsoft.com/office/word/2010/wordprocessingShape">
                          <wps:wsp>
                            <wps:cNvSpPr txBox="1"/>
                            <wps:spPr>
                              <a:xfrm>
                                <a:off x="0" y="0"/>
                                <a:ext cx="4933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83055" cy="175260"/>
                      <wp:effectExtent l="0" t="0" r="0" b="0"/>
                      <wp:wrapNone/>
                      <wp:docPr id="187" name="Frame187"/>
                      <a:graphic xmlns:a="http://schemas.openxmlformats.org/drawingml/2006/main">
                        <a:graphicData uri="http://schemas.microsoft.com/office/word/2010/wordprocessingShape">
                          <wps:wsp>
                            <wps:cNvSpPr txBox="1"/>
                            <wps:spPr>
                              <a:xfrm>
                                <a:off x="0" y="0"/>
                                <a:ext cx="1583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70" w:type="dxa"/>
            <w:gridSpan w:val="2"/>
            <w:tcBorders/>
            <w:shd w:fill="auto" w:val="clear"/>
            <w:vAlign w:val="center"/>
          </w:tcPr>
          <w:p>
            <w:pPr>
              <w:pStyle w:val="TableContents"/>
              <w:spacing w:before="0" w:after="0"/>
              <w:ind w:left="0" w:right="0" w:hanging="0"/>
              <w:jc w:val="center"/>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2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Repayment as of March 31, 2022</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777" w:type="dxa"/>
            <w:tcBorders/>
            <w:shd w:fill="CCEEFF" w:val="clear"/>
            <w:vAlign w:val="center"/>
          </w:tcPr>
          <w:p>
            <w:pPr>
              <w:pStyle w:val="TableContents"/>
              <w:spacing w:before="0" w:after="0"/>
              <w:ind w:left="0" w:right="0" w:hanging="0"/>
              <w:rPr/>
            </w:pPr>
            <w:r>
              <w:rPr/>
              <w:t>​</w:t>
            </w:r>
          </w:p>
        </w:tc>
        <w:tc>
          <w:tcPr>
            <w:tcW w:w="24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3,400</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77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4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principal repayments</w:t>
            </w:r>
          </w:p>
        </w:tc>
        <w:tc>
          <w:tcPr>
            <w:tcW w:w="326" w:type="dxa"/>
            <w:tcBorders/>
            <w:shd w:fill="CCEEFF" w:val="clear"/>
            <w:vAlign w:val="center"/>
          </w:tcPr>
          <w:p>
            <w:pPr>
              <w:pStyle w:val="TableContents"/>
              <w:spacing w:before="0" w:after="0"/>
              <w:ind w:left="0" w:right="0" w:hanging="0"/>
              <w:rPr/>
            </w:pPr>
            <w:r>
              <w:rPr/>
              <w:t>​</w:t>
            </w:r>
          </w:p>
        </w:tc>
        <w:tc>
          <w:tcPr>
            <w:tcW w:w="7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49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4,420</w:t>
            </w:r>
          </w:p>
        </w:tc>
      </w:tr>
    </w:tbl>
    <w:p>
      <w:pPr>
        <w:pStyle w:val="TextBody"/>
        <w:spacing w:before="0" w:after="0"/>
        <w:ind w:left="0" w:right="0" w:firstLine="360"/>
        <w:rPr/>
      </w:pPr>
      <w:r>
        <w:rPr/>
        <w:t>​</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sz w:val="2"/>
        </w:rPr>
      </w:pPr>
      <w:r>
        <w:rPr>
          <w:rFonts w:ascii="Times New Roman;Times;serif" w:hAnsi="Times New Roman;Times;serif"/>
          <w:sz w:val="2"/>
        </w:rPr>
        <w:t>Of</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776" w:name="Tc_EvC104B7kEO7wwWcleNy2A_15_11"/>
      <w:bookmarkStart w:id="777" w:name="Tc_3J5p_Ik7Qk-BT3mubbAhAw_15_6"/>
      <w:bookmarkStart w:id="778" w:name="Tc_8Th1jV2ZdECI-pCVplg4ww_15_0"/>
      <w:bookmarkStart w:id="779" w:name="Tc_DGUFwf8PzUGtA4tGK7IUmQ_14_11"/>
      <w:bookmarkStart w:id="780" w:name="Tc_kDC34XvZ_E6ADLJILs2vBA_14_6"/>
      <w:bookmarkStart w:id="781" w:name="Tc_0GgWwQjsbEK9t02-9XYH2g_14_0"/>
      <w:bookmarkStart w:id="782" w:name="Tc_WzhYAn2iB0KHT4Fa0MqBpg_13_6"/>
      <w:bookmarkStart w:id="783" w:name="Tc_K7xhLVvM0E26YnUhTvHUrw_13_0"/>
      <w:bookmarkStart w:id="784" w:name="Tc_fh1SBQNUTkSoFjE5IpCJFw_12_11"/>
      <w:bookmarkStart w:id="785" w:name="Tc_5iHo59IutkqtXbSV-oWtGw_12_6"/>
      <w:bookmarkStart w:id="786" w:name="Tc_kcwzi84IJUq0zVd_H2ieLA_12_2"/>
      <w:bookmarkStart w:id="787" w:name="Tc_U5H4DwW-EUKizVrSmhcD4A_12_0"/>
      <w:bookmarkStart w:id="788" w:name="Tc_QMYStPwNZkmR8nTty1iVRQ_11_6"/>
      <w:bookmarkStart w:id="789" w:name="Tc_dC6XW5iD0Um3xXSZh3PO_Q_11_0"/>
      <w:bookmarkStart w:id="790" w:name="Tc_aIcPULPm502l3F4LR8QJrA_10_4"/>
      <w:bookmarkStart w:id="791" w:name="Tc_uKcQQcR7dEyHogvVhN6XSg_10_0"/>
      <w:bookmarkStart w:id="792" w:name="Tc_-Q2tCBj64keuv_WfUva49A_9_0"/>
      <w:bookmarkStart w:id="793" w:name="Tc_BN69r6Y_7UGKVRp4v-Lesw_8_0"/>
      <w:bookmarkStart w:id="794" w:name="Tc_LICclO7Vx0O5CfCNn7Ra5g_7_11"/>
      <w:bookmarkStart w:id="795" w:name="Tc_8osz3t33REOr024fk2D8YA_7_6"/>
      <w:bookmarkStart w:id="796" w:name="Tc_C-p8zkXk_0-ZnQ5hmBJOVw_7_0"/>
      <w:bookmarkStart w:id="797" w:name="Tc_pjNoqIQEB0iIMJmejuP6OA_6_11"/>
      <w:bookmarkStart w:id="798" w:name="Tc_LY-3bf8dEkSOvJ2aQnarvg_6_9"/>
      <w:bookmarkStart w:id="799" w:name="Tc_uMt9xOB8ck6DKsbwFIqZSA_6_6"/>
      <w:bookmarkStart w:id="800" w:name="Tc_yH6amzdmlkq9l4aulykKVg_6_4"/>
      <w:bookmarkStart w:id="801" w:name="Tc_TEl8p1-iqkeFfm-R3zACrw_6_2"/>
      <w:bookmarkStart w:id="802" w:name="Tc_Gyy7UJKgkUOVATnl2BtPAA_5_11"/>
      <w:bookmarkStart w:id="803" w:name="Tc_AjwGE3Y72Ei7-Ce5YdYb2Q_5_9"/>
      <w:bookmarkStart w:id="804" w:name="Tc_8SJmQaxtAkOr-zDgacvWbQ_5_6"/>
      <w:bookmarkStart w:id="805" w:name="Tc_Crrgmc1urE-zanDlK_kUSw_5_4"/>
      <w:bookmarkStart w:id="806" w:name="Tc_xn7MoXG10U24q1UfMIMk9Q_5_2"/>
      <w:bookmarkStart w:id="807" w:name="Tc_c_IytMFtm0OJtyPDkLN-4Q_4_11"/>
      <w:bookmarkStart w:id="808" w:name="Tc_cINeenv7x06_p0V4fBreng_4_9"/>
      <w:bookmarkStart w:id="809" w:name="Tc_FFxmLOAMXUmayKPJppvUrw_4_6"/>
      <w:bookmarkStart w:id="810" w:name="Tc_mGWes-VuM0asWKncsl0eWg_4_2"/>
      <w:bookmarkStart w:id="811" w:name="Tc_mmBJaFmQaEmmOexe-uiaSQ_3_11"/>
      <w:bookmarkStart w:id="812" w:name="Tc_1LxhOORBl0K6-kdO3OCgxw_3_9"/>
      <w:bookmarkStart w:id="813" w:name="Tc_4F4IIiyIqkqEbWD8V7gp6g_3_6"/>
      <w:bookmarkStart w:id="814" w:name="Tc_W_wOB18mHUCCOjHsjuXiLw_3_2"/>
      <w:bookmarkStart w:id="815" w:name="Tc_6vClffirBkq_Jopur2rL2Q_2_9"/>
      <w:bookmarkStart w:id="816" w:name="Tc_X_GcNUTJ50y9TDT1TqTRVA_2_6"/>
      <w:bookmarkStart w:id="817" w:name="Tc_fK75lfK9MEOp32nk2eBiNQ_1_4"/>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r>
        <w:rPr>
          <w:rFonts w:ascii="Times New Roman;Times;serif" w:hAnsi="Times New Roman;Times;serif"/>
          <w:b/>
          <w:sz w:val="20"/>
        </w:rPr>
        <w:t>7. Stock-Based Compensation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Summary of Stock Option Activity</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summarizes the stock option and award activity for the three months ended March 31, 2022:</w:t>
      </w:r>
    </w:p>
    <w:p>
      <w:pPr>
        <w:pStyle w:val="TextBody"/>
        <w:spacing w:before="0" w:after="0"/>
        <w:ind w:left="0" w:right="0" w:hanging="0"/>
        <w:rPr/>
      </w:pPr>
      <w:r>
        <w:rPr/>
        <w:t>​</w:t>
      </w:r>
    </w:p>
    <w:tbl>
      <w:tblPr>
        <w:tblW w:w="9689" w:type="dxa"/>
        <w:jc w:val="left"/>
        <w:tblInd w:w="0" w:type="dxa"/>
        <w:tblCellMar>
          <w:top w:w="0" w:type="dxa"/>
          <w:left w:w="0" w:type="dxa"/>
          <w:bottom w:w="0" w:type="dxa"/>
          <w:right w:w="0" w:type="dxa"/>
        </w:tblCellMar>
      </w:tblPr>
      <w:tblGrid>
        <w:gridCol w:w="3211"/>
        <w:gridCol w:w="146"/>
        <w:gridCol w:w="1066"/>
        <w:gridCol w:w="326"/>
        <w:gridCol w:w="931"/>
        <w:gridCol w:w="326"/>
        <w:gridCol w:w="266"/>
        <w:gridCol w:w="589"/>
        <w:gridCol w:w="326"/>
        <w:gridCol w:w="991"/>
        <w:gridCol w:w="326"/>
        <w:gridCol w:w="268"/>
        <w:gridCol w:w="917"/>
      </w:tblGrid>
      <w:tr>
        <w:trPr/>
        <w:tc>
          <w:tcPr>
            <w:tcW w:w="3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38985" cy="175260"/>
                      <wp:effectExtent l="0" t="0" r="0" b="0"/>
                      <wp:wrapNone/>
                      <wp:docPr id="188" name="Frame188"/>
                      <a:graphic xmlns:a="http://schemas.openxmlformats.org/drawingml/2006/main">
                        <a:graphicData uri="http://schemas.microsoft.com/office/word/2010/wordprocessingShape">
                          <wps:wsp>
                            <wps:cNvSpPr txBox="1"/>
                            <wps:spPr>
                              <a:xfrm>
                                <a:off x="0" y="0"/>
                                <a:ext cx="203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92710" cy="175260"/>
                      <wp:effectExtent l="0" t="0" r="0" b="0"/>
                      <wp:wrapNone/>
                      <wp:docPr id="189" name="Frame18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76910" cy="175260"/>
                      <wp:effectExtent l="0" t="0" r="0" b="0"/>
                      <wp:wrapNone/>
                      <wp:docPr id="190" name="Frame190"/>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91185" cy="175260"/>
                      <wp:effectExtent l="0" t="0" r="0" b="0"/>
                      <wp:wrapNone/>
                      <wp:docPr id="192" name="Frame19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8910" cy="175260"/>
                      <wp:effectExtent l="0" t="0" r="0" b="0"/>
                      <wp:wrapNone/>
                      <wp:docPr id="194" name="Frame19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74015" cy="175260"/>
                      <wp:effectExtent l="0" t="0" r="0" b="0"/>
                      <wp:wrapNone/>
                      <wp:docPr id="195" name="Frame195"/>
                      <a:graphic xmlns:a="http://schemas.openxmlformats.org/drawingml/2006/main">
                        <a:graphicData uri="http://schemas.microsoft.com/office/word/2010/wordprocessingShape">
                          <wps:wsp>
                            <wps:cNvSpPr txBox="1"/>
                            <wps:spPr>
                              <a:xfrm>
                                <a:off x="0" y="0"/>
                                <a:ext cx="374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29285" cy="175260"/>
                      <wp:effectExtent l="0" t="0" r="0" b="0"/>
                      <wp:wrapNone/>
                      <wp:docPr id="197" name="Frame197"/>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0180" cy="175260"/>
                      <wp:effectExtent l="0" t="0" r="0" b="0"/>
                      <wp:wrapNone/>
                      <wp:docPr id="199" name="Frame199"/>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82295" cy="175260"/>
                      <wp:effectExtent l="0" t="0" r="0" b="0"/>
                      <wp:wrapNone/>
                      <wp:docPr id="200" name="Frame200"/>
                      <a:graphic xmlns:a="http://schemas.openxmlformats.org/drawingml/2006/main">
                        <a:graphicData uri="http://schemas.microsoft.com/office/word/2010/wordprocessingShape">
                          <wps:wsp>
                            <wps:cNvSpPr txBox="1"/>
                            <wps:spPr>
                              <a:xfrm>
                                <a:off x="0" y="0"/>
                                <a:ext cx="5822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1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940"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r>
      <w:tr>
        <w:trPr/>
        <w:tc>
          <w:tcPr>
            <w:tcW w:w="321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17" w:type="dxa"/>
            <w:tcBorders/>
            <w:shd w:fill="auto" w:val="clear"/>
            <w:vAlign w:val="center"/>
          </w:tcPr>
          <w:p>
            <w:pPr>
              <w:pStyle w:val="TableContents"/>
              <w:spacing w:before="0" w:after="0"/>
              <w:ind w:left="0" w:right="0" w:hanging="0"/>
              <w:jc w:val="center"/>
              <w:rPr/>
            </w:pPr>
            <w:r>
              <w:rPr/>
              <w:t>​</w:t>
            </w:r>
          </w:p>
        </w:tc>
      </w:tr>
      <w:tr>
        <w:trPr/>
        <w:tc>
          <w:tcPr>
            <w:tcW w:w="321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and</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21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21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 for</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21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0"/>
              <w:ind w:left="0" w:right="0" w:hanging="0"/>
              <w:rPr/>
            </w:pPr>
            <w:r>
              <w:rPr/>
              <w:t>    </w:t>
            </w:r>
          </w:p>
        </w:tc>
        <w:tc>
          <w:tcPr>
            <w:tcW w:w="8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shd w:fill="auto" w:val="cle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Balance—December 31, 2021</w:t>
            </w:r>
          </w:p>
        </w:tc>
        <w:tc>
          <w:tcPr>
            <w:tcW w:w="14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1,038,956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1,783,298</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10,891</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Authorized</w:t>
            </w:r>
          </w:p>
        </w:tc>
        <w:tc>
          <w:tcPr>
            <w:tcW w:w="14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595,753</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17" w:type="dxa"/>
            <w:tcBorders/>
            <w:shd w:fill="auto" w:val="clear"/>
            <w:vAlign w:val="center"/>
          </w:tcPr>
          <w:p>
            <w:pPr>
              <w:pStyle w:val="TableContents"/>
              <w:spacing w:before="0" w:after="0"/>
              <w:ind w:left="0" w:right="0" w:hanging="0"/>
              <w:jc w:val="right"/>
              <w:rPr/>
            </w:pPr>
            <w:r>
              <w:rPr/>
              <w:t>​</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RSUs granted</w:t>
            </w:r>
          </w:p>
        </w:tc>
        <w:tc>
          <w:tcPr>
            <w:tcW w:w="14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(330,832)</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5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17" w:type="dxa"/>
            <w:tcBorders/>
            <w:shd w:fill="CCEEFF" w:val="clear"/>
            <w:vAlign w:val="center"/>
          </w:tcPr>
          <w:p>
            <w:pPr>
              <w:pStyle w:val="TableContents"/>
              <w:spacing w:before="0" w:after="0"/>
              <w:ind w:left="0" w:right="0" w:hanging="0"/>
              <w:jc w:val="right"/>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RSUs cancelled/forfeited</w:t>
            </w:r>
          </w:p>
        </w:tc>
        <w:tc>
          <w:tcPr>
            <w:tcW w:w="14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5,951</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17" w:type="dxa"/>
            <w:tcBorders/>
            <w:shd w:fill="auto" w:val="clear"/>
            <w:vAlign w:val="center"/>
          </w:tcPr>
          <w:p>
            <w:pPr>
              <w:pStyle w:val="TableContents"/>
              <w:spacing w:before="0" w:after="0"/>
              <w:ind w:left="0" w:right="0" w:hanging="0"/>
              <w:jc w:val="right"/>
              <w:rPr/>
            </w:pPr>
            <w:r>
              <w:rPr/>
              <w:t>​</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granted</w:t>
            </w:r>
          </w:p>
        </w:tc>
        <w:tc>
          <w:tcPr>
            <w:tcW w:w="14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(488,744)</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488,744</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17" w:type="dxa"/>
            <w:tcBorders/>
            <w:shd w:fill="CCEEFF" w:val="clear"/>
            <w:vAlign w:val="center"/>
          </w:tcPr>
          <w:p>
            <w:pPr>
              <w:pStyle w:val="TableContents"/>
              <w:spacing w:before="0" w:after="0"/>
              <w:ind w:left="0" w:right="0" w:hanging="0"/>
              <w:jc w:val="right"/>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exercised</w:t>
            </w:r>
          </w:p>
        </w:tc>
        <w:tc>
          <w:tcPr>
            <w:tcW w:w="14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(15,830)</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cancelled/forfeited</w:t>
            </w:r>
          </w:p>
        </w:tc>
        <w:tc>
          <w:tcPr>
            <w:tcW w:w="146" w:type="dxa"/>
            <w:tcBorders/>
            <w:shd w:fill="CCEEFF" w:val="clear"/>
            <w:vAlign w:val="center"/>
          </w:tcPr>
          <w:p>
            <w:pPr>
              <w:pStyle w:val="TableContents"/>
              <w:spacing w:before="0" w:after="0"/>
              <w:ind w:left="0" w:right="0" w:hanging="0"/>
              <w:rPr/>
            </w:pPr>
            <w:r>
              <w:rPr/>
              <w:t> </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48,015</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(70,341)</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17" w:type="dxa"/>
            <w:tcBorders/>
            <w:shd w:fill="CCEEFF" w:val="clear"/>
            <w:vAlign w:val="center"/>
          </w:tcPr>
          <w:p>
            <w:pPr>
              <w:pStyle w:val="TableContents"/>
              <w:spacing w:before="0" w:after="0"/>
              <w:ind w:left="0" w:right="0" w:hanging="0"/>
              <w:jc w:val="right"/>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Balance—March 31, 2022</w:t>
            </w:r>
          </w:p>
        </w:tc>
        <w:tc>
          <w:tcPr>
            <w:tcW w:w="146" w:type="dxa"/>
            <w:tcBorders/>
            <w:shd w:fill="auto" w:val="clear"/>
            <w:vAlign w:val="center"/>
          </w:tcPr>
          <w:p>
            <w:pPr>
              <w:pStyle w:val="TableContents"/>
              <w:spacing w:before="0" w:after="0"/>
              <w:ind w:left="0" w:right="0" w:hanging="0"/>
              <w:rPr/>
            </w:pPr>
            <w:r>
              <w:rPr/>
              <w:t> </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869,099</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2,185,871</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6,337</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exercisable—March 31, 2022</w:t>
            </w:r>
          </w:p>
        </w:tc>
        <w:tc>
          <w:tcPr>
            <w:tcW w:w="14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727,933</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2,329</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total grant date fair value of options vested was $966,000 and $312,000 during the three months ended March 31, 2022 and 2021, respectively.</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weighted-average grant date fair value of options granted was $5.41 and $3.53 per share during the three months ended March 31, 2022 and 2021, respectively.</w:t>
      </w:r>
    </w:p>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bookmarkStart w:id="818" w:name="Tc_2EZVdxTXhECiITs6gbfOtQ_11_4"/>
      <w:bookmarkStart w:id="819" w:name="Tc_EpWtkdAff0qFgjvq06G8EQ_11_0"/>
      <w:bookmarkStart w:id="820" w:name="Tc_0PjqMwAInEuqJtr9_YkVKA_10_4"/>
      <w:bookmarkStart w:id="821" w:name="Tc_LRC5buAqhU6vkevROmKukA_10_0"/>
      <w:bookmarkStart w:id="822" w:name="Tc_9_hd0SjYOkyHUj8VwOZ-Nw_9_4"/>
      <w:bookmarkStart w:id="823" w:name="Tc_oITGW3D-F0qqzMi1XCGrKQ_9_0"/>
      <w:bookmarkStart w:id="824" w:name="Tc_J3mk-u3TQEGw1yLubAY67Q_8_4"/>
      <w:bookmarkStart w:id="825" w:name="Tc_agBkQrGDvkKk49xMKgwKow_8_0"/>
      <w:bookmarkStart w:id="826" w:name="Tc_2EWLSol3ZkyXyObkMcMsCg_7_4"/>
      <w:bookmarkStart w:id="827" w:name="Tc_9gheNMTRP0G2zdc_oeodYA_7_0"/>
      <w:bookmarkStart w:id="828" w:name="Tc_adlcW2MVWUul9FmmsRi00A_6_4"/>
      <w:bookmarkStart w:id="829" w:name="Tc_LlSO_Edc4kW2SestyercXA_6_2"/>
      <w:bookmarkStart w:id="830" w:name="Tc_JPeGX_iHpEqaWvEXv2-pQg_5_4"/>
      <w:bookmarkStart w:id="831" w:name="Tc_3Cjc3aRlU0imezgPKkiCjA_5_2"/>
      <w:bookmarkStart w:id="832" w:name="Tc_qf6a8fK6FEiu5lLEVsW4vQ_4_4"/>
      <w:bookmarkStart w:id="833" w:name="Tc_0tsZNhlgoEWDy5lclPXctQ_4_2"/>
      <w:bookmarkStart w:id="834" w:name="Tc_Ana1-rZ2M0eGWaTQzr1NXA_3_4"/>
      <w:bookmarkStart w:id="835" w:name="Tc_MmbHWfF6A0C0DH3fQ8q_dA_2_4"/>
      <w:bookmarkStart w:id="836" w:name="Tc_fBPLR9LHCEuwTpi7XUTtog_1_2"/>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ascii="Times New Roman;Times;serif" w:hAnsi="Times New Roman;Times;serif"/>
          <w:sz w:val="20"/>
        </w:rPr>
        <w:t>As of March 31, 2022, of the 70,341 options cancelled/forfeited during the three months ended March 31, 2022, 22,326 of the options relate to a prior stock-based compensation plan that are no longer available for grant under the current stock-based compensation plan.</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2016 Employee Stock Purchase Plan</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January 2022, there was an increase of 198,584 shares reserved for issuance under the Company’s Employee Stock Purchase Plan (ESPP) pursuant to the terms of the ESPP. The Company had 851,358 shares available for future issuance under the Company’s ESPP as of March 31, 2022. Employees did not purchase any shares during the three months ended March 31, 2022 and 2021.</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Restricted Stock Units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highlight w:val="white"/>
        </w:rPr>
      </w:pPr>
      <w:r>
        <w:rPr>
          <w:rFonts w:ascii="Times New Roman;Times;serif" w:hAnsi="Times New Roman;Times;serif"/>
          <w:sz w:val="20"/>
          <w:highlight w:val="white"/>
        </w:rPr>
        <w:t>The following table summarizes restricted stock units (RSUs) activity for the three months ended March 31, 2022:</w:t>
      </w:r>
    </w:p>
    <w:p>
      <w:pPr>
        <w:pStyle w:val="TextBody"/>
        <w:spacing w:before="0" w:after="0"/>
        <w:ind w:left="0" w:right="0" w:firstLine="360"/>
        <w:rPr>
          <w:highlight w:val="white"/>
        </w:rPr>
      </w:pPr>
      <w:r>
        <w:rPr>
          <w:highlight w:val="white"/>
        </w:rPr>
        <w:t>​</w:t>
      </w:r>
    </w:p>
    <w:tbl>
      <w:tblPr>
        <w:tblW w:w="5724" w:type="dxa"/>
        <w:jc w:val="left"/>
        <w:tblInd w:w="0" w:type="dxa"/>
        <w:tblCellMar>
          <w:top w:w="0" w:type="dxa"/>
          <w:left w:w="0" w:type="dxa"/>
          <w:bottom w:w="0" w:type="dxa"/>
          <w:right w:w="0" w:type="dxa"/>
        </w:tblCellMar>
      </w:tblPr>
      <w:tblGrid>
        <w:gridCol w:w="2551"/>
        <w:gridCol w:w="326"/>
        <w:gridCol w:w="1291"/>
        <w:gridCol w:w="326"/>
        <w:gridCol w:w="330"/>
        <w:gridCol w:w="900"/>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19885" cy="175260"/>
                      <wp:effectExtent l="0" t="0" r="0" b="0"/>
                      <wp:wrapNone/>
                      <wp:docPr id="201" name="Frame201"/>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19785" cy="175260"/>
                      <wp:effectExtent l="0" t="0" r="0" b="0"/>
                      <wp:wrapNone/>
                      <wp:docPr id="203" name="Frame203"/>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9550" cy="175260"/>
                      <wp:effectExtent l="0" t="0" r="0" b="0"/>
                      <wp:wrapNone/>
                      <wp:docPr id="205" name="Frame205"/>
                      <a:graphic xmlns:a="http://schemas.openxmlformats.org/drawingml/2006/main">
                        <a:graphicData uri="http://schemas.microsoft.com/office/word/2010/wordprocessingShape">
                          <wps:wsp>
                            <wps:cNvSpPr txBox="1"/>
                            <wps:spPr>
                              <a:xfrm>
                                <a:off x="0" y="0"/>
                                <a:ext cx="209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71500" cy="175260"/>
                      <wp:effectExtent l="0" t="0" r="0" b="0"/>
                      <wp:wrapNone/>
                      <wp:docPr id="206" name="Frame206"/>
                      <a:graphic xmlns:a="http://schemas.openxmlformats.org/drawingml/2006/main">
                        <a:graphicData uri="http://schemas.microsoft.com/office/word/2010/wordprocessingShape">
                          <wps:wsp>
                            <wps:cNvSpPr txBox="1"/>
                            <wps:spPr>
                              <a:xfrm>
                                <a:off x="0" y="0"/>
                                <a:ext cx="571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47"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RSUs Outstanding</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rPr/>
            </w:pPr>
            <w:r>
              <w:rPr/>
              <w:t>    </w:t>
            </w:r>
          </w:p>
        </w:tc>
        <w:tc>
          <w:tcPr>
            <w:tcW w:w="12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326" w:type="dxa"/>
            <w:tcBorders/>
            <w:shd w:fill="auto" w:val="clear"/>
            <w:vAlign w:val="center"/>
          </w:tcPr>
          <w:p>
            <w:pPr>
              <w:pStyle w:val="TableContents"/>
              <w:spacing w:before="0" w:after="0"/>
              <w:ind w:left="0" w:right="0" w:hanging="0"/>
              <w:rPr/>
            </w:pPr>
            <w:r>
              <w:rPr/>
              <w:t>    </w:t>
            </w:r>
          </w:p>
        </w:tc>
        <w:tc>
          <w:tcPr>
            <w:tcW w:w="12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0"/>
              <w:ind w:left="0" w:right="0" w:hanging="0"/>
              <w:rPr/>
            </w:pPr>
            <w:r>
              <w:rPr/>
              <w:t>    </w:t>
            </w:r>
          </w:p>
        </w:tc>
        <w:tc>
          <w:tcPr>
            <w:tcW w:w="12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Balance—December 31, 2021</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384,307</w:t>
            </w:r>
          </w:p>
        </w:tc>
        <w:tc>
          <w:tcPr>
            <w:tcW w:w="326" w:type="dxa"/>
            <w:tcBorders/>
            <w:shd w:fill="CCEEFF" w:val="clear"/>
            <w:vAlign w:val="center"/>
          </w:tcPr>
          <w:p>
            <w:pPr>
              <w:pStyle w:val="TableContents"/>
              <w:spacing w:before="0" w:after="0"/>
              <w:ind w:left="0" w:right="0" w:hanging="0"/>
              <w:jc w:val="right"/>
              <w:rPr/>
            </w:pPr>
            <w:r>
              <w:rPr/>
              <w:t>​</w:t>
            </w:r>
          </w:p>
        </w:tc>
        <w:tc>
          <w:tcPr>
            <w:tcW w:w="3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330,832</w:t>
            </w:r>
          </w:p>
        </w:tc>
        <w:tc>
          <w:tcPr>
            <w:tcW w:w="326" w:type="dxa"/>
            <w:tcBorders/>
            <w:shd w:fill="auto" w:val="clear"/>
            <w:vAlign w:val="center"/>
          </w:tcPr>
          <w:p>
            <w:pPr>
              <w:pStyle w:val="TableContents"/>
              <w:spacing w:before="0" w:after="0"/>
              <w:ind w:left="0" w:right="0" w:hanging="0"/>
              <w:jc w:val="right"/>
              <w:rPr/>
            </w:pPr>
            <w:r>
              <w:rPr/>
              <w:t>​</w:t>
            </w:r>
          </w:p>
        </w:tc>
        <w:tc>
          <w:tcPr>
            <w:tcW w:w="3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(96,496)</w:t>
            </w:r>
          </w:p>
        </w:tc>
        <w:tc>
          <w:tcPr>
            <w:tcW w:w="326" w:type="dxa"/>
            <w:tcBorders/>
            <w:shd w:fill="CCEEFF" w:val="clear"/>
            <w:vAlign w:val="center"/>
          </w:tcPr>
          <w:p>
            <w:pPr>
              <w:pStyle w:val="TableContents"/>
              <w:spacing w:before="0" w:after="0"/>
              <w:ind w:left="0" w:right="0" w:hanging="0"/>
              <w:jc w:val="right"/>
              <w:rPr/>
            </w:pPr>
            <w:r>
              <w:rPr/>
              <w:t>​</w:t>
            </w:r>
          </w:p>
        </w:tc>
        <w:tc>
          <w:tcPr>
            <w:tcW w:w="3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Cancelled/forfeited</w:t>
            </w:r>
          </w:p>
        </w:tc>
        <w:tc>
          <w:tcPr>
            <w:tcW w:w="326" w:type="dxa"/>
            <w:tcBorders/>
            <w:shd w:fill="auto" w:val="clear"/>
            <w:vAlign w:val="center"/>
          </w:tcPr>
          <w:p>
            <w:pPr>
              <w:pStyle w:val="TableContents"/>
              <w:spacing w:before="0" w:after="0"/>
              <w:ind w:left="0" w:right="0" w:hanging="0"/>
              <w:rPr/>
            </w:pPr>
            <w:r>
              <w:rPr/>
              <w:t>​</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(5,951)</w:t>
            </w:r>
          </w:p>
        </w:tc>
        <w:tc>
          <w:tcPr>
            <w:tcW w:w="326" w:type="dxa"/>
            <w:tcBorders/>
            <w:shd w:fill="auto" w:val="clear"/>
            <w:vAlign w:val="center"/>
          </w:tcPr>
          <w:p>
            <w:pPr>
              <w:pStyle w:val="TableContents"/>
              <w:spacing w:before="0" w:after="0"/>
              <w:ind w:left="0" w:right="0" w:hanging="0"/>
              <w:jc w:val="right"/>
              <w:rPr/>
            </w:pPr>
            <w:r>
              <w:rPr/>
              <w:t>​</w:t>
            </w:r>
          </w:p>
        </w:tc>
        <w:tc>
          <w:tcPr>
            <w:tcW w:w="3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Balance—March 31, 2022</w:t>
            </w:r>
          </w:p>
        </w:tc>
        <w:tc>
          <w:tcPr>
            <w:tcW w:w="326" w:type="dxa"/>
            <w:tcBorders/>
            <w:shd w:fill="CCEEFF" w:val="clear"/>
            <w:vAlign w:val="center"/>
          </w:tcPr>
          <w:p>
            <w:pPr>
              <w:pStyle w:val="TableContents"/>
              <w:spacing w:before="0" w:after="0"/>
              <w:ind w:left="0" w:right="0" w:hanging="0"/>
              <w:rPr/>
            </w:pPr>
            <w:r>
              <w:rPr/>
              <w:t> </w:t>
            </w:r>
          </w:p>
        </w:tc>
        <w:tc>
          <w:tcPr>
            <w:tcW w:w="12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612,692</w:t>
            </w:r>
          </w:p>
        </w:tc>
        <w:tc>
          <w:tcPr>
            <w:tcW w:w="326" w:type="dxa"/>
            <w:tcBorders/>
            <w:shd w:fill="CCEEFF" w:val="clear"/>
            <w:vAlign w:val="center"/>
          </w:tcPr>
          <w:p>
            <w:pPr>
              <w:pStyle w:val="TableContents"/>
              <w:spacing w:before="0" w:after="0"/>
              <w:ind w:left="0" w:right="0" w:hanging="0"/>
              <w:rPr/>
            </w:pPr>
            <w:r>
              <w:rPr/>
              <w:t>    </w:t>
            </w:r>
          </w:p>
        </w:tc>
        <w:tc>
          <w:tcPr>
            <w:tcW w:w="3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6.72</w:t>
            </w:r>
          </w:p>
        </w:tc>
      </w:tr>
    </w:tbl>
    <w:p>
      <w:pPr>
        <w:pStyle w:val="TextBody"/>
        <w:spacing w:before="0" w:after="0"/>
        <w:ind w:left="0" w:right="0" w:firstLine="360"/>
        <w:rPr>
          <w:highlight w:val="white"/>
        </w:rPr>
      </w:pPr>
      <w:r>
        <w:rPr>
          <w:highlight w:val="white"/>
        </w:rPr>
        <w:t>​</w:t>
      </w:r>
    </w:p>
    <w:p>
      <w:pPr>
        <w:pStyle w:val="TextBody"/>
        <w:spacing w:before="0" w:after="0"/>
        <w:ind w:left="0" w:right="0" w:firstLine="360"/>
        <w:rPr>
          <w:rFonts w:ascii="Times New Roman;Times;serif" w:hAnsi="Times New Roman;Times;serif"/>
          <w:sz w:val="20"/>
          <w:highlight w:val="white"/>
        </w:rPr>
      </w:pPr>
      <w:r>
        <w:rPr>
          <w:rFonts w:ascii="Times New Roman;Times;serif" w:hAnsi="Times New Roman;Times;serif"/>
          <w:sz w:val="20"/>
          <w:highlight w:val="white"/>
        </w:rPr>
        <w:t>The fair value of RSUs is determined on the date of grant based on the market price of the Company’s common stock on that date. As of March 31, 2022, there was $3.6 million of unrecognized stock-based compensation expense related to RSUs to be recognized over a weighted-average period of 2.6 years.</w:t>
      </w:r>
    </w:p>
    <w:p>
      <w:pPr>
        <w:pStyle w:val="TextBody"/>
        <w:spacing w:before="0" w:after="0"/>
        <w:ind w:left="0" w:right="0" w:firstLine="360"/>
        <w:rPr>
          <w:highlight w:val="white"/>
        </w:rPr>
      </w:pPr>
      <w:r>
        <w:rPr>
          <w:highlight w:val="white"/>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Stock-based Compensation Expense</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As of March 31, 2022, there was $3.2 million of total unrecognized stock-based compensation expense related to unvested options which is expected to be recognized over a weighted-average period of 3.0 years.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8. Significant Agreements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GLOBALFOUNDRIES, Inc. Joint Development Agreement </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Company entered into a Statement of Work (SOW) and an Amendment to the SOW, under the JDA with GF effective August 2016 and June 2018, respectively. The agreement was extended on December 31, 2019 to include a new phase of support for 12nm MRAM development.</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Generally, unless otherwise specified in the agreement or a statement of work, the Company and GF share project costs, which do not include personnel or production qualification costs, under the JDA. If GF manufactures, sells 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transfers to customers wafers containing production quantified STT-MRAM devices that utilize certain design information, GF will be required to pay the Company a royalty.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Silterra Malaysia Sdn. Bhd. Joint Collaboration Agreement</w:t>
      </w:r>
    </w:p>
    <w:p>
      <w:pPr>
        <w:pStyle w:val="TextBody"/>
        <w:spacing w:before="0" w:after="0"/>
        <w:ind w:left="0" w:right="0" w:firstLine="360"/>
        <w:rPr/>
      </w:pPr>
      <w:r>
        <w:rPr/>
        <w:t>​</w:t>
      </w:r>
    </w:p>
    <w:p>
      <w:pPr>
        <w:pStyle w:val="TextBody"/>
        <w:spacing w:before="0" w:after="0"/>
        <w:ind w:left="0" w:right="0" w:firstLine="450"/>
        <w:rPr>
          <w:rFonts w:ascii="Times New Roman;Times;serif" w:hAnsi="Times New Roman;Times;serif"/>
          <w:sz w:val="20"/>
        </w:rPr>
      </w:pPr>
      <w:r>
        <w:rPr>
          <w:rFonts w:ascii="Times New Roman;Times;serif" w:hAnsi="Times New Roman;Times;serif"/>
          <w:sz w:val="20"/>
        </w:rPr>
        <w:t>In September 2018, the Company entered into a Joint Collaboration Agreement (JCA) with Silterra Malaysia Sdn. Bhd., and another third party. The JCA will create additional manufacturing capacity for the Company’s Toggle MRAM products. The Company had previously anticipated initial production starting in 2020. However, as a result of recent delays, the Company now anticipates initial production to start some time in 2022. Under the JCA, the Company is required to pay non-recurring engineering costs of $1.0 million. As of September 30, 2021, the Company had paid $600,000 of these JCA costs. On October 23, 2021, the Company executed a termination of the JCA. As a result, the Company does not expect to incur additional JCA costs for the remainder of 2022.</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bookmarkStart w:id="837" w:name="Tc_2V7LGz-LUkKY7GaKB014JQ_11_6"/>
      <w:bookmarkStart w:id="838" w:name="Tc_DLq0vM24OkCM0E0AG_1wjQ_11_3"/>
      <w:bookmarkStart w:id="839" w:name="Tc_kPmmEWuaI06ZL-LfzEeTjA_11_0"/>
      <w:bookmarkStart w:id="840" w:name="Tc_9sts-dpCJESj7NQ7cejdHA_10_0"/>
      <w:bookmarkStart w:id="841" w:name="Tc_EBa-0rvm8kulBiuh9RJ5JQ_9_7"/>
      <w:bookmarkStart w:id="842" w:name="Tc_8aE8Gd8rjUqtPFfdJ5JrKQ_9_0"/>
      <w:bookmarkStart w:id="843" w:name="Tc__ubJh9ru3E-CilRUuRCitg_8_0"/>
      <w:bookmarkStart w:id="844" w:name="Tc_aQ-C9gac0Ea62-aE337RSQ_7_0"/>
      <w:bookmarkStart w:id="845" w:name="Tc_kGvoM81x9EqpIWwuCBa-eQ_6_6"/>
      <w:bookmarkStart w:id="846" w:name="Tc_4o5fhMtXGUG71t-Nxw1UhA_6_3"/>
      <w:bookmarkStart w:id="847" w:name="Tc_KhGuL5IU6EC5QUf0lXex6Q_6_0"/>
      <w:bookmarkStart w:id="848" w:name="Tc_cqj4cpi09Ui_KRZXHVxFug_5_7"/>
      <w:bookmarkStart w:id="849" w:name="Tc_DZfwiHisfUufh1IP77SU6A_5_0"/>
      <w:bookmarkStart w:id="850" w:name="Tc_7-XAOngQfU-elLRKGJZN0w_4_6"/>
      <w:bookmarkStart w:id="851" w:name="Tc_6D5Lf-SxjEKPooYrEybHpQ_4_3"/>
      <w:bookmarkStart w:id="852" w:name="Tc_pLOVhZFw9k2Wl6EHsGgHMw_4_0"/>
      <w:bookmarkStart w:id="853" w:name="Tc_BQvMk4Z66Uqk-VBgKhN5JQ_3_0"/>
      <w:bookmarkStart w:id="854" w:name="Tc_pai4E1W8HEuHAIiOcul3oA_2_6"/>
      <w:bookmarkStart w:id="855" w:name="Tc_SwIITjNePEGbopo4q52iEg_2_3"/>
      <w:bookmarkStart w:id="856" w:name="Tc_2yg8_O7RUEqV88kPMNgEQQ_1_3"/>
      <w:bookmarkStart w:id="857" w:name="_2e8e6796_7f0f_49a6_8739_4c322d1f6631"/>
      <w:bookmarkStart w:id="858" w:name="Tc_ZUXNMi190029_Fh8HlnyDg_7_6"/>
      <w:bookmarkStart w:id="859" w:name="Tc_eZ66qDZRN0eCh38-YsMLew_7_3"/>
      <w:bookmarkStart w:id="860" w:name="Tc_nPWW1v7pDEebL2ipgIgVmg_7_0"/>
      <w:bookmarkStart w:id="861" w:name="Tc_lq7nOBBqX0qfIqij4YSjgA_6_0"/>
      <w:bookmarkStart w:id="862" w:name="Tc_kNEVR2t5HkKFIZDP7fEJKg_5_0"/>
      <w:bookmarkStart w:id="863" w:name="Tc_zWRLtS2ao0mm47imLZhbBg_4_6"/>
      <w:bookmarkStart w:id="864" w:name="Tc_T0TWzralREqsgAAFFvCmug_4_3"/>
      <w:bookmarkStart w:id="865" w:name="Tc_3wzfWhpGXUSRqMtMkBtDrg_4_0"/>
      <w:bookmarkStart w:id="866" w:name="Tc_GJRw1hOfcUeJxCWpfVHlVQ_3_0"/>
      <w:bookmarkStart w:id="867" w:name="Tc_s-XacSwNo0a5Jg03RmI2qw_2_6"/>
      <w:bookmarkStart w:id="868" w:name="Tc_jXC6KFKcSkusFJ4yTtJDVA_2_3"/>
      <w:bookmarkStart w:id="869" w:name="Tc_zcoaweGLh0ekKuDivYv7NQ_1_3"/>
      <w:bookmarkStart w:id="870" w:name="_3d8d9399_7932_42f7_9246_568e11ffea74"/>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rFonts w:ascii="Times New Roman;Times;serif" w:hAnsi="Times New Roman;Times;serif"/>
          <w:b/>
          <w:sz w:val="20"/>
        </w:rPr>
        <w:t>9. Net Income (Loss) Per Common Share</w:t>
      </w:r>
    </w:p>
    <w:p>
      <w:pPr>
        <w:pStyle w:val="TextBody"/>
        <w:spacing w:before="0" w:after="0"/>
        <w:ind w:left="0" w:right="0" w:hanging="0"/>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Basic net income (loss) per common share is calculated by dividing the net income (loss)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diluted net loss per common share is the same as basic net loss per common share since the effect of potentially dilutive securities is anti-dilutive.</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tables set forth the computation of basic and diluted net income (loss) per share attributable to common stockholders (in thousands, except share and per share amounts):</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Basic EPS</w:t>
      </w:r>
    </w:p>
    <w:p>
      <w:pPr>
        <w:pStyle w:val="TextBody"/>
        <w:spacing w:before="0" w:after="0"/>
        <w:ind w:left="0" w:right="0" w:hanging="0"/>
        <w:rPr/>
      </w:pPr>
      <w:r>
        <w:rPr/>
        <w:t>​</w:t>
      </w:r>
    </w:p>
    <w:tbl>
      <w:tblPr>
        <w:tblW w:w="8633" w:type="dxa"/>
        <w:jc w:val="left"/>
        <w:tblInd w:w="0" w:type="dxa"/>
        <w:tblCellMar>
          <w:top w:w="0" w:type="dxa"/>
          <w:left w:w="0" w:type="dxa"/>
          <w:bottom w:w="0" w:type="dxa"/>
          <w:right w:w="0" w:type="dxa"/>
        </w:tblCellMar>
      </w:tblPr>
      <w:tblGrid>
        <w:gridCol w:w="5116"/>
        <w:gridCol w:w="326"/>
        <w:gridCol w:w="326"/>
        <w:gridCol w:w="211"/>
        <w:gridCol w:w="1036"/>
        <w:gridCol w:w="326"/>
        <w:gridCol w:w="211"/>
        <w:gridCol w:w="1081"/>
      </w:tblGrid>
      <w:tr>
        <w:trPr/>
        <w:tc>
          <w:tcPr>
            <w:tcW w:w="5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248660" cy="175260"/>
                      <wp:effectExtent l="0" t="0" r="0" b="0"/>
                      <wp:wrapNone/>
                      <wp:docPr id="207" name="Frame207"/>
                      <a:graphic xmlns:a="http://schemas.openxmlformats.org/drawingml/2006/main">
                        <a:graphicData uri="http://schemas.microsoft.com/office/word/2010/wordprocessingShape">
                          <wps:wsp>
                            <wps:cNvSpPr txBox="1"/>
                            <wps:spPr>
                              <a:xfrm>
                                <a:off x="0" y="0"/>
                                <a:ext cx="3248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57860" cy="175260"/>
                      <wp:effectExtent l="0" t="0" r="0" b="0"/>
                      <wp:wrapNone/>
                      <wp:docPr id="211" name="Frame21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86435" cy="175260"/>
                      <wp:effectExtent l="0" t="0" r="0" b="0"/>
                      <wp:wrapNone/>
                      <wp:docPr id="214" name="Frame214"/>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1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1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Numerator:</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  </w:t>
            </w:r>
          </w:p>
        </w:tc>
      </w:tr>
      <w:tr>
        <w:trPr/>
        <w:tc>
          <w:tcPr>
            <w:tcW w:w="51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51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Denominator:</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51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of common stock outstanding, basic</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19,896,654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19,092,367</w:t>
            </w:r>
          </w:p>
        </w:tc>
      </w:tr>
      <w:tr>
        <w:trPr/>
        <w:tc>
          <w:tcPr>
            <w:tcW w:w="51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(loss) per common share, basic</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bl>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Diluted EPS</w:t>
      </w:r>
    </w:p>
    <w:p>
      <w:pPr>
        <w:pStyle w:val="TextBody"/>
        <w:spacing w:before="0" w:after="0"/>
        <w:ind w:left="0" w:right="0" w:firstLine="360"/>
        <w:rPr/>
      </w:pPr>
      <w:r>
        <w:rPr/>
        <w:t>​</w:t>
      </w:r>
    </w:p>
    <w:tbl>
      <w:tblPr>
        <w:tblW w:w="8798" w:type="dxa"/>
        <w:jc w:val="left"/>
        <w:tblInd w:w="0" w:type="dxa"/>
        <w:tblCellMar>
          <w:top w:w="0" w:type="dxa"/>
          <w:left w:w="0" w:type="dxa"/>
          <w:bottom w:w="0" w:type="dxa"/>
          <w:right w:w="0" w:type="dxa"/>
        </w:tblCellMar>
      </w:tblPr>
      <w:tblGrid>
        <w:gridCol w:w="5281"/>
        <w:gridCol w:w="326"/>
        <w:gridCol w:w="326"/>
        <w:gridCol w:w="211"/>
        <w:gridCol w:w="1036"/>
        <w:gridCol w:w="326"/>
        <w:gridCol w:w="211"/>
        <w:gridCol w:w="1081"/>
      </w:tblGrid>
      <w:tr>
        <w:trPr/>
        <w:tc>
          <w:tcPr>
            <w:tcW w:w="5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353435" cy="175260"/>
                      <wp:effectExtent l="0" t="0" r="0" b="0"/>
                      <wp:wrapNone/>
                      <wp:docPr id="215" name="Frame215"/>
                      <a:graphic xmlns:a="http://schemas.openxmlformats.org/drawingml/2006/main">
                        <a:graphicData uri="http://schemas.microsoft.com/office/word/2010/wordprocessingShape">
                          <wps:wsp>
                            <wps:cNvSpPr txBox="1"/>
                            <wps:spPr>
                              <a:xfrm>
                                <a:off x="0" y="0"/>
                                <a:ext cx="3353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57860" cy="175260"/>
                      <wp:effectExtent l="0" t="0" r="0" b="0"/>
                      <wp:wrapNone/>
                      <wp:docPr id="219" name="Frame21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86435" cy="175260"/>
                      <wp:effectExtent l="0" t="0" r="0" b="0"/>
                      <wp:wrapNone/>
                      <wp:docPr id="222" name="Frame222"/>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2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Numerator:</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  </w:t>
            </w:r>
          </w:p>
        </w:tc>
      </w:tr>
      <w:tr>
        <w:trPr/>
        <w:tc>
          <w:tcPr>
            <w:tcW w:w="5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5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warrant liability fair value gain recognized  </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common stockholders, diluted</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52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Denominator:</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5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of common stock outstanding, basic</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19,896,654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19,092,367</w:t>
            </w:r>
          </w:p>
        </w:tc>
      </w:tr>
      <w:tr>
        <w:trPr/>
        <w:tc>
          <w:tcPr>
            <w:tcW w:w="5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dilutive securities</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829,539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of common stock outstanding, diluted</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20,726,193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19,092,367</w:t>
            </w:r>
          </w:p>
        </w:tc>
      </w:tr>
      <w:tr>
        <w:trPr/>
        <w:tc>
          <w:tcPr>
            <w:tcW w:w="52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(loss) per common share, diluted</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bl>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bookmarkStart w:id="871" w:name="Tc_M5jK4hD0DU29G5k08NpFpg_6_0"/>
      <w:bookmarkStart w:id="872" w:name="Tc_HDVKat_uSk2idZ_wOvCvDQ_5_0"/>
      <w:bookmarkStart w:id="873" w:name="Tc_00xwZoSEUUqk0lj1T6HNcQ_4_0"/>
      <w:bookmarkStart w:id="874" w:name="Tc_Ji68mcRnfkmwIMp7eFsNjw_3_0"/>
      <w:bookmarkStart w:id="875" w:name="Tc_XirWHg7vMESd2a3tCw89_Q_2_3"/>
      <w:bookmarkStart w:id="876" w:name="Tc_6YBi4OZOvEaHjB5QD_CJIQ_2_1"/>
      <w:bookmarkStart w:id="877" w:name="Tc_06dm3yfwnUS0QtbBcTqG2g_1_1"/>
      <w:bookmarkEnd w:id="871"/>
      <w:bookmarkEnd w:id="872"/>
      <w:bookmarkEnd w:id="873"/>
      <w:bookmarkEnd w:id="874"/>
      <w:bookmarkEnd w:id="875"/>
      <w:bookmarkEnd w:id="876"/>
      <w:bookmarkEnd w:id="877"/>
      <w:r>
        <w:rPr>
          <w:rFonts w:ascii="Times New Roman;Times;serif" w:hAnsi="Times New Roman;Times;serif"/>
          <w:sz w:val="20"/>
        </w:rPr>
        <w:t>The following outstanding shares of potentially dilutive securities have been excluded from diluted net income (loss) per common share for the periods presented, because their inclusion would be anti-dilutive:</w:t>
      </w:r>
    </w:p>
    <w:p>
      <w:pPr>
        <w:pStyle w:val="TextBody"/>
        <w:spacing w:before="0" w:after="0"/>
        <w:ind w:left="0" w:right="0" w:hanging="0"/>
        <w:rPr/>
      </w:pPr>
      <w:r>
        <w:rPr/>
        <w:t>​</w:t>
      </w:r>
    </w:p>
    <w:tbl>
      <w:tblPr>
        <w:tblW w:w="5460" w:type="dxa"/>
        <w:jc w:val="left"/>
        <w:tblInd w:w="0" w:type="dxa"/>
        <w:tblCellMar>
          <w:top w:w="0" w:type="dxa"/>
          <w:left w:w="0" w:type="dxa"/>
          <w:bottom w:w="0" w:type="dxa"/>
          <w:right w:w="0" w:type="dxa"/>
        </w:tblCellMar>
      </w:tblPr>
      <w:tblGrid>
        <w:gridCol w:w="2971"/>
        <w:gridCol w:w="907"/>
        <w:gridCol w:w="378"/>
        <w:gridCol w:w="1204"/>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886585" cy="175260"/>
                      <wp:effectExtent l="0" t="0" r="0" b="0"/>
                      <wp:wrapNone/>
                      <wp:docPr id="223" name="Frame223"/>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75945" cy="175260"/>
                      <wp:effectExtent l="0" t="0" r="0" b="0"/>
                      <wp:wrapNone/>
                      <wp:docPr id="224" name="Frame224"/>
                      <a:graphic xmlns:a="http://schemas.openxmlformats.org/drawingml/2006/main">
                        <a:graphicData uri="http://schemas.microsoft.com/office/word/2010/wordprocessingShape">
                          <wps:wsp>
                            <wps:cNvSpPr txBox="1"/>
                            <wps:spPr>
                              <a:xfrm>
                                <a:off x="0" y="0"/>
                                <a:ext cx="575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0030" cy="175260"/>
                      <wp:effectExtent l="0" t="0" r="0" b="0"/>
                      <wp:wrapNone/>
                      <wp:docPr id="225" name="Frame225"/>
                      <a:graphic xmlns:a="http://schemas.openxmlformats.org/drawingml/2006/main">
                        <a:graphicData uri="http://schemas.microsoft.com/office/word/2010/wordprocessingShape">
                          <wps:wsp>
                            <wps:cNvSpPr txBox="1"/>
                            <wps:spPr>
                              <a:xfrm>
                                <a:off x="0" y="0"/>
                                <a:ext cx="240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64540" cy="175260"/>
                      <wp:effectExtent l="0" t="0" r="0" b="0"/>
                      <wp:wrapNone/>
                      <wp:docPr id="226" name="Frame226"/>
                      <a:graphic xmlns:a="http://schemas.openxmlformats.org/drawingml/2006/main">
                        <a:graphicData uri="http://schemas.microsoft.com/office/word/2010/wordprocessingShape">
                          <wps:wsp>
                            <wps:cNvSpPr txBox="1"/>
                            <wps:spPr>
                              <a:xfrm>
                                <a:off x="0" y="0"/>
                                <a:ext cx="764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248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971" w:type="dxa"/>
            <w:tcBorders/>
            <w:shd w:fill="auto" w:val="clear"/>
            <w:vAlign w:val="center"/>
          </w:tcPr>
          <w:p>
            <w:pPr>
              <w:pStyle w:val="TableContents"/>
              <w:spacing w:before="0" w:after="0"/>
              <w:ind w:left="0" w:right="0" w:hanging="0"/>
              <w:rPr/>
            </w:pPr>
            <w:r>
              <w:rPr/>
              <w:t>​</w:t>
            </w:r>
          </w:p>
        </w:tc>
        <w:tc>
          <w:tcPr>
            <w:tcW w:w="90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8" w:type="dxa"/>
            <w:tcBorders/>
            <w:shd w:fill="auto" w:val="clear"/>
            <w:vAlign w:val="center"/>
          </w:tcPr>
          <w:p>
            <w:pPr>
              <w:pStyle w:val="TableContents"/>
              <w:spacing w:before="0" w:after="0"/>
              <w:ind w:left="0" w:right="0" w:hanging="0"/>
              <w:rPr/>
            </w:pPr>
            <w:r>
              <w:rPr/>
              <w:t>    </w:t>
            </w:r>
          </w:p>
        </w:tc>
        <w:tc>
          <w:tcPr>
            <w:tcW w:w="12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to purchase common stock</w:t>
            </w:r>
          </w:p>
        </w:tc>
        <w:tc>
          <w:tcPr>
            <w:tcW w:w="9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197,131</w:t>
            </w:r>
          </w:p>
        </w:tc>
        <w:tc>
          <w:tcPr>
            <w:tcW w:w="378" w:type="dxa"/>
            <w:tcBorders/>
            <w:shd w:fill="CCEEFF" w:val="clear"/>
            <w:vAlign w:val="center"/>
          </w:tcPr>
          <w:p>
            <w:pPr>
              <w:pStyle w:val="TableContents"/>
              <w:spacing w:before="0" w:after="0"/>
              <w:ind w:left="0" w:right="0" w:hanging="0"/>
              <w:rPr/>
            </w:pPr>
            <w:r>
              <w:rPr/>
              <w:t> </w:t>
            </w:r>
          </w:p>
        </w:tc>
        <w:tc>
          <w:tcPr>
            <w:tcW w:w="12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2,121,896</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RSUs</w:t>
            </w:r>
          </w:p>
        </w:tc>
        <w:tc>
          <w:tcPr>
            <w:tcW w:w="9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66,166</w:t>
            </w:r>
          </w:p>
        </w:tc>
        <w:tc>
          <w:tcPr>
            <w:tcW w:w="378" w:type="dxa"/>
            <w:tcBorders/>
            <w:shd w:fill="auto" w:val="clear"/>
            <w:vAlign w:val="center"/>
          </w:tcPr>
          <w:p>
            <w:pPr>
              <w:pStyle w:val="TableContents"/>
              <w:spacing w:before="0" w:after="0"/>
              <w:ind w:left="0" w:right="0" w:hanging="0"/>
              <w:rPr/>
            </w:pPr>
            <w:r>
              <w:rPr/>
              <w:t>​</w:t>
            </w:r>
          </w:p>
        </w:tc>
        <w:tc>
          <w:tcPr>
            <w:tcW w:w="12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485,012</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warrants</w:t>
            </w:r>
          </w:p>
        </w:tc>
        <w:tc>
          <w:tcPr>
            <w:tcW w:w="9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18,461</w:t>
            </w:r>
          </w:p>
        </w:tc>
        <w:tc>
          <w:tcPr>
            <w:tcW w:w="378" w:type="dxa"/>
            <w:tcBorders/>
            <w:shd w:fill="CCEEFF" w:val="clear"/>
            <w:vAlign w:val="center"/>
          </w:tcPr>
          <w:p>
            <w:pPr>
              <w:pStyle w:val="TableContents"/>
              <w:spacing w:before="0" w:after="0"/>
              <w:ind w:left="0" w:right="0" w:hanging="0"/>
              <w:rPr/>
            </w:pPr>
            <w:r>
              <w:rPr/>
              <w:t> </w:t>
            </w:r>
          </w:p>
        </w:tc>
        <w:tc>
          <w:tcPr>
            <w:tcW w:w="12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49,336</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9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281,758</w:t>
            </w:r>
          </w:p>
        </w:tc>
        <w:tc>
          <w:tcPr>
            <w:tcW w:w="378" w:type="dxa"/>
            <w:tcBorders/>
            <w:shd w:fill="auto" w:val="clear"/>
            <w:vAlign w:val="center"/>
          </w:tcPr>
          <w:p>
            <w:pPr>
              <w:pStyle w:val="TableContents"/>
              <w:spacing w:before="0" w:after="0"/>
              <w:ind w:left="0" w:right="0" w:hanging="0"/>
              <w:rPr/>
            </w:pPr>
            <w:r>
              <w:rPr/>
              <w:t> </w:t>
            </w:r>
          </w:p>
        </w:tc>
        <w:tc>
          <w:tcPr>
            <w:tcW w:w="120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2,656,244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878" w:name="Item2ManagementsDiscussionandAnalysis_57"/>
      <w:bookmarkStart w:id="879" w:name="_06046a4b_8f49_44bb_9a56_5c7d4ee620e6"/>
      <w:bookmarkEnd w:id="878"/>
      <w:bookmarkEnd w:id="879"/>
      <w:r>
        <w:rPr>
          <w:rFonts w:ascii="Times New Roman;Times;serif" w:hAnsi="Times New Roman;Times;serif"/>
          <w:b/>
          <w:sz w:val="20"/>
        </w:rPr>
        <w:t>Item 2. Management’s Discussion and Analysis of Financial Condition and Results of Operations.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Forward-Looking Statements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i/>
          <w:sz w:val="20"/>
        </w:rPr>
      </w:pPr>
      <w:r>
        <w:rPr>
          <w:rFonts w:ascii="Times New Roman;Times;serif" w:hAnsi="Times New Roman;Times;serif"/>
          <w:i/>
          <w:sz w:val="20"/>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as well as anticipated impacts from, and our responses to, the COVID-19 pandemic and our expectations regarding current supply constraints,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Overview </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pStyle w:val="TextBody"/>
        <w:spacing w:before="0" w:after="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sell our products directly and through our established distribution channels to industry-leading original equipment manufacturers (OEMs) and original design manufacturers (ODMs).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Key Metrics</w:t>
      </w:r>
    </w:p>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 if 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Adjusted EBITDA.</w:t>
      </w:r>
      <w:r>
        <w:rPr>
          <w:rFonts w:ascii="Times New Roman;Times;serif" w:hAnsi="Times New Roman;Times;serif"/>
          <w:sz w:val="20"/>
        </w:rPr>
        <w:t> 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(loss) reported in accordance with GAAP. The following table presents a reconciliation of net income (loss), the most directly comparable GAAP measure, to Adjusted EBITDA for the periods indicated:</w:t>
      </w:r>
    </w:p>
    <w:tbl>
      <w:tblPr>
        <w:tblW w:w="5815" w:type="dxa"/>
        <w:jc w:val="left"/>
        <w:tblInd w:w="0" w:type="dxa"/>
        <w:tblCellMar>
          <w:top w:w="0" w:type="dxa"/>
          <w:left w:w="0" w:type="dxa"/>
          <w:bottom w:w="0" w:type="dxa"/>
          <w:right w:w="0" w:type="dxa"/>
        </w:tblCellMar>
      </w:tblPr>
      <w:tblGrid>
        <w:gridCol w:w="3001"/>
        <w:gridCol w:w="326"/>
        <w:gridCol w:w="275"/>
        <w:gridCol w:w="746"/>
        <w:gridCol w:w="426"/>
        <w:gridCol w:w="275"/>
        <w:gridCol w:w="766"/>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905635" cy="175260"/>
                      <wp:effectExtent l="0" t="0" r="0" b="0"/>
                      <wp:wrapNone/>
                      <wp:docPr id="227" name="Frame227"/>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74625" cy="175260"/>
                      <wp:effectExtent l="0" t="0" r="0" b="0"/>
                      <wp:wrapNone/>
                      <wp:docPr id="229" name="Frame229"/>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73710" cy="175260"/>
                      <wp:effectExtent l="0" t="0" r="0" b="0"/>
                      <wp:wrapNone/>
                      <wp:docPr id="230" name="Frame230"/>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70510" cy="175260"/>
                      <wp:effectExtent l="0" t="0" r="0" b="0"/>
                      <wp:wrapNone/>
                      <wp:docPr id="231" name="Frame231"/>
                      <a:graphic xmlns:a="http://schemas.openxmlformats.org/drawingml/2006/main">
                        <a:graphicData uri="http://schemas.microsoft.com/office/word/2010/wordprocessingShape">
                          <wps:wsp>
                            <wps:cNvSpPr txBox="1"/>
                            <wps:spPr>
                              <a:xfrm>
                                <a:off x="0" y="0"/>
                                <a:ext cx="270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74625" cy="175260"/>
                      <wp:effectExtent l="0" t="0" r="0" b="0"/>
                      <wp:wrapNone/>
                      <wp:docPr id="232" name="Frame232"/>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86410" cy="175260"/>
                      <wp:effectExtent l="0" t="0" r="0" b="0"/>
                      <wp:wrapNone/>
                      <wp:docPr id="233" name="Frame233"/>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26" w:type="dxa"/>
            <w:tcBorders/>
            <w:shd w:fill="auto" w:val="clear"/>
            <w:vAlign w:val="center"/>
          </w:tcPr>
          <w:p>
            <w:pPr>
              <w:pStyle w:val="TableContents"/>
              <w:spacing w:before="0" w:after="0"/>
              <w:ind w:left="0" w:right="0" w:hanging="0"/>
              <w:rPr/>
            </w:pPr>
            <w:r>
              <w:rPr/>
              <w:t>    </w:t>
            </w:r>
          </w:p>
        </w:tc>
        <w:tc>
          <w:tcPr>
            <w:tcW w:w="10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 reconciliation:</w:t>
            </w:r>
          </w:p>
        </w:tc>
        <w:tc>
          <w:tcPr>
            <w:tcW w:w="326" w:type="dxa"/>
            <w:tcBorders/>
            <w:shd w:fill="CCEEFF" w:val="clear"/>
            <w:vAlign w:val="center"/>
          </w:tcPr>
          <w:p>
            <w:pPr>
              <w:pStyle w:val="TableContents"/>
              <w:spacing w:before="0" w:after="0"/>
              <w:ind w:left="0" w:right="0" w:hanging="0"/>
              <w:rPr/>
            </w:pPr>
            <w:r>
              <w:rPr/>
              <w:t> </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  </w:t>
            </w:r>
          </w:p>
        </w:tc>
        <w:tc>
          <w:tcPr>
            <w:tcW w:w="426" w:type="dxa"/>
            <w:tcBorders/>
            <w:shd w:fill="CCEEFF" w:val="clear"/>
            <w:vAlign w:val="center"/>
          </w:tcPr>
          <w:p>
            <w:pPr>
              <w:pStyle w:val="TableContents"/>
              <w:spacing w:before="0" w:after="0"/>
              <w:ind w:left="0" w:right="0" w:hanging="0"/>
              <w:rPr/>
            </w:pPr>
            <w:r>
              <w:rPr/>
              <w:t> </w:t>
            </w:r>
          </w:p>
        </w:tc>
        <w:tc>
          <w:tcPr>
            <w:tcW w:w="275"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  </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4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4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 </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4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3,092</w:t>
            </w:r>
          </w:p>
        </w:tc>
        <w:tc>
          <w:tcPr>
            <w:tcW w:w="4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818</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Effect of the COVID-19 Pandemic on our Business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new variants of COVID-19, such as the Omicron variant and its subvariants, that are significantly more contagious than previous strains have emerged. The spread of these new strains have caused many government authorities and businesses to reimplement the aforementioned measures to try to reduce the spread that had become less prevalent. While some of these restrictions have begun to be lifted, the lingering impact of the COVID pandemic continues to create significant volatility throughout the global economy, including supply chain constraints, labor supply issues and higher inflation. Accordingly, it is unclear at this point the full impact COVID-19 and its variants will have on the global economy and on our Company.</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Overall, our business remains operational in the midst of the pandemic. However, as a result of the ongoing COVID-19 pandemic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Further, in an effort to protect the health and safety of our employees, we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operations given delays in data gathering, analysis and inefficiencies of teams solving technical problems via remote-only means, which has impacted, and continues to impact, our cost of sales.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recent prospect of lockdowns in China, emergence of new variants of COVID-19, and the prevalence of breakthrough cases of infection among fully vaccinated people adds additional uncertainty and could result in further impacts to our business and operations, including those discussed above and in “Risk Factors” in Part II, Item 1A of this report.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 Accordingly, our current results and financial condition discussed herein may not be indicative of future operating results and trends. See “Risk Factors” in Part II, Item 1A of this report for additional risks we face due to the COVID-19 pandemic.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our results of operations for the periods indicated:</w:t>
      </w:r>
    </w:p>
    <w:p>
      <w:pPr>
        <w:pStyle w:val="TextBody"/>
        <w:spacing w:before="0" w:after="0"/>
        <w:ind w:left="0" w:right="0" w:firstLine="360"/>
        <w:rPr/>
      </w:pPr>
      <w:r>
        <w:rPr/>
        <w:t>​</w:t>
      </w:r>
    </w:p>
    <w:tbl>
      <w:tblPr>
        <w:tblW w:w="9578" w:type="dxa"/>
        <w:jc w:val="left"/>
        <w:tblInd w:w="0" w:type="dxa"/>
        <w:tblCellMar>
          <w:top w:w="0" w:type="dxa"/>
          <w:left w:w="0" w:type="dxa"/>
          <w:bottom w:w="0" w:type="dxa"/>
          <w:right w:w="0" w:type="dxa"/>
        </w:tblCellMar>
      </w:tblPr>
      <w:tblGrid>
        <w:gridCol w:w="4321"/>
        <w:gridCol w:w="326"/>
        <w:gridCol w:w="211"/>
        <w:gridCol w:w="676"/>
        <w:gridCol w:w="326"/>
        <w:gridCol w:w="211"/>
        <w:gridCol w:w="676"/>
        <w:gridCol w:w="326"/>
        <w:gridCol w:w="219"/>
        <w:gridCol w:w="631"/>
        <w:gridCol w:w="489"/>
        <w:gridCol w:w="219"/>
        <w:gridCol w:w="631"/>
        <w:gridCol w:w="316"/>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743835" cy="175260"/>
                      <wp:effectExtent l="0" t="0" r="0" b="0"/>
                      <wp:wrapNone/>
                      <wp:docPr id="234" name="Frame234"/>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29260" cy="175260"/>
                      <wp:effectExtent l="0" t="0" r="0" b="0"/>
                      <wp:wrapNone/>
                      <wp:docPr id="237" name="Frame23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29260" cy="175260"/>
                      <wp:effectExtent l="0" t="0" r="0" b="0"/>
                      <wp:wrapNone/>
                      <wp:docPr id="240" name="Frame24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9065" cy="175260"/>
                      <wp:effectExtent l="0" t="0" r="0" b="0"/>
                      <wp:wrapNone/>
                      <wp:docPr id="242" name="Frame242"/>
                      <a:graphic xmlns:a="http://schemas.openxmlformats.org/drawingml/2006/main">
                        <a:graphicData uri="http://schemas.microsoft.com/office/word/2010/wordprocessingShape">
                          <wps:wsp>
                            <wps:cNvSpPr txBox="1"/>
                            <wps:spPr>
                              <a:xfrm>
                                <a:off x="0" y="0"/>
                                <a:ext cx="139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00685" cy="175260"/>
                      <wp:effectExtent l="0" t="0" r="0" b="0"/>
                      <wp:wrapNone/>
                      <wp:docPr id="243" name="Frame243"/>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10515" cy="175260"/>
                      <wp:effectExtent l="0" t="0" r="0" b="0"/>
                      <wp:wrapNone/>
                      <wp:docPr id="244" name="Frame244"/>
                      <a:graphic xmlns:a="http://schemas.openxmlformats.org/drawingml/2006/main">
                        <a:graphicData uri="http://schemas.microsoft.com/office/word/2010/wordprocessingShape">
                          <wps:wsp>
                            <wps:cNvSpPr txBox="1"/>
                            <wps:spPr>
                              <a:xfrm>
                                <a:off x="0" y="0"/>
                                <a:ext cx="3105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9065" cy="175260"/>
                      <wp:effectExtent l="0" t="0" r="0" b="0"/>
                      <wp:wrapNone/>
                      <wp:docPr id="245" name="Frame245"/>
                      <a:graphic xmlns:a="http://schemas.openxmlformats.org/drawingml/2006/main">
                        <a:graphicData uri="http://schemas.microsoft.com/office/word/2010/wordprocessingShape">
                          <wps:wsp>
                            <wps:cNvSpPr txBox="1"/>
                            <wps:spPr>
                              <a:xfrm>
                                <a:off x="0" y="0"/>
                                <a:ext cx="139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00685" cy="175260"/>
                      <wp:effectExtent l="0" t="0" r="0" b="0"/>
                      <wp:wrapNone/>
                      <wp:docPr id="246" name="Frame246"/>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0660" cy="175260"/>
                      <wp:effectExtent l="0" t="0" r="0" b="0"/>
                      <wp:wrapNone/>
                      <wp:docPr id="247" name="Frame24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615"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8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w:t>
            </w:r>
          </w:p>
        </w:tc>
        <w:tc>
          <w:tcPr>
            <w:tcW w:w="218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a percentage of revenue)</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9,068</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8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9"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89"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10,280</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89"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4,256</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89"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89"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4,295</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89"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5,985</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89"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  </w:t>
            </w:r>
          </w:p>
        </w:tc>
        <w:tc>
          <w:tcPr>
            <w:tcW w:w="489"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2,439</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89"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2,843</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89"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89"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6,269</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89"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89"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89"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89"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before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89"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89"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and comprehensive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8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Comparison of the three months ended March 31, 2022 and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Revenue</w:t>
      </w:r>
    </w:p>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generated 75% and 77% of our revenue from products sold through distributors for the three months ended March 31, 2022 and 2021, respectively.</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geography based on the region in which our products are sold, and not to where the end products in which they are assembled are shipped. Our revenue by region for the periods indicated was as follows (in thousands):</w:t>
      </w:r>
    </w:p>
    <w:tbl>
      <w:tblPr>
        <w:tblW w:w="3904" w:type="dxa"/>
        <w:jc w:val="left"/>
        <w:tblInd w:w="0" w:type="dxa"/>
        <w:tblCellMar>
          <w:top w:w="0" w:type="dxa"/>
          <w:left w:w="0" w:type="dxa"/>
          <w:bottom w:w="0" w:type="dxa"/>
          <w:right w:w="0" w:type="dxa"/>
        </w:tblCellMar>
      </w:tblPr>
      <w:tblGrid>
        <w:gridCol w:w="1306"/>
        <w:gridCol w:w="109"/>
        <w:gridCol w:w="238"/>
        <w:gridCol w:w="763"/>
        <w:gridCol w:w="368"/>
        <w:gridCol w:w="238"/>
        <w:gridCol w:w="882"/>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829310" cy="175260"/>
                      <wp:effectExtent l="0" t="0" r="0" b="0"/>
                      <wp:wrapNone/>
                      <wp:docPr id="248" name="Frame248"/>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51130" cy="175260"/>
                      <wp:effectExtent l="0" t="0" r="0" b="0"/>
                      <wp:wrapNone/>
                      <wp:docPr id="250" name="Frame250"/>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84505" cy="175260"/>
                      <wp:effectExtent l="0" t="0" r="0" b="0"/>
                      <wp:wrapNone/>
                      <wp:docPr id="251" name="Frame251"/>
                      <a:graphic xmlns:a="http://schemas.openxmlformats.org/drawingml/2006/main">
                        <a:graphicData uri="http://schemas.microsoft.com/office/word/2010/wordprocessingShape">
                          <wps:wsp>
                            <wps:cNvSpPr txBox="1"/>
                            <wps:spPr>
                              <a:xfrm>
                                <a:off x="0" y="0"/>
                                <a:ext cx="484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33680" cy="175260"/>
                      <wp:effectExtent l="0" t="0" r="0" b="0"/>
                      <wp:wrapNone/>
                      <wp:docPr id="252" name="Frame252"/>
                      <a:graphic xmlns:a="http://schemas.openxmlformats.org/drawingml/2006/main">
                        <a:graphicData uri="http://schemas.microsoft.com/office/word/2010/wordprocessingShape">
                          <wps:wsp>
                            <wps:cNvSpPr txBox="1"/>
                            <wps:spPr>
                              <a:xfrm>
                                <a:off x="0" y="0"/>
                                <a:ext cx="233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51130" cy="175260"/>
                      <wp:effectExtent l="0" t="0" r="0" b="0"/>
                      <wp:wrapNone/>
                      <wp:docPr id="253" name="Frame253"/>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60070" cy="175260"/>
                      <wp:effectExtent l="0" t="0" r="0" b="0"/>
                      <wp:wrapNone/>
                      <wp:docPr id="254" name="Frame254"/>
                      <a:graphic xmlns:a="http://schemas.openxmlformats.org/drawingml/2006/main">
                        <a:graphicData uri="http://schemas.microsoft.com/office/word/2010/wordprocessingShape">
                          <wps:wsp>
                            <wps:cNvSpPr txBox="1"/>
                            <wps:spPr>
                              <a:xfrm>
                                <a:off x="0" y="0"/>
                                <a:ext cx="560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3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8" w:type="dxa"/>
            <w:tcBorders/>
            <w:shd w:fill="auto" w:val="clear"/>
            <w:vAlign w:val="center"/>
          </w:tcPr>
          <w:p>
            <w:pPr>
              <w:pStyle w:val="TableContents"/>
              <w:spacing w:before="0" w:after="0"/>
              <w:ind w:left="0" w:right="0" w:hanging="0"/>
              <w:rPr/>
            </w:pPr>
            <w:r>
              <w:rPr/>
              <w:t>    </w:t>
            </w:r>
          </w:p>
        </w:tc>
        <w:tc>
          <w:tcPr>
            <w:tcW w:w="11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APAC</w:t>
            </w:r>
          </w:p>
        </w:tc>
        <w:tc>
          <w:tcPr>
            <w:tcW w:w="109"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9,234</w:t>
            </w:r>
          </w:p>
        </w:tc>
        <w:tc>
          <w:tcPr>
            <w:tcW w:w="368"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7,158</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North America</w:t>
            </w:r>
          </w:p>
        </w:tc>
        <w:tc>
          <w:tcPr>
            <w:tcW w:w="109"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7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368"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1,740</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EMEA</w:t>
            </w:r>
          </w:p>
        </w:tc>
        <w:tc>
          <w:tcPr>
            <w:tcW w:w="109" w:type="dxa"/>
            <w:tcBorders/>
            <w:shd w:fill="CCEEFF" w:val="clear"/>
            <w:vAlign w:val="center"/>
          </w:tcPr>
          <w:p>
            <w:pPr>
              <w:pStyle w:val="TableContents"/>
              <w:spacing w:before="0" w:after="0"/>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68" w:type="dxa"/>
            <w:tcBorders/>
            <w:shd w:fill="CCEEFF" w:val="clear"/>
            <w:vAlign w:val="center"/>
          </w:tcPr>
          <w:p>
            <w:pPr>
              <w:pStyle w:val="TableContents"/>
              <w:spacing w:before="0" w:after="0"/>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109" w:type="dxa"/>
            <w:tcBorders/>
            <w:shd w:fill="auto" w:val="clear"/>
            <w:vAlign w:val="center"/>
          </w:tcPr>
          <w:p>
            <w:pPr>
              <w:pStyle w:val="TableContents"/>
              <w:spacing w:before="0" w:after="0"/>
              <w:ind w:left="0" w:right="0" w:hanging="0"/>
              <w:rPr/>
            </w:pPr>
            <w:r>
              <w:rPr/>
              <w:t>​</w:t>
            </w:r>
          </w:p>
        </w:tc>
        <w:tc>
          <w:tcPr>
            <w:tcW w:w="23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68" w:type="dxa"/>
            <w:tcBorders/>
            <w:shd w:fill="auto" w:val="clear"/>
            <w:vAlign w:val="center"/>
          </w:tcPr>
          <w:p>
            <w:pPr>
              <w:pStyle w:val="TableContents"/>
              <w:spacing w:before="0" w:after="0"/>
              <w:ind w:left="0" w:right="0" w:hanging="0"/>
              <w:rPr/>
            </w:pPr>
            <w:r>
              <w:rPr/>
              <w:t>​</w:t>
            </w:r>
          </w:p>
        </w:tc>
        <w:tc>
          <w:tcPr>
            <w:tcW w:w="23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10,280</w:t>
            </w:r>
          </w:p>
        </w:tc>
      </w:tr>
    </w:tbl>
    <w:p>
      <w:pPr>
        <w:pStyle w:val="TextBody"/>
        <w:spacing w:before="0" w:after="0"/>
        <w:ind w:left="0" w:right="0" w:hanging="0"/>
        <w:rPr/>
      </w:pPr>
      <w:r>
        <w:rPr/>
        <w:t>​</w:t>
      </w:r>
    </w:p>
    <w:tbl>
      <w:tblPr>
        <w:tblW w:w="8393" w:type="dxa"/>
        <w:jc w:val="left"/>
        <w:tblInd w:w="0" w:type="dxa"/>
        <w:tblCellMar>
          <w:top w:w="0" w:type="dxa"/>
          <w:left w:w="0" w:type="dxa"/>
          <w:bottom w:w="0" w:type="dxa"/>
          <w:right w:w="0" w:type="dxa"/>
        </w:tblCellMar>
      </w:tblPr>
      <w:tblGrid>
        <w:gridCol w:w="3751"/>
        <w:gridCol w:w="326"/>
        <w:gridCol w:w="211"/>
        <w:gridCol w:w="676"/>
        <w:gridCol w:w="326"/>
        <w:gridCol w:w="211"/>
        <w:gridCol w:w="676"/>
        <w:gridCol w:w="326"/>
        <w:gridCol w:w="211"/>
        <w:gridCol w:w="571"/>
        <w:gridCol w:w="326"/>
        <w:gridCol w:w="466"/>
        <w:gridCol w:w="316"/>
      </w:tblGrid>
      <w:tr>
        <w:trPr/>
        <w:tc>
          <w:tcPr>
            <w:tcW w:w="3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381885" cy="175260"/>
                      <wp:effectExtent l="0" t="0" r="0" b="0"/>
                      <wp:wrapNone/>
                      <wp:docPr id="255" name="Frame255"/>
                      <a:graphic xmlns:a="http://schemas.openxmlformats.org/drawingml/2006/main">
                        <a:graphicData uri="http://schemas.microsoft.com/office/word/2010/wordprocessingShape">
                          <wps:wsp>
                            <wps:cNvSpPr txBox="1"/>
                            <wps:spPr>
                              <a:xfrm>
                                <a:off x="0" y="0"/>
                                <a:ext cx="2381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29260" cy="175260"/>
                      <wp:effectExtent l="0" t="0" r="0" b="0"/>
                      <wp:wrapNone/>
                      <wp:docPr id="258" name="Frame25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6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62585" cy="175260"/>
                      <wp:effectExtent l="0" t="0" r="0" b="0"/>
                      <wp:wrapNone/>
                      <wp:docPr id="264" name="Frame26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95910" cy="175260"/>
                      <wp:effectExtent l="0" t="0" r="0" b="0"/>
                      <wp:wrapNone/>
                      <wp:docPr id="266" name="Frame266"/>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0660" cy="175260"/>
                      <wp:effectExtent l="0" t="0" r="0" b="0"/>
                      <wp:wrapNone/>
                      <wp:docPr id="267" name="Frame26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57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shd w:fill="auto" w:val="clear"/>
            <w:vAlign w:val="center"/>
          </w:tcPr>
          <w:p>
            <w:pPr>
              <w:pStyle w:val="TableContents"/>
              <w:spacing w:before="0" w:after="0"/>
              <w:ind w:left="0" w:right="0" w:hanging="0"/>
              <w:rPr/>
            </w:pPr>
            <w:r>
              <w:rPr/>
              <w:t> </w:t>
            </w:r>
          </w:p>
        </w:tc>
      </w:tr>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0"/>
              <w:ind w:left="0" w:right="0" w:hanging="0"/>
              <w:rPr/>
            </w:pPr>
            <w:r>
              <w:rPr/>
              <w:t> </w:t>
            </w:r>
          </w:p>
        </w:tc>
      </w:tr>
      <w:tr>
        <w:trPr/>
        <w:tc>
          <w:tcPr>
            <w:tcW w:w="8393"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00"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shd w:fill="auto" w:val="clear"/>
            <w:vAlign w:val="center"/>
          </w:tcPr>
          <w:p>
            <w:pPr>
              <w:pStyle w:val="TableContents"/>
              <w:spacing w:before="0" w:after="0"/>
              <w:ind w:left="0" w:right="0" w:hanging="0"/>
              <w:rPr/>
            </w:pPr>
            <w:r>
              <w:rPr/>
              <w:t> </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3,603</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10,280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Total revenue increased by $4.1 million, or 39.6%, from $10.3 million during the three months ended March 31, 2021 to $14.3 million during the three months ended March 31, 2022. The increase was primarily due to an increase of product sales by $3.6 million, or 39.7%, from $9.1 million to $12.7 million driven by a higher volume of units produced and sold, along with average sales price increases to offset supplier price increases.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Licensing, royalty, patent,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patent, and other revenue increased by $0.5 million, or 38.3%, from $1.2 million during the three months ended March 31, 2021 to $1.7 million during the three months ended March 31, 2022. The increase was driven by an increase in licensing revenues from a contractual agreement with a customer for the development of a RAD-Hard product, consisting of a technology license, a design license agreement, and development contract that was entered into in the second quarter of 2021.</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Cost of Sales and Gross Margin</w:t>
      </w:r>
    </w:p>
    <w:p>
      <w:pPr>
        <w:pStyle w:val="TextBody"/>
        <w:spacing w:before="0" w:after="0"/>
        <w:ind w:left="0" w:right="0" w:hanging="0"/>
        <w:rPr/>
      </w:pPr>
      <w:r>
        <w:rPr/>
        <w:t>​</w:t>
      </w:r>
    </w:p>
    <w:tbl>
      <w:tblPr>
        <w:tblW w:w="8928" w:type="dxa"/>
        <w:jc w:val="left"/>
        <w:tblInd w:w="0" w:type="dxa"/>
        <w:tblCellMar>
          <w:top w:w="0" w:type="dxa"/>
          <w:left w:w="0" w:type="dxa"/>
          <w:bottom w:w="0" w:type="dxa"/>
          <w:right w:w="0" w:type="dxa"/>
        </w:tblCellMar>
      </w:tblPr>
      <w:tblGrid>
        <w:gridCol w:w="4321"/>
        <w:gridCol w:w="326"/>
        <w:gridCol w:w="211"/>
        <w:gridCol w:w="571"/>
        <w:gridCol w:w="361"/>
        <w:gridCol w:w="211"/>
        <w:gridCol w:w="571"/>
        <w:gridCol w:w="361"/>
        <w:gridCol w:w="211"/>
        <w:gridCol w:w="571"/>
        <w:gridCol w:w="326"/>
        <w:gridCol w:w="571"/>
        <w:gridCol w:w="316"/>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743835" cy="175260"/>
                      <wp:effectExtent l="0" t="0" r="0" b="0"/>
                      <wp:wrapNone/>
                      <wp:docPr id="268" name="Frame268"/>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62585" cy="175260"/>
                      <wp:effectExtent l="0" t="0" r="0" b="0"/>
                      <wp:wrapNone/>
                      <wp:docPr id="271" name="Frame27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29235" cy="175260"/>
                      <wp:effectExtent l="0" t="0" r="0" b="0"/>
                      <wp:wrapNone/>
                      <wp:docPr id="272" name="Frame27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62585" cy="175260"/>
                      <wp:effectExtent l="0" t="0" r="0" b="0"/>
                      <wp:wrapNone/>
                      <wp:docPr id="274" name="Frame27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29235" cy="175260"/>
                      <wp:effectExtent l="0" t="0" r="0" b="0"/>
                      <wp:wrapNone/>
                      <wp:docPr id="275" name="Frame27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62585" cy="175260"/>
                      <wp:effectExtent l="0" t="0" r="0" b="0"/>
                      <wp:wrapNone/>
                      <wp:docPr id="277" name="Frame27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62585" cy="175260"/>
                      <wp:effectExtent l="0" t="0" r="0" b="0"/>
                      <wp:wrapNone/>
                      <wp:docPr id="279" name="Frame27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0660" cy="175260"/>
                      <wp:effectExtent l="0" t="0" r="0" b="0"/>
                      <wp:wrapNone/>
                      <wp:docPr id="280" name="Frame28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61" w:type="dxa"/>
            <w:tcBorders/>
            <w:shd w:fill="auto" w:val="clear"/>
            <w:vAlign w:val="center"/>
          </w:tcPr>
          <w:p>
            <w:pPr>
              <w:pStyle w:val="TableContents"/>
              <w:spacing w:before="0" w:after="0"/>
              <w:ind w:left="0" w:right="0" w:hanging="0"/>
              <w:rPr/>
            </w:pPr>
            <w:r>
              <w:rPr/>
              <w:t>​</w:t>
            </w:r>
          </w:p>
        </w:tc>
        <w:tc>
          <w:tcPr>
            <w:tcW w:w="167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shd w:fill="auto" w:val="clear"/>
            <w:vAlign w:val="center"/>
          </w:tcPr>
          <w:p>
            <w:pPr>
              <w:pStyle w:val="TableContents"/>
              <w:spacing w:before="0" w:after="0"/>
              <w:ind w:left="0" w:right="0" w:hanging="0"/>
              <w:rPr/>
            </w:pPr>
            <w:r>
              <w:rPr/>
              <w:t> </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0"/>
              <w:ind w:left="0" w:right="0" w:hanging="0"/>
              <w:rPr/>
            </w:pPr>
            <w:r>
              <w:rPr/>
              <w:t> </w:t>
            </w:r>
          </w:p>
        </w:tc>
      </w:tr>
      <w:tr>
        <w:trPr/>
        <w:tc>
          <w:tcPr>
            <w:tcW w:w="8928"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965"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shd w:fill="auto" w:val="clear"/>
            <w:vAlign w:val="center"/>
          </w:tcPr>
          <w:p>
            <w:pPr>
              <w:pStyle w:val="TableContents"/>
              <w:spacing w:before="0" w:after="0"/>
              <w:ind w:left="0" w:right="0" w:hanging="0"/>
              <w:rPr/>
            </w:pPr>
            <w:r>
              <w:rPr/>
              <w:t> </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361"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4,256</w:t>
            </w:r>
          </w:p>
        </w:tc>
        <w:tc>
          <w:tcPr>
            <w:tcW w:w="361"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326" w:type="dxa"/>
            <w:tcBorders/>
            <w:shd w:fill="CCEEFF" w:val="clear"/>
            <w:vAlign w:val="center"/>
          </w:tcPr>
          <w:p>
            <w:pPr>
              <w:pStyle w:val="TableContents"/>
              <w:spacing w:before="0" w:after="0"/>
              <w:ind w:left="0" w:right="0" w:hanging="0"/>
              <w:jc w:val="center"/>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61"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6,024</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4,295</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Cost of product sales increased by $1.5 million, or 35.2%, from $4.3 million during the three months ended March 31, 2021, to $5.8 million during the three months ended March 31, 2022. The increase was due to an increase in product sales, along with price increases from suppliers.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Cost of licensing, royalty, patent, and other revenue increased by $233,000 from $39,000 during the three months ended March 31, 2021, to $272,000 during the three months ended March 31, 2022. The increase was primarily due to increases in foundry and licensing activities.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Gross margin decreased from 58.2% during the three months ended March 31, 2021, to 58.0% during the three months ended March 31, 2022. The decrease in gross margin was primarily due to price increases from suppliers. We continually look for alternative uses for previously reserved inventory and in certain instances we may receive discounted wafers based on product yields, which could impact individual product margin.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Operating Expenses</w:t>
      </w:r>
    </w:p>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i/>
          <w:sz w:val="20"/>
        </w:rPr>
        <w:t>Research and Development Expenses. </w:t>
      </w:r>
      <w:r>
        <w:rPr>
          <w:rFonts w:ascii="Times New Roman;Times;serif" w:hAnsi="Times New Roman;Times;serif"/>
          <w:sz w:val="20"/>
        </w:rPr>
        <w:t>Our research and development expenses consist primarily of personnel-related 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pStyle w:val="TextBody"/>
        <w:spacing w:before="0" w:after="0"/>
        <w:ind w:left="0" w:right="0" w:hanging="0"/>
        <w:rPr/>
      </w:pPr>
      <w:r>
        <w:rPr/>
        <w:t>​</w:t>
      </w:r>
    </w:p>
    <w:tbl>
      <w:tblPr>
        <w:tblW w:w="8192" w:type="dxa"/>
        <w:jc w:val="left"/>
        <w:tblInd w:w="0" w:type="dxa"/>
        <w:tblCellMar>
          <w:top w:w="0" w:type="dxa"/>
          <w:left w:w="0" w:type="dxa"/>
          <w:bottom w:w="0" w:type="dxa"/>
          <w:right w:w="0" w:type="dxa"/>
        </w:tblCellMar>
      </w:tblPr>
      <w:tblGrid>
        <w:gridCol w:w="3766"/>
        <w:gridCol w:w="326"/>
        <w:gridCol w:w="211"/>
        <w:gridCol w:w="571"/>
        <w:gridCol w:w="361"/>
        <w:gridCol w:w="211"/>
        <w:gridCol w:w="571"/>
        <w:gridCol w:w="361"/>
        <w:gridCol w:w="302"/>
        <w:gridCol w:w="389"/>
        <w:gridCol w:w="326"/>
        <w:gridCol w:w="481"/>
        <w:gridCol w:w="316"/>
      </w:tblGrid>
      <w:tr>
        <w:trPr/>
        <w:tc>
          <w:tcPr>
            <w:tcW w:w="3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391410" cy="175260"/>
                      <wp:effectExtent l="0" t="0" r="0" b="0"/>
                      <wp:wrapNone/>
                      <wp:docPr id="281" name="Frame281"/>
                      <a:graphic xmlns:a="http://schemas.openxmlformats.org/drawingml/2006/main">
                        <a:graphicData uri="http://schemas.microsoft.com/office/word/2010/wordprocessingShape">
                          <wps:wsp>
                            <wps:cNvSpPr txBox="1"/>
                            <wps:spPr>
                              <a:xfrm>
                                <a:off x="0" y="0"/>
                                <a:ext cx="2391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62585" cy="175260"/>
                      <wp:effectExtent l="0" t="0" r="0" b="0"/>
                      <wp:wrapNone/>
                      <wp:docPr id="284" name="Frame28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29235" cy="175260"/>
                      <wp:effectExtent l="0" t="0" r="0" b="0"/>
                      <wp:wrapNone/>
                      <wp:docPr id="285" name="Frame28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62585" cy="175260"/>
                      <wp:effectExtent l="0" t="0" r="0" b="0"/>
                      <wp:wrapNone/>
                      <wp:docPr id="287" name="Frame28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29235" cy="175260"/>
                      <wp:effectExtent l="0" t="0" r="0" b="0"/>
                      <wp:wrapNone/>
                      <wp:docPr id="288" name="Frame28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91770" cy="175260"/>
                      <wp:effectExtent l="0" t="0" r="0" b="0"/>
                      <wp:wrapNone/>
                      <wp:docPr id="289" name="Frame289"/>
                      <a:graphic xmlns:a="http://schemas.openxmlformats.org/drawingml/2006/main">
                        <a:graphicData uri="http://schemas.microsoft.com/office/word/2010/wordprocessingShape">
                          <wps:wsp>
                            <wps:cNvSpPr txBox="1"/>
                            <wps:spPr>
                              <a:xfrm>
                                <a:off x="0" y="0"/>
                                <a:ext cx="191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47015" cy="175260"/>
                      <wp:effectExtent l="0" t="0" r="0" b="0"/>
                      <wp:wrapNone/>
                      <wp:docPr id="290" name="Frame290"/>
                      <a:graphic xmlns:a="http://schemas.openxmlformats.org/drawingml/2006/main">
                        <a:graphicData uri="http://schemas.microsoft.com/office/word/2010/wordprocessingShape">
                          <wps:wsp>
                            <wps:cNvSpPr txBox="1"/>
                            <wps:spPr>
                              <a:xfrm>
                                <a:off x="0" y="0"/>
                                <a:ext cx="247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05435" cy="175260"/>
                      <wp:effectExtent l="0" t="0" r="0" b="0"/>
                      <wp:wrapNone/>
                      <wp:docPr id="292" name="Frame292"/>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0660" cy="175260"/>
                      <wp:effectExtent l="0" t="0" r="0" b="0"/>
                      <wp:wrapNone/>
                      <wp:docPr id="293" name="Frame29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w:t>
            </w:r>
          </w:p>
        </w:tc>
        <w:tc>
          <w:tcPr>
            <w:tcW w:w="38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3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61" w:type="dxa"/>
            <w:tcBorders/>
            <w:shd w:fill="auto" w:val="clear"/>
            <w:vAlign w:val="center"/>
          </w:tcPr>
          <w:p>
            <w:pPr>
              <w:pStyle w:val="TableContents"/>
              <w:spacing w:before="0" w:after="0"/>
              <w:ind w:left="0" w:right="0" w:hanging="0"/>
              <w:rPr/>
            </w:pPr>
            <w:r>
              <w:rPr/>
              <w:t>​</w:t>
            </w:r>
          </w:p>
        </w:tc>
        <w:tc>
          <w:tcPr>
            <w:tcW w:w="149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3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3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84"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37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2,436</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2,439</w:t>
            </w:r>
          </w:p>
        </w:tc>
        <w:tc>
          <w:tcPr>
            <w:tcW w:w="361"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as a % of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302" w:type="dxa"/>
            <w:tcBorders/>
            <w:shd w:fill="auto" w:val="clear"/>
            <w:vAlign w:val="center"/>
          </w:tcPr>
          <w:p>
            <w:pPr>
              <w:pStyle w:val="TableContents"/>
              <w:spacing w:before="0" w:after="0"/>
              <w:ind w:left="0" w:right="0" w:hanging="0"/>
              <w:rPr/>
            </w:pPr>
            <w:r>
              <w:rPr/>
              <w:t>​</w:t>
            </w:r>
          </w:p>
        </w:tc>
        <w:tc>
          <w:tcPr>
            <w:tcW w:w="3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Research and development expenses remained relatively consistent during the three months ended March 31, 2021, and March 31, 2022. </w:t>
      </w:r>
    </w:p>
    <w:p>
      <w:pPr>
        <w:pStyle w:val="TextBody"/>
        <w:spacing w:before="0" w:after="0"/>
        <w:ind w:left="0" w:right="0" w:firstLine="360"/>
        <w:rPr/>
      </w:pPr>
      <w:r>
        <w:rPr/>
        <w:t>​</w:t>
      </w:r>
    </w:p>
    <w:tbl>
      <w:tblPr>
        <w:tblW w:w="8253" w:type="dxa"/>
        <w:jc w:val="left"/>
        <w:tblInd w:w="0" w:type="dxa"/>
        <w:tblCellMar>
          <w:top w:w="0" w:type="dxa"/>
          <w:left w:w="0" w:type="dxa"/>
          <w:bottom w:w="0" w:type="dxa"/>
          <w:right w:w="0" w:type="dxa"/>
        </w:tblCellMar>
      </w:tblPr>
      <w:tblGrid>
        <w:gridCol w:w="3766"/>
        <w:gridCol w:w="326"/>
        <w:gridCol w:w="211"/>
        <w:gridCol w:w="571"/>
        <w:gridCol w:w="361"/>
        <w:gridCol w:w="211"/>
        <w:gridCol w:w="571"/>
        <w:gridCol w:w="361"/>
        <w:gridCol w:w="211"/>
        <w:gridCol w:w="541"/>
        <w:gridCol w:w="326"/>
        <w:gridCol w:w="481"/>
        <w:gridCol w:w="316"/>
      </w:tblGrid>
      <w:tr>
        <w:trPr/>
        <w:tc>
          <w:tcPr>
            <w:tcW w:w="3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391410" cy="175260"/>
                      <wp:effectExtent l="0" t="0" r="0" b="0"/>
                      <wp:wrapNone/>
                      <wp:docPr id="294" name="Frame294"/>
                      <a:graphic xmlns:a="http://schemas.openxmlformats.org/drawingml/2006/main">
                        <a:graphicData uri="http://schemas.microsoft.com/office/word/2010/wordprocessingShape">
                          <wps:wsp>
                            <wps:cNvSpPr txBox="1"/>
                            <wps:spPr>
                              <a:xfrm>
                                <a:off x="0" y="0"/>
                                <a:ext cx="2391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62585" cy="175260"/>
                      <wp:effectExtent l="0" t="0" r="0" b="0"/>
                      <wp:wrapNone/>
                      <wp:docPr id="297" name="Frame29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29235" cy="175260"/>
                      <wp:effectExtent l="0" t="0" r="0" b="0"/>
                      <wp:wrapNone/>
                      <wp:docPr id="298" name="Frame29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62585" cy="175260"/>
                      <wp:effectExtent l="0" t="0" r="0" b="0"/>
                      <wp:wrapNone/>
                      <wp:docPr id="300" name="Frame30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29235" cy="175260"/>
                      <wp:effectExtent l="0" t="0" r="0" b="0"/>
                      <wp:wrapNone/>
                      <wp:docPr id="301" name="Frame30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43535" cy="175260"/>
                      <wp:effectExtent l="0" t="0" r="0" b="0"/>
                      <wp:wrapNone/>
                      <wp:docPr id="303" name="Frame303"/>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05435" cy="175260"/>
                      <wp:effectExtent l="0" t="0" r="0" b="0"/>
                      <wp:wrapNone/>
                      <wp:docPr id="305" name="Frame305"/>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0660" cy="175260"/>
                      <wp:effectExtent l="0" t="0" r="0" b="0"/>
                      <wp:wrapNone/>
                      <wp:docPr id="306" name="Frame30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3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61" w:type="dxa"/>
            <w:tcBorders/>
            <w:shd w:fill="auto" w:val="clear"/>
            <w:vAlign w:val="center"/>
          </w:tcPr>
          <w:p>
            <w:pPr>
              <w:pStyle w:val="TableContents"/>
              <w:spacing w:before="0" w:after="0"/>
              <w:ind w:left="0" w:right="0" w:hanging="0"/>
              <w:rPr/>
            </w:pPr>
            <w:r>
              <w:rPr/>
              <w:t>​</w:t>
            </w:r>
          </w:p>
        </w:tc>
        <w:tc>
          <w:tcPr>
            <w:tcW w:w="155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3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3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45"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37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2,843</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as a % of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i/>
          <w:sz w:val="20"/>
        </w:rPr>
        <w:t xml:space="preserve">General and Administrative Expenses. </w:t>
      </w:r>
      <w:r>
        <w:rPr>
          <w:rFonts w:ascii="Times New Roman;Times;serif" w:hAnsi="Times New Roman;Times;serif"/>
          <w:sz w:val="20"/>
        </w:rPr>
        <w:t>General and administrative expenses decreased by $0.1 million, or 4.0%, from $2.8 million during the three months ended March 31, 2021, to $2.7 million during the three months ended March 31, 2022. The decrease is primarily due to decreased employee-related costs.</w:t>
      </w:r>
    </w:p>
    <w:p>
      <w:pPr>
        <w:pStyle w:val="TextBody"/>
        <w:spacing w:before="0" w:after="0"/>
        <w:ind w:left="0" w:right="0" w:firstLine="360"/>
        <w:rPr/>
      </w:pPr>
      <w:r>
        <w:rPr/>
        <w:t>​</w:t>
      </w:r>
    </w:p>
    <w:tbl>
      <w:tblPr>
        <w:tblW w:w="7472" w:type="dxa"/>
        <w:jc w:val="left"/>
        <w:tblInd w:w="0" w:type="dxa"/>
        <w:tblCellMar>
          <w:top w:w="0" w:type="dxa"/>
          <w:left w:w="0" w:type="dxa"/>
          <w:bottom w:w="0" w:type="dxa"/>
          <w:right w:w="0" w:type="dxa"/>
        </w:tblCellMar>
      </w:tblPr>
      <w:tblGrid>
        <w:gridCol w:w="3211"/>
        <w:gridCol w:w="326"/>
        <w:gridCol w:w="211"/>
        <w:gridCol w:w="571"/>
        <w:gridCol w:w="361"/>
        <w:gridCol w:w="211"/>
        <w:gridCol w:w="421"/>
        <w:gridCol w:w="361"/>
        <w:gridCol w:w="230"/>
        <w:gridCol w:w="461"/>
        <w:gridCol w:w="326"/>
        <w:gridCol w:w="466"/>
        <w:gridCol w:w="316"/>
      </w:tblGrid>
      <w:tr>
        <w:trPr/>
        <w:tc>
          <w:tcPr>
            <w:tcW w:w="3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38985" cy="175260"/>
                      <wp:effectExtent l="0" t="0" r="0" b="0"/>
                      <wp:wrapNone/>
                      <wp:docPr id="307" name="Frame307"/>
                      <a:graphic xmlns:a="http://schemas.openxmlformats.org/drawingml/2006/main">
                        <a:graphicData uri="http://schemas.microsoft.com/office/word/2010/wordprocessingShape">
                          <wps:wsp>
                            <wps:cNvSpPr txBox="1"/>
                            <wps:spPr>
                              <a:xfrm>
                                <a:off x="0" y="0"/>
                                <a:ext cx="203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62585" cy="175260"/>
                      <wp:effectExtent l="0" t="0" r="0" b="0"/>
                      <wp:wrapNone/>
                      <wp:docPr id="310" name="Frame31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29235" cy="175260"/>
                      <wp:effectExtent l="0" t="0" r="0" b="0"/>
                      <wp:wrapNone/>
                      <wp:docPr id="311" name="Frame31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67335" cy="175260"/>
                      <wp:effectExtent l="0" t="0" r="0" b="0"/>
                      <wp:wrapNone/>
                      <wp:docPr id="313" name="Frame313"/>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29235" cy="175260"/>
                      <wp:effectExtent l="0" t="0" r="0" b="0"/>
                      <wp:wrapNone/>
                      <wp:docPr id="314" name="Frame31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6050" cy="175260"/>
                      <wp:effectExtent l="0" t="0" r="0" b="0"/>
                      <wp:wrapNone/>
                      <wp:docPr id="315" name="Frame315"/>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92735" cy="175260"/>
                      <wp:effectExtent l="0" t="0" r="0" b="0"/>
                      <wp:wrapNone/>
                      <wp:docPr id="316" name="Frame316"/>
                      <a:graphic xmlns:a="http://schemas.openxmlformats.org/drawingml/2006/main">
                        <a:graphicData uri="http://schemas.microsoft.com/office/word/2010/wordprocessingShape">
                          <wps:wsp>
                            <wps:cNvSpPr txBox="1"/>
                            <wps:spPr>
                              <a:xfrm>
                                <a:off x="0" y="0"/>
                                <a:ext cx="292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95910" cy="175260"/>
                      <wp:effectExtent l="0" t="0" r="0" b="0"/>
                      <wp:wrapNone/>
                      <wp:docPr id="318" name="Frame318"/>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0660" cy="175260"/>
                      <wp:effectExtent l="0" t="0" r="0" b="0"/>
                      <wp:wrapNone/>
                      <wp:docPr id="319" name="Frame31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4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32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61" w:type="dxa"/>
            <w:tcBorders/>
            <w:shd w:fill="auto" w:val="clear"/>
            <w:vAlign w:val="center"/>
          </w:tcPr>
          <w:p>
            <w:pPr>
              <w:pStyle w:val="TableContents"/>
              <w:spacing w:before="0" w:after="0"/>
              <w:ind w:left="0" w:right="0" w:hanging="0"/>
              <w:rPr/>
            </w:pPr>
            <w:r>
              <w:rPr/>
              <w:t>​</w:t>
            </w:r>
          </w:p>
        </w:tc>
        <w:tc>
          <w:tcPr>
            <w:tcW w:w="148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32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32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9"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61"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 as a % of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30" w:type="dxa"/>
            <w:tcBorders/>
            <w:shd w:fill="auto" w:val="clear"/>
            <w:vAlign w:val="center"/>
          </w:tcPr>
          <w:p>
            <w:pPr>
              <w:pStyle w:val="TableContents"/>
              <w:spacing w:before="0" w:after="0"/>
              <w:ind w:left="0" w:right="0" w:hanging="0"/>
              <w:rPr/>
            </w:pPr>
            <w:r>
              <w:rPr/>
              <w:t>​</w:t>
            </w:r>
          </w:p>
        </w:tc>
        <w:tc>
          <w:tcPr>
            <w:tcW w:w="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i/>
          <w:sz w:val="20"/>
        </w:rPr>
        <w:t xml:space="preserve">Sales and Marketing Expenses. </w:t>
      </w:r>
      <w:r>
        <w:rPr>
          <w:rFonts w:ascii="Times New Roman;Times;serif" w:hAnsi="Times New Roman;Times;serif"/>
          <w:sz w:val="20"/>
        </w:rPr>
        <w:t>Sales and marketing expenses increased by $0.1 million, or 14.9%, from $1.0 million during the three months ended March 31, 2021, to $1.1 million during the three months ended March 31, 2022. The increase was primarily due to an increase in variable compensation.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Interest Expense</w:t>
      </w:r>
    </w:p>
    <w:p>
      <w:pPr>
        <w:pStyle w:val="TextBody"/>
        <w:spacing w:before="0" w:after="0"/>
        <w:ind w:left="0" w:right="0" w:firstLine="360"/>
        <w:rPr/>
      </w:pPr>
      <w:r>
        <w:rPr/>
        <w:t>​</w:t>
      </w:r>
    </w:p>
    <w:tbl>
      <w:tblPr>
        <w:tblW w:w="5646" w:type="dxa"/>
        <w:jc w:val="left"/>
        <w:tblInd w:w="0" w:type="dxa"/>
        <w:tblCellMar>
          <w:top w:w="0" w:type="dxa"/>
          <w:left w:w="0" w:type="dxa"/>
          <w:bottom w:w="0" w:type="dxa"/>
          <w:right w:w="0" w:type="dxa"/>
        </w:tblCellMar>
      </w:tblPr>
      <w:tblGrid>
        <w:gridCol w:w="1426"/>
        <w:gridCol w:w="326"/>
        <w:gridCol w:w="234"/>
        <w:gridCol w:w="351"/>
        <w:gridCol w:w="362"/>
        <w:gridCol w:w="234"/>
        <w:gridCol w:w="468"/>
        <w:gridCol w:w="326"/>
        <w:gridCol w:w="248"/>
        <w:gridCol w:w="443"/>
        <w:gridCol w:w="326"/>
        <w:gridCol w:w="586"/>
        <w:gridCol w:w="316"/>
      </w:tblGrid>
      <w:tr>
        <w:trPr/>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905510" cy="175260"/>
                      <wp:effectExtent l="0" t="0" r="0" b="0"/>
                      <wp:wrapNone/>
                      <wp:docPr id="320" name="Frame320"/>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48590" cy="175260"/>
                      <wp:effectExtent l="0" t="0" r="0" b="0"/>
                      <wp:wrapNone/>
                      <wp:docPr id="322" name="Frame322"/>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22885" cy="175260"/>
                      <wp:effectExtent l="0" t="0" r="0" b="0"/>
                      <wp:wrapNone/>
                      <wp:docPr id="323" name="Frame323"/>
                      <a:graphic xmlns:a="http://schemas.openxmlformats.org/drawingml/2006/main">
                        <a:graphicData uri="http://schemas.microsoft.com/office/word/2010/wordprocessingShape">
                          <wps:wsp>
                            <wps:cNvSpPr txBox="1"/>
                            <wps:spPr>
                              <a:xfrm>
                                <a:off x="0" y="0"/>
                                <a:ext cx="222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29870" cy="175260"/>
                      <wp:effectExtent l="0" t="0" r="0" b="0"/>
                      <wp:wrapNone/>
                      <wp:docPr id="324" name="Frame324"/>
                      <a:graphic xmlns:a="http://schemas.openxmlformats.org/drawingml/2006/main">
                        <a:graphicData uri="http://schemas.microsoft.com/office/word/2010/wordprocessingShape">
                          <wps:wsp>
                            <wps:cNvSpPr txBox="1"/>
                            <wps:spPr>
                              <a:xfrm>
                                <a:off x="0" y="0"/>
                                <a:ext cx="229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48590" cy="175260"/>
                      <wp:effectExtent l="0" t="0" r="0" b="0"/>
                      <wp:wrapNone/>
                      <wp:docPr id="325" name="Frame325"/>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97180" cy="175260"/>
                      <wp:effectExtent l="0" t="0" r="0" b="0"/>
                      <wp:wrapNone/>
                      <wp:docPr id="326" name="Frame326"/>
                      <a:graphic xmlns:a="http://schemas.openxmlformats.org/drawingml/2006/main">
                        <a:graphicData uri="http://schemas.microsoft.com/office/word/2010/wordprocessingShape">
                          <wps:wsp>
                            <wps:cNvSpPr txBox="1"/>
                            <wps:spPr>
                              <a:xfrm>
                                <a:off x="0" y="0"/>
                                <a:ext cx="297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57480" cy="175260"/>
                      <wp:effectExtent l="0" t="0" r="0" b="0"/>
                      <wp:wrapNone/>
                      <wp:docPr id="328" name="Frame328"/>
                      <a:graphic xmlns:a="http://schemas.openxmlformats.org/drawingml/2006/main">
                        <a:graphicData uri="http://schemas.microsoft.com/office/word/2010/wordprocessingShape">
                          <wps:wsp>
                            <wps:cNvSpPr txBox="1"/>
                            <wps:spPr>
                              <a:xfrm>
                                <a:off x="0" y="0"/>
                                <a:ext cx="157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81305" cy="175260"/>
                      <wp:effectExtent l="0" t="0" r="0" b="0"/>
                      <wp:wrapNone/>
                      <wp:docPr id="329" name="Frame329"/>
                      <a:graphic xmlns:a="http://schemas.openxmlformats.org/drawingml/2006/main">
                        <a:graphicData uri="http://schemas.microsoft.com/office/word/2010/wordprocessingShape">
                          <wps:wsp>
                            <wps:cNvSpPr txBox="1"/>
                            <wps:spPr>
                              <a:xfrm>
                                <a:off x="0" y="0"/>
                                <a:ext cx="281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72110" cy="175260"/>
                      <wp:effectExtent l="0" t="0" r="0" b="0"/>
                      <wp:wrapNone/>
                      <wp:docPr id="331" name="Frame331"/>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0660" cy="175260"/>
                      <wp:effectExtent l="0" t="0" r="0" b="0"/>
                      <wp:wrapNone/>
                      <wp:docPr id="332" name="Frame33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4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48" w:type="dxa"/>
            <w:tcBorders/>
            <w:shd w:fill="auto" w:val="clear"/>
            <w:vAlign w:val="center"/>
          </w:tcPr>
          <w:p>
            <w:pPr>
              <w:pStyle w:val="TableContents"/>
              <w:spacing w:before="0" w:after="0"/>
              <w:ind w:left="0" w:right="0" w:hanging="0"/>
              <w:rPr/>
            </w:pPr>
            <w:r>
              <w:rPr/>
              <w:t>​</w:t>
            </w:r>
          </w:p>
        </w:tc>
        <w:tc>
          <w:tcPr>
            <w:tcW w:w="44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4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60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5646"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78"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1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62"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spacing w:before="0" w:after="0"/>
              <w:ind w:left="0" w:right="0" w:hanging="0"/>
              <w:rPr/>
            </w:pPr>
            <w:r>
              <w:rPr/>
              <w:t>​</w:t>
            </w:r>
          </w:p>
        </w:tc>
        <w:tc>
          <w:tcPr>
            <w:tcW w:w="2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Interest expense decreased by $77,000, or 50.7%, from $152,000 during the three months ended March 31, 2021, to $75,000 during the three months ended March 31, 2022. The decrease was due to lower outstanding balances under the credit facility during the three months ended March 31, 2022, resulting in less interest incurred.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Other Expense, Net</w:t>
      </w:r>
    </w:p>
    <w:p>
      <w:pPr>
        <w:pStyle w:val="TextBody"/>
        <w:spacing w:before="0" w:after="0"/>
        <w:ind w:left="0" w:right="0" w:hanging="0"/>
        <w:rPr/>
      </w:pPr>
      <w:r>
        <w:rPr/>
        <w:t>​</w:t>
      </w:r>
    </w:p>
    <w:tbl>
      <w:tblPr>
        <w:tblW w:w="5797" w:type="dxa"/>
        <w:jc w:val="left"/>
        <w:tblInd w:w="0" w:type="dxa"/>
        <w:tblCellMar>
          <w:top w:w="0" w:type="dxa"/>
          <w:left w:w="0" w:type="dxa"/>
          <w:bottom w:w="0" w:type="dxa"/>
          <w:right w:w="0" w:type="dxa"/>
        </w:tblCellMar>
      </w:tblPr>
      <w:tblGrid>
        <w:gridCol w:w="1621"/>
        <w:gridCol w:w="326"/>
        <w:gridCol w:w="215"/>
        <w:gridCol w:w="444"/>
        <w:gridCol w:w="332"/>
        <w:gridCol w:w="215"/>
        <w:gridCol w:w="444"/>
        <w:gridCol w:w="326"/>
        <w:gridCol w:w="345"/>
        <w:gridCol w:w="346"/>
        <w:gridCol w:w="326"/>
        <w:gridCol w:w="481"/>
        <w:gridCol w:w="376"/>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029335" cy="175260"/>
                      <wp:effectExtent l="0" t="0" r="0" b="0"/>
                      <wp:wrapNone/>
                      <wp:docPr id="333" name="Frame333"/>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6525" cy="175260"/>
                      <wp:effectExtent l="0" t="0" r="0" b="0"/>
                      <wp:wrapNone/>
                      <wp:docPr id="335" name="Frame335"/>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81940" cy="175260"/>
                      <wp:effectExtent l="0" t="0" r="0" b="0"/>
                      <wp:wrapNone/>
                      <wp:docPr id="336" name="Frame336"/>
                      <a:graphic xmlns:a="http://schemas.openxmlformats.org/drawingml/2006/main">
                        <a:graphicData uri="http://schemas.microsoft.com/office/word/2010/wordprocessingShape">
                          <wps:wsp>
                            <wps:cNvSpPr txBox="1"/>
                            <wps:spPr>
                              <a:xfrm>
                                <a:off x="0" y="0"/>
                                <a:ext cx="281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0820" cy="175260"/>
                      <wp:effectExtent l="0" t="0" r="0" b="0"/>
                      <wp:wrapNone/>
                      <wp:docPr id="337" name="Frame337"/>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6525" cy="175260"/>
                      <wp:effectExtent l="0" t="0" r="0" b="0"/>
                      <wp:wrapNone/>
                      <wp:docPr id="338" name="Frame338"/>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81940" cy="175260"/>
                      <wp:effectExtent l="0" t="0" r="0" b="0"/>
                      <wp:wrapNone/>
                      <wp:docPr id="339" name="Frame339"/>
                      <a:graphic xmlns:a="http://schemas.openxmlformats.org/drawingml/2006/main">
                        <a:graphicData uri="http://schemas.microsoft.com/office/word/2010/wordprocessingShape">
                          <wps:wsp>
                            <wps:cNvSpPr txBox="1"/>
                            <wps:spPr>
                              <a:xfrm>
                                <a:off x="0" y="0"/>
                                <a:ext cx="281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075" cy="175260"/>
                      <wp:effectExtent l="0" t="0" r="0" b="0"/>
                      <wp:wrapNone/>
                      <wp:docPr id="341" name="Frame341"/>
                      <a:graphic xmlns:a="http://schemas.openxmlformats.org/drawingml/2006/main">
                        <a:graphicData uri="http://schemas.microsoft.com/office/word/2010/wordprocessingShape">
                          <wps:wsp>
                            <wps:cNvSpPr txBox="1"/>
                            <wps:spPr>
                              <a:xfrm>
                                <a:off x="0" y="0"/>
                                <a:ext cx="219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05435" cy="175260"/>
                      <wp:effectExtent l="0" t="0" r="0" b="0"/>
                      <wp:wrapNone/>
                      <wp:docPr id="344" name="Frame344"/>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38760" cy="175260"/>
                      <wp:effectExtent l="0" t="0" r="0" b="0"/>
                      <wp:wrapNone/>
                      <wp:docPr id="345" name="Frame345"/>
                      <a:graphic xmlns:a="http://schemas.openxmlformats.org/drawingml/2006/main">
                        <a:graphicData uri="http://schemas.microsoft.com/office/word/2010/wordprocessingShape">
                          <wps:wsp>
                            <wps:cNvSpPr txBox="1"/>
                            <wps:spPr>
                              <a:xfrm>
                                <a:off x="0" y="0"/>
                                <a:ext cx="238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5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45"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49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76" w:type="dxa"/>
            <w:tcBorders/>
            <w:shd w:fill="auto" w:val="clear"/>
            <w:vAlign w:val="center"/>
          </w:tcPr>
          <w:p>
            <w:pPr>
              <w:pStyle w:val="TableContents"/>
              <w:spacing w:before="0" w:after="0"/>
              <w:ind w:left="0" w:right="0" w:hanging="0"/>
              <w:rPr/>
            </w:pPr>
            <w:r>
              <w:rPr/>
              <w:t>​</w: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3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76" w:type="dxa"/>
            <w:tcBorders/>
            <w:shd w:fill="auto" w:val="clear"/>
            <w:vAlign w:val="center"/>
          </w:tcPr>
          <w:p>
            <w:pPr>
              <w:pStyle w:val="TableContents"/>
              <w:spacing w:before="0" w:after="0"/>
              <w:ind w:left="0" w:right="0" w:hanging="0"/>
              <w:jc w:val="center"/>
              <w:rPr/>
            </w:pPr>
            <w:r>
              <w:rPr/>
              <w:t>​</w:t>
            </w:r>
          </w:p>
        </w:tc>
      </w:tr>
      <w:tr>
        <w:trPr/>
        <w:tc>
          <w:tcPr>
            <w:tcW w:w="5797"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50"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32"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spacing w:before="0" w:after="0"/>
              <w:ind w:left="0" w:right="0" w:hanging="0"/>
              <w:rPr/>
            </w:pPr>
            <w:r>
              <w:rPr/>
              <w:t>​</w:t>
            </w:r>
          </w:p>
        </w:tc>
        <w:tc>
          <w:tcPr>
            <w:tcW w:w="3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7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Other expense, net remained relatively consistent during the three months ended March 31, 2021, and March 31, 2022.</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generated significant losses since our inception and had an accumulated deficit of $150.9 million as of March 31, 2022, compared to $152.8 million as of December 31, 2021. We have historically financed our operations primarily through the sale of our common stock in our initial public offering (IPO) and follow-on public offering, sales of our common stock under our at-the-market (ATM) program (which was terminated in November 2020), sales of our redeemable convertible preferred stock, debt financing and the sale of our products. As of March 31, 2022, we had $19.9 million of cash and cash equivalents, compared to $21.4 million as of December 31, 2021.</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believe that our existing cash and cash equivalents as of March 31, 2022, coupled with the amount available under our credit facility and our anticipated growth and sales levels, will be sufficient to meet our anticipated cash requirements for the next twelve months and beyond.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For additional information about the 2019 Credit Facility, see Note 6 to our condensed financial statements in Part I, Item 1 of this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p>
      <w:pPr>
        <w:pStyle w:val="TextBody"/>
        <w:spacing w:before="0" w:after="0"/>
        <w:ind w:left="0" w:right="0" w:hanging="0"/>
        <w:rPr/>
      </w:pPr>
      <w:r>
        <w:rPr/>
        <w:t>​</w:t>
      </w:r>
    </w:p>
    <w:tbl>
      <w:tblPr>
        <w:tblW w:w="6162" w:type="dxa"/>
        <w:jc w:val="left"/>
        <w:tblInd w:w="0" w:type="dxa"/>
        <w:tblCellMar>
          <w:top w:w="0" w:type="dxa"/>
          <w:left w:w="0" w:type="dxa"/>
          <w:bottom w:w="0" w:type="dxa"/>
          <w:right w:w="0" w:type="dxa"/>
        </w:tblCellMar>
      </w:tblPr>
      <w:tblGrid>
        <w:gridCol w:w="3931"/>
        <w:gridCol w:w="326"/>
        <w:gridCol w:w="211"/>
        <w:gridCol w:w="541"/>
        <w:gridCol w:w="326"/>
        <w:gridCol w:w="211"/>
        <w:gridCol w:w="616"/>
      </w:tblGrid>
      <w:tr>
        <w:trPr/>
        <w:tc>
          <w:tcPr>
            <w:tcW w:w="3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496185" cy="175260"/>
                      <wp:effectExtent l="0" t="0" r="0" b="0"/>
                      <wp:wrapNone/>
                      <wp:docPr id="346" name="Frame346"/>
                      <a:graphic xmlns:a="http://schemas.openxmlformats.org/drawingml/2006/main">
                        <a:graphicData uri="http://schemas.microsoft.com/office/word/2010/wordprocessingShape">
                          <wps:wsp>
                            <wps:cNvSpPr txBox="1"/>
                            <wps:spPr>
                              <a:xfrm>
                                <a:off x="0" y="0"/>
                                <a:ext cx="2496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43535" cy="175260"/>
                      <wp:effectExtent l="0" t="0" r="0" b="0"/>
                      <wp:wrapNone/>
                      <wp:docPr id="349" name="Frame349"/>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91160" cy="175260"/>
                      <wp:effectExtent l="0" t="0" r="0" b="0"/>
                      <wp:wrapNone/>
                      <wp:docPr id="352" name="Frame352"/>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162"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(used in)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1,651</w:t>
            </w:r>
          </w:p>
        </w:tc>
      </w:tr>
      <w:tr>
        <w:trPr/>
        <w:tc>
          <w:tcPr>
            <w:tcW w:w="3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used in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3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used in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highlight w:val="white"/>
        </w:rPr>
      </w:pPr>
      <w:r>
        <w:rPr>
          <w:rFonts w:ascii="Times New Roman;Times;serif" w:hAnsi="Times New Roman;Times;serif"/>
          <w:sz w:val="20"/>
          <w:highlight w:val="white"/>
        </w:rPr>
        <w:t>During the three months ended March 31, 2022, cash used in operating activities was $1.0 million, which consisted of net income of $1.9 million, cash provided by non-cash charges of $1.1 million and changes of net operating assets and liabilities of $4.0 million. The non-cash charges primarily consisted of stock-based compensation of $0.8 million, and depreciation and amortization of $0.3 million. The use of cash due to the change in our net operating assets and liabilities was primarily due to an increase in accounts receivable of $2.0 million due to timing of cash receipts for outstanding balances, a decrease in accrued liabilities of $2.0 million primarily due to variable compensation costs, profit sharing, and a decrease in deferred revenue of $0.5 million. These uses were partially offset by an increase in accounts payable of $0.3 million, a decrease in prepaid expenses and other current assets of $0.1 million, and a decrease of inventory of $0.2 million.</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highlight w:val="white"/>
        </w:rPr>
      </w:pPr>
      <w:r>
        <w:rPr>
          <w:rFonts w:ascii="Times New Roman;Times;serif" w:hAnsi="Times New Roman;Times;serif"/>
          <w:sz w:val="20"/>
          <w:highlight w:val="white"/>
        </w:rPr>
        <w:t xml:space="preserve">During the three months ended March 31, 2021, cash provided by operating activities was $1.7 million, which consisted of a net loss of $0.5 million, adjusted by non-cash charges of $1.2 million and a change of $0.9 million in our net operating assets and liabilities. The non-cash charges primarily consisted of stock-based compensation of $0.7 million, depreciation and amortization of $0.4 million, and interest expense related to the amortization of debt issuance costs of $0.1 million. The inflow of cash due to the change in our net operating assets and liabilities was primarily due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an increase of $3.0 million in deferred revenue, a decrease in inventory of $0.4 million, an increase in accrued liabilities of $0.3 million, an increase of $2.7 million in accounts receivable due to timing of cash receipts for outstanding balances, and a decrease of $0.1 million in accounts payable.</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Cash used in investing activities during the three months ended March 31, 2022, was $22,000 for the purchase of manufacturing equipment.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Cash used in investing activities during the three months ended March 31, 2021, was $0.3 million for the purchase of manufacturing and computer equipment.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Cash used in financing activities during both the three months ended March 31, 2022, and 2021, was $0.5 million, consisting mainly of $0.6 million of payments of term loan installments offset by $0.1 million in proceeds from the exercise of employee stock options.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Off-Balance Sheet Arrangements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not entered into any off-balance sheet arrangements and do not have any holdings in variable interest entities.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There have been no changes to our critical accounting policies and estimates described in the Annual Report on Form 10-K for the year ended December 31, 2021, filed with the SEC on March 9, 2022, that have had a material impact on our condensed financial statements and related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880" w:name="Item3QuantitativeandQualitative_750559"/>
      <w:bookmarkStart w:id="881" w:name="_94b961b1_4a99_4a8d_a746_d57573fb8f1e"/>
      <w:bookmarkEnd w:id="880"/>
      <w:bookmarkEnd w:id="881"/>
      <w:r>
        <w:rPr>
          <w:rFonts w:ascii="Times New Roman;Times;serif" w:hAnsi="Times New Roman;Times;serif"/>
          <w:b/>
          <w:sz w:val="20"/>
        </w:rPr>
        <w:t>Item 3. Quantitative and Qualitative Disclosures about Market Risk</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required for a smaller reporting company.</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bookmarkStart w:id="882" w:name="Item4ControlsandProcedures_982311"/>
      <w:bookmarkStart w:id="883" w:name="_0a6cced0_0422_437f_b77d_5d3ffcec30eb"/>
      <w:bookmarkEnd w:id="882"/>
      <w:bookmarkEnd w:id="883"/>
      <w:r>
        <w:rPr>
          <w:rFonts w:ascii="Times New Roman;Times;serif" w:hAnsi="Times New Roman;Times;serif"/>
          <w:b/>
          <w:sz w:val="20"/>
        </w:rPr>
        <w:t>Item 4. Controls and Procedures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management, including our Chief Executive Officer (CEO) and Chief Financial Officer (CFO), evaluated the effectiveness of the design and operation of our disclosure controls and procedures (as defined in Rules 13a-15(e) and 15d-15(e) under the Exchange Act), as of March 31, 2022, the end of the period covered by this quarterly report on Form 10-Q.</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Based on this evaluation, our CEO and CFO concluded that our disclosure controls and procedures were not effective at the reasonable assurance level as of March 31, 2022, based on the material weakness discussed below.</w:t>
      </w:r>
    </w:p>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Material weakness in internal control over financial reporting.</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highlight w:val="white"/>
        </w:rPr>
        <w:t>A material weakness is a deficiency, or a combination of deficiencies, in internal control over financial reporting</w:t>
      </w:r>
      <w:r>
        <w:rPr>
          <w:rFonts w:ascii="Times New Roman;Times;serif" w:hAnsi="Times New Roman;Times;serif"/>
          <w:sz w:val="20"/>
        </w:rPr>
        <w:t xml:space="preserve"> (as defined in Rules 13a-15(f) and 15d-15(f) under the Exchange Act)</w:t>
      </w:r>
      <w:r>
        <w:rPr>
          <w:rFonts w:ascii="Times New Roman;Times;serif" w:hAnsi="Times New Roman;Times;serif"/>
          <w:sz w:val="20"/>
          <w:highlight w:val="white"/>
        </w:rPr>
        <w:t xml:space="preserve"> such that there is a reasonable possibility that a material misstatement of the annual or interim financial statements will not be prevented or detected on a timely basis. In connection with the preparation of our audited annual financial statements for the year ended December 31, 2021, we determined our controls around inventory, including unit level cost allocations and communication protocols between operations and accounting were not sufficiently designed to prevent and detect a material misstatement. </w:t>
      </w:r>
      <w:r>
        <w:rPr>
          <w:rFonts w:ascii="Times New Roman;Times;serif" w:hAnsi="Times New Roman;Times;serif"/>
          <w:sz w:val="20"/>
        </w:rPr>
        <w:t>We have established a plan to remediate this material weakness outlined below.</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Management’s steps taken to remediate the material weakness.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To remediate this material weakness, we have taken the following actions:</w:t>
      </w:r>
    </w:p>
    <w:p>
      <w:pPr>
        <w:pStyle w:val="TextBody"/>
        <w:spacing w:before="0" w:after="0"/>
        <w:ind w:left="72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establishing multi-discipline processes to actively manage and make decisions regarding our inventory to support our business objectives.</w:t>
            </w:r>
          </w:p>
        </w:tc>
      </w:tr>
    </w:tbl>
    <w:p>
      <w:pPr>
        <w:pStyle w:val="TextBody"/>
        <w:spacing w:before="0" w:after="0"/>
        <w:ind w:left="63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establishing reconciliations by product family based on unit cost at each stage of the wafer manufacturing process.</w:t>
            </w:r>
          </w:p>
        </w:tc>
      </w:tr>
    </w:tbl>
    <w:p>
      <w:pPr>
        <w:pStyle w:val="TextBody"/>
        <w:spacing w:before="0" w:after="0"/>
        <w:ind w:left="63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taking steps to identify unit pricing variances between each stage of the wafer manufacturing process to ensure cost allocation amounts are appropriately reflected at both the unit and product family level.</w:t>
            </w:r>
          </w:p>
        </w:tc>
      </w:tr>
    </w:tbl>
    <w:p>
      <w:pPr>
        <w:pStyle w:val="TextBody"/>
        <w:spacing w:before="0" w:after="0"/>
        <w:ind w:left="1080" w:right="0" w:hanging="0"/>
        <w:rPr/>
      </w:pPr>
      <w:r>
        <w:rPr/>
        <w:t>​</w:t>
      </w:r>
    </w:p>
    <w:tbl>
      <w:tblPr>
        <w:tblW w:w="9756" w:type="dxa"/>
        <w:jc w:val="left"/>
        <w:tblInd w:w="0" w:type="dxa"/>
        <w:tblCellMar>
          <w:top w:w="28" w:type="dxa"/>
          <w:left w:w="28" w:type="dxa"/>
          <w:bottom w:w="28" w:type="dxa"/>
          <w:right w:w="28" w:type="dxa"/>
        </w:tblCellMar>
      </w:tblPr>
      <w:tblGrid>
        <w:gridCol w:w="124"/>
        <w:gridCol w:w="256"/>
        <w:gridCol w:w="9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additional training to our teams and updating procedures with our third-party Assembly Houses.</w:t>
            </w:r>
          </w:p>
        </w:tc>
      </w:tr>
    </w:tbl>
    <w:p>
      <w:pPr>
        <w:pStyle w:val="TextBody"/>
        <w:spacing w:before="0" w:after="0"/>
        <w:ind w:left="108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hired additional qualified personnel to assist management with its financial statement close process and provide oversight of our financial reporting and inventory costing processes.</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will continue to monitor stability of the platform and further enhance the business controls around inventory management. We continue to assess our accounting policies and internal controls documentation to ensure they are effective in helping us manage the business and to prevent and detect material misstatements. Our management has concluded that the financial statements included elsewhere in this Quarterly Report on Form 10-Q present fairly, in all material respects, our financial position, results of operations and cash flows in conformity with GAAP.</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Except with respect to the remediation actions described above, there have been no changes in our internal control over financial reporting that occurred during the three months ended March 31, 2022, that have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Inherent limitation on the effectiveness of internal control.</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884" w:name="PARTIIOTHERINFORMATION_746009"/>
      <w:bookmarkStart w:id="885" w:name="_f1d74b54_c0bf_4a42_a1ee_f6ee4188174a"/>
      <w:bookmarkEnd w:id="884"/>
      <w:bookmarkEnd w:id="885"/>
      <w:r>
        <w:rPr>
          <w:rFonts w:ascii="Times New Roman;Times;serif" w:hAnsi="Times New Roman;Times;serif"/>
          <w:b/>
          <w:sz w:val="20"/>
        </w:rPr>
        <w:t>PART II – OTHER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886" w:name="ITEM1Legalproceedings_813693"/>
      <w:bookmarkEnd w:id="886"/>
      <w:r>
        <w:rPr>
          <w:rFonts w:ascii="Times New Roman;Times;serif" w:hAnsi="Times New Roman;Times;serif"/>
          <w:b/>
          <w:sz w:val="20"/>
        </w:rPr>
        <w:t>ITEM 1. Legal Proceedings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are not party to any material legal proceedings at this time. From time to time, we may become involved in various legal proceedings that arise in the ordinary course of our business.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bookmarkStart w:id="887" w:name="ITEM1ARiskfactors_980973"/>
      <w:bookmarkStart w:id="888" w:name="_97a37ab7_0def_48c7_9160_3c3826f738cc"/>
      <w:bookmarkEnd w:id="887"/>
      <w:bookmarkEnd w:id="888"/>
      <w:r>
        <w:rPr>
          <w:rFonts w:ascii="Times New Roman;Times;serif" w:hAnsi="Times New Roman;Times;serif"/>
          <w:b/>
          <w:sz w:val="20"/>
        </w:rPr>
        <w:t>ITEM 1A. Risk Factors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i/>
          <w:sz w:val="20"/>
        </w:rPr>
      </w:pPr>
      <w:bookmarkStart w:id="889" w:name="_cp_text_1_2"/>
      <w:bookmarkEnd w:id="889"/>
      <w:r>
        <w:rPr>
          <w:rFonts w:ascii="Times New Roman;Times;serif" w:hAnsi="Times New Roman;Times;serif"/>
          <w:i/>
          <w:sz w:val="20"/>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ongoing COVID-19 pandemic, including any new variants that may become predominant, and any worsening of the global business and economic environment as a result.</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 Factor Summary</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additional funding and may be unable to raise capital when needed, which could force us to delay, reduce, or eliminate planned activities.</w:t>
            </w:r>
          </w:p>
        </w:tc>
      </w:tr>
    </w:tbl>
    <w:tbl>
      <w:tblPr>
        <w:tblW w:w="7461" w:type="dxa"/>
        <w:jc w:val="left"/>
        <w:tblInd w:w="0" w:type="dxa"/>
        <w:tblCellMar>
          <w:top w:w="28" w:type="dxa"/>
          <w:left w:w="28" w:type="dxa"/>
          <w:bottom w:w="28" w:type="dxa"/>
          <w:right w:w="28" w:type="dxa"/>
        </w:tblCellMar>
      </w:tblPr>
      <w:tblGrid>
        <w:gridCol w:w="124"/>
        <w:gridCol w:w="256"/>
        <w:gridCol w:w="70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losses and we cannot be certain that we will sustain profitability.</w:t>
            </w:r>
          </w:p>
        </w:tc>
      </w:tr>
    </w:tbl>
    <w:tbl>
      <w:tblPr>
        <w:tblW w:w="7641" w:type="dxa"/>
        <w:jc w:val="left"/>
        <w:tblInd w:w="0" w:type="dxa"/>
        <w:tblCellMar>
          <w:top w:w="28" w:type="dxa"/>
          <w:left w:w="28" w:type="dxa"/>
          <w:bottom w:w="28" w:type="dxa"/>
          <w:right w:w="28" w:type="dxa"/>
        </w:tblCellMar>
      </w:tblPr>
      <w:tblGrid>
        <w:gridCol w:w="124"/>
        <w:gridCol w:w="256"/>
        <w:gridCol w:w="7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credit facility may restrict our ability to pursue our business strategies.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tc>
      </w:tr>
    </w:tbl>
    <w:tbl>
      <w:tblPr>
        <w:tblW w:w="9921" w:type="dxa"/>
        <w:jc w:val="left"/>
        <w:tblInd w:w="0" w:type="dxa"/>
        <w:tblCellMar>
          <w:top w:w="28" w:type="dxa"/>
          <w:left w:w="28" w:type="dxa"/>
          <w:bottom w:w="28" w:type="dxa"/>
          <w:right w:w="28" w:type="dxa"/>
        </w:tblCellMar>
      </w:tblPr>
      <w:tblGrid>
        <w:gridCol w:w="124"/>
        <w:gridCol w:w="256"/>
        <w:gridCol w:w="9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history of STT-MRAM adoption makes it difficult to evaluate our current business and future prospects.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match production with customer demand for a variety of reasons including our inability to accurately forecast customer demand or the capacity constraints of our suppliers, which could adversely affect our operating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into new potential markets, we expect to face intense competition, including from our customers and potential customers, and may not be able to compete effectively, which could harm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Disruptions in our supply chain and increased costs of components used in our products may adversely impact our business, results of operations and financial condition, including our ability to fulfill customer demand. </w:t>
            </w:r>
          </w:p>
        </w:tc>
      </w:tr>
    </w:tbl>
    <w:tbl>
      <w:tblPr>
        <w:tblW w:w="7416" w:type="dxa"/>
        <w:jc w:val="left"/>
        <w:tblInd w:w="0" w:type="dxa"/>
        <w:tblCellMar>
          <w:top w:w="28" w:type="dxa"/>
          <w:left w:w="28" w:type="dxa"/>
          <w:bottom w:w="28" w:type="dxa"/>
          <w:right w:w="28" w:type="dxa"/>
        </w:tblCellMar>
      </w:tblPr>
      <w:tblGrid>
        <w:gridCol w:w="124"/>
        <w:gridCol w:w="256"/>
        <w:gridCol w:w="7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joint development agreement and strategic relationships involve numerous risks.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semiconductor memory products is characterized by declines in average selling prices, which we expect to continue, and which could negatively affect our revenue and margins.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several of our customers or reduced orders or pricing from existing customers may have a significant adverse effect on our operations and financial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and expect competition to increase in the future. If we fail to compete effectively, our revenue growth and results of operations will be materially and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costs may increase substantially if we or our third-party manufacturing contractors do not achieve satisfactory product yields or quality.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complexity of our products may lead to defects, which could negatively impact our reputation with customers and result in liability.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difficulties in transitioning to new wafer fabrication process technologies or in achieving higher levels of design integration, which may result in reduced manufacturing yields, delays in product deliveries and increased expenses.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industry standards and technical requirements relevant to our products and markets could adversely affect our business, results of operations and prospects.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attract and retain key employees, and our failure to do so could harm our ability to grow our business and execute our business strategies.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and are seeking to expand, operations outside of the United States which exposes us to significant risks.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manage the transitions associated with certain of our executive officers, which could have an adverse impact on us.</w:t>
            </w:r>
          </w:p>
        </w:tc>
      </w:tr>
    </w:tbl>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For a more complete discussion of the material risk factors applicable to us, see below.</w:t>
      </w:r>
    </w:p>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 Factors Related to Our Financial Condition and Our Indebtedness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may need additional funding and may be unable to raise capital when needed, which could force us to delay, reduce, or eliminate planned activities.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total revenue was approximately $14.3 million for the three months ended March 31, 2022, and $55.1 million for the year ended December 31, 2021. As of March 31, 2022, we had cash and cash equivalents of approximately $19.9 million. Based on our current operating plan, we believe our existing cash and cash equivalents, coupled with availability under our credit facility and our anticipated growth and sales levels, will be sufficient to meet our anticipated cash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have a history of losses, and we cannot be certain that we will sustain profitability.</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Although we also generated net income of $4.3 million for the year ended December 31, 2021, and net income of $2.0 million for the three months ended March 31, 2022, we have historically incurred net losses since our inception. As of March 31, 2022, we had an accumulated deficit of $150.9 million. 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controlling expenses to transition to profitability and generate consistent positive cash flows is uncertain.</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Provisions of our credit facility may restrict our ability to pursue our business strategies.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 business activities or expand or fully pursue our business strategies. For example, our existing credit facility prohibits our ability to, among other things:</w:t>
      </w:r>
    </w:p>
    <w:p>
      <w:pPr>
        <w:pStyle w:val="TextBody"/>
        <w:spacing w:before="0" w:after="0"/>
        <w:ind w:left="0" w:right="0" w:firstLine="360"/>
        <w:rPr/>
      </w:pPr>
      <w:r>
        <w:rPr/>
        <w:t>​</w:t>
      </w:r>
    </w:p>
    <w:p>
      <w:pPr>
        <w:pStyle w:val="TextBody"/>
        <w:pBdr/>
        <w:spacing w:before="0" w:after="0"/>
        <w:ind w:left="360" w:right="0" w:hanging="288"/>
        <w:rPr/>
      </w:pPr>
      <w:r>
        <w:rPr/>
        <w:t>●    </w:t>
      </w:r>
      <w:r>
        <w:rPr>
          <w:rFonts w:ascii="Times New Roman;Times;serif" w:hAnsi="Times New Roman;Times;serif"/>
          <w:sz w:val="20"/>
        </w:rPr>
        <w:t>dispose of or sell assets;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consolidate or merge with other entities;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incur additional indebtedness;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create liens on our assets;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pay dividends;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make investments;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enter into transactions with affiliates; and</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redeem subordinated indebtedness.</w:t>
      </w:r>
    </w:p>
    <w:p>
      <w:pPr>
        <w:pStyle w:val="TextBody"/>
        <w:spacing w:before="0" w:after="0"/>
        <w:ind w:left="72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our revolving line of credit facility.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 Factors Related to Our Business and Our Industry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could be negatively impacted by the widespread outbreak of an illness, any other communicable disease or any other public health crisis that results in economic and trade disruptions, including the disruption of global supply chains. In late 2019, there was an outbreak of a new strain of coronavirus, COVID-19, which has since spread globally. On March 11, 2020, the World Health Organization declared the COVID-19 outbreak to be a pandemic. Further, 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new variants of COVID-19, that are significantly more contagious than previous strains, have emerged. The spread of these new strains have caused many government authorities and businesses to reimplement the aforementioned measures to try to reduce the spread that had become less prevalent. While some of these restrictions have begun to be lifted, the lingering impact of the COVID-19 pandemic continues to create significant volatility throughout the global economy, including supply chain constraints, labor supply issues and higher inflation. Accordingly, it is unclear at this point the full impact COVID-19 and its variants will have on the global economy and on our Company.</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As a result of the COVID-19 pandemic and the related responses from government authorities, our business, results of operations and financial condition have been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Further, in an effort to protect the health and safety of our employees, we took the following actions: transitioned most of our office and support employees and contractors to working from home; suspended all non-essential business travel; and implemented social distancing guidelines for our employees and contractors who must work in our manufacturing and laboratory locations.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Additionally, our business, results of operations and financial condition </w:t>
      </w:r>
      <w:r>
        <w:rPr>
          <w:rFonts w:ascii="Times New Roman;Times;serif" w:hAnsi="Times New Roman;Times;serif"/>
          <w:color w:val="212529"/>
          <w:sz w:val="20"/>
        </w:rPr>
        <w:t>have been and may be further impacted in several ways, including, but not limited to, the following:</w:t>
      </w:r>
    </w:p>
    <w:p>
      <w:pPr>
        <w:pStyle w:val="TextBody"/>
        <w:spacing w:before="0" w:after="0"/>
        <w:ind w:left="0" w:right="0" w:firstLine="360"/>
        <w:rPr>
          <w:color w:val="212529"/>
        </w:rPr>
      </w:pPr>
      <w:r>
        <w:rPr>
          <w:color w:val="212529"/>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reduced demand for our products, particularly due to disruptions to the businesses and operations of our customers;</w:t>
            </w:r>
          </w:p>
        </w:tc>
      </w:tr>
    </w:tbl>
    <w:tbl>
      <w:tblPr>
        <w:tblW w:w="7041" w:type="dxa"/>
        <w:jc w:val="left"/>
        <w:tblInd w:w="0" w:type="dxa"/>
        <w:tblCellMar>
          <w:top w:w="28" w:type="dxa"/>
          <w:left w:w="28" w:type="dxa"/>
          <w:bottom w:w="28" w:type="dxa"/>
          <w:right w:w="28" w:type="dxa"/>
        </w:tblCellMar>
      </w:tblPr>
      <w:tblGrid>
        <w:gridCol w:w="124"/>
        <w:gridCol w:w="256"/>
        <w:gridCol w:w="66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availability or delays in global shipping to transport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slowdowns, stoppages or other limitations in the supply chain for our products, in addition to higher costs, such as due to suppliers raising prices;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limitations on employee resources and availability, including due to sickness, government restrictions, labor supply shortages, and the desire of employees to avoid contact with large groups of people or mass transit disruptions; </w:t>
            </w:r>
          </w:p>
        </w:tc>
      </w:tr>
    </w:tbl>
    <w:tbl>
      <w:tblPr>
        <w:tblW w:w="7926" w:type="dxa"/>
        <w:jc w:val="left"/>
        <w:tblInd w:w="0" w:type="dxa"/>
        <w:tblCellMar>
          <w:top w:w="28" w:type="dxa"/>
          <w:left w:w="28" w:type="dxa"/>
          <w:bottom w:w="28" w:type="dxa"/>
          <w:right w:w="28" w:type="dxa"/>
        </w:tblCellMar>
      </w:tblPr>
      <w:tblGrid>
        <w:gridCol w:w="124"/>
        <w:gridCol w:w="256"/>
        <w:gridCol w:w="7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continuation or worsening of general economic conditions, including increased inflation;</w:t>
            </w:r>
          </w:p>
        </w:tc>
      </w:tr>
    </w:tbl>
    <w:tbl>
      <w:tblPr>
        <w:tblW w:w="4776" w:type="dxa"/>
        <w:jc w:val="left"/>
        <w:tblInd w:w="0" w:type="dxa"/>
        <w:tblCellMar>
          <w:top w:w="28" w:type="dxa"/>
          <w:left w:w="28" w:type="dxa"/>
          <w:bottom w:w="28" w:type="dxa"/>
          <w:right w:w="28" w:type="dxa"/>
        </w:tblCellMar>
      </w:tblPr>
      <w:tblGrid>
        <w:gridCol w:w="124"/>
        <w:gridCol w:w="256"/>
        <w:gridCol w:w="4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difficulty in collecting customer receivables;</w:t>
            </w:r>
          </w:p>
        </w:tc>
      </w:tr>
    </w:tbl>
    <w:tbl>
      <w:tblPr>
        <w:tblW w:w="9201" w:type="dxa"/>
        <w:jc w:val="left"/>
        <w:tblInd w:w="0" w:type="dxa"/>
        <w:tblCellMar>
          <w:top w:w="28" w:type="dxa"/>
          <w:left w:w="28" w:type="dxa"/>
          <w:bottom w:w="28" w:type="dxa"/>
          <w:right w:w="28" w:type="dxa"/>
        </w:tblCellMar>
      </w:tblPr>
      <w:tblGrid>
        <w:gridCol w:w="124"/>
        <w:gridCol w:w="256"/>
        <w:gridCol w:w="88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fluctuation in foreign currency exchange rates or interest rates could result from market uncertainties;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cost or the difficulty to obtain debt or equity financing could affect our financial condition or our ability to fund operations or future investment opportunities.</w:t>
            </w:r>
          </w:p>
        </w:tc>
      </w:tr>
    </w:tbl>
    <w:p>
      <w:pPr>
        <w:pStyle w:val="TextBody"/>
        <w:spacing w:before="0" w:after="0"/>
        <w:ind w:left="108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emergence of different variants of COVID-19, recent outbreak in China, and the prevalence of breakthrough cases of infection among fully vaccinated people adds additional uncertainty and could result in further impacts to our business and operations, including those discussed above.</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and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The limited history of STT-MRAM adoption makes it difficult to evaluate our current business and future prospects. </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segments and changes in macroeconomic conditions. If we do not manage these risks and overcome these difficulties successfully, our business will suffer.</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may be unable to match production with customer demand for a variety of reasons including our inability to accurately forecast customer demand, supply chain constraints, or the capacity constraints of our suppliers, which could adversely affect our operating results.</w:t>
      </w:r>
    </w:p>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As we expand into new potential markets, we expect to face intense competition, including from our customers and potential customers, and may not be able to compete effectively, which could harm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Relying on third-party distribution, manufacturing, assembly, packaging, and testing presents a number of risks, including but not limited to:</w:t>
      </w:r>
    </w:p>
    <w:p>
      <w:pPr>
        <w:pStyle w:val="TextBody"/>
        <w:spacing w:before="0" w:after="0"/>
        <w:ind w:left="0" w:right="0" w:firstLine="360"/>
        <w:rPr/>
      </w:pPr>
      <w:r>
        <w:rPr/>
        <w:t>​</w:t>
      </w:r>
    </w:p>
    <w:p>
      <w:pPr>
        <w:pStyle w:val="TextBody"/>
        <w:spacing w:before="0" w:after="0"/>
        <w:ind w:left="108" w:right="0" w:hanging="0"/>
        <w:rPr/>
      </w:pPr>
      <w:r>
        <w:rPr/>
        <w:t>​</w:t>
      </w:r>
    </w:p>
    <w:p>
      <w:pPr>
        <w:pStyle w:val="TextBody"/>
        <w:pBdr/>
        <w:spacing w:before="0" w:after="0"/>
        <w:ind w:left="360" w:right="0" w:hanging="288"/>
        <w:rPr/>
      </w:pPr>
      <w:r>
        <w:rPr/>
        <w:t>●    </w:t>
      </w:r>
      <w:r>
        <w:rPr>
          <w:rFonts w:ascii="Times New Roman;Times;serif" w:hAnsi="Times New Roman;Times;serif"/>
          <w:sz w:val="20"/>
        </w:rPr>
        <w:t>our interests could diverge from those of our foundries, or we may not be able to agree with them on ongoing development, manufacturing and operational activities, or on the amount, timing, or nature of further investments in our joint development;</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capacity and materials shortages during periods of high demand or supply constraints;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reduced control over delivery schedules, inventories and quality;</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the unavailability of, or potential delays in obtaining access to, key process technologies;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the inability to achieve required production or test capacity and acceptable yields on a timely basis;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misappropriation of our intellectual property;</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the third party’s ability to perform its obligations due to bankruptcy or other financial constraints;</w:t>
      </w:r>
    </w:p>
    <w:p>
      <w:pPr>
        <w:pStyle w:val="TextBody"/>
        <w:pBdr/>
        <w:spacing w:before="0" w:after="0"/>
        <w:ind w:left="360" w:right="0" w:hanging="288"/>
        <w:rPr/>
      </w:pPr>
      <w:r>
        <w:rPr/>
        <w:t>​</w:t>
      </w:r>
    </w:p>
    <w:p>
      <w:pPr>
        <w:pStyle w:val="TextBody"/>
        <w:pBdr/>
        <w:spacing w:before="0" w:after="0"/>
        <w:ind w:left="360" w:right="0" w:hanging="288"/>
        <w:rPr/>
      </w:pPr>
      <w:r>
        <w:rPr/>
        <w:t>●    </w:t>
      </w:r>
      <w:r>
        <w:rPr>
          <w:rFonts w:ascii="Times New Roman;Times;serif" w:hAnsi="Times New Roman;Times;serif"/>
          <w:sz w:val="20"/>
        </w:rPr>
        <w:t>exclusive representatives for certain customer engagements;</w:t>
      </w:r>
    </w:p>
    <w:p>
      <w:pPr>
        <w:pStyle w:val="TextBody"/>
        <w:pBdr/>
        <w:spacing w:before="0" w:after="0"/>
        <w:ind w:left="360" w:right="0" w:hanging="288"/>
        <w:rPr/>
      </w:pPr>
      <w:r>
        <w:rPr/>
        <w:t>​</w:t>
      </w:r>
    </w:p>
    <w:p>
      <w:pPr>
        <w:pStyle w:val="TextBody"/>
        <w:pBdr/>
        <w:spacing w:before="0" w:after="0"/>
        <w:ind w:left="360" w:right="0" w:hanging="288"/>
        <w:rPr/>
      </w:pPr>
      <w:r>
        <w:rPr/>
        <w:t>●    </w:t>
      </w:r>
      <w:r>
        <w:rPr>
          <w:rFonts w:ascii="Times New Roman;Times;serif" w:hAnsi="Times New Roman;Times;serif"/>
          <w:sz w:val="20"/>
        </w:rPr>
        <w:t>limited warranties on wafers or products supplied to us; and</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potential increases in prices including due to inflation.</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Disruptions in our supply chain and increased cost of components used in our products may adversely impact our business, results of operations and financial condition, including our ability to fulfill customer demand.</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If we fail to procure sufficient components used in our products, we may be unable to deliver our products to our customers on a timely basis, which could lead to customer dissatisfaction and could harm our reputation and ability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compete. We would likely experience significant delays or cessation in producing some of our products if a labor strike, natural disaster, public health crisis, geopolitical event, or other supply disruption were to occur, including as a result of the COVID-19 pandemic or the recent military conflict in Ukraine, at any of our main suppliers. </w:t>
      </w:r>
    </w:p>
    <w:p>
      <w:pPr>
        <w:pStyle w:val="TextBody"/>
        <w:spacing w:before="0" w:after="0"/>
        <w:ind w:left="0" w:right="0" w:firstLine="360"/>
        <w:rPr/>
      </w:pPr>
      <w:r>
        <w:rPr/>
        <w:t>​</w:t>
      </w:r>
    </w:p>
    <w:p>
      <w:pPr>
        <w:pStyle w:val="TextBody"/>
        <w:shd w:fill="FFFFFF" w:val="clear"/>
        <w:spacing w:before="0" w:after="0"/>
        <w:ind w:left="0" w:right="0" w:firstLine="360"/>
        <w:rPr>
          <w:rFonts w:ascii="Times New Roman;Times;serif" w:hAnsi="Times New Roman;Times;serif"/>
          <w:sz w:val="20"/>
        </w:rPr>
      </w:pPr>
      <w:r>
        <w:rPr>
          <w:rFonts w:ascii="Times New Roman;Times;serif" w:hAnsi="Times New Roman;Times;serif"/>
          <w:sz w:val="20"/>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recent military conflict in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 </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Our joint development agreement and strategic relationships involve numerous risks. </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pStyle w:val="TextBody"/>
        <w:spacing w:before="0" w:after="0"/>
        <w:ind w:left="0" w:right="0" w:firstLine="360"/>
        <w:rPr/>
      </w:pPr>
      <w:r>
        <w:rPr/>
        <w:t>​</w:t>
      </w:r>
    </w:p>
    <w:p>
      <w:pPr>
        <w:pStyle w:val="TextBody"/>
        <w:spacing w:before="0" w:after="0"/>
        <w:ind w:left="108" w:right="0" w:hanging="0"/>
        <w:rPr/>
      </w:pPr>
      <w:r>
        <w:rPr/>
        <w:t>​</w:t>
      </w:r>
    </w:p>
    <w:p>
      <w:pPr>
        <w:pStyle w:val="TextBody"/>
        <w:pBdr/>
        <w:spacing w:before="0" w:after="0"/>
        <w:ind w:left="360" w:right="0" w:hanging="288"/>
        <w:rPr/>
      </w:pPr>
      <w:r>
        <w:rPr/>
        <w:t>●    </w:t>
      </w:r>
      <w:r>
        <w:rPr>
          <w:rFonts w:ascii="Times New Roman;Times;serif" w:hAnsi="Times New Roman;Times;serif"/>
          <w:sz w:val="20"/>
        </w:rPr>
        <w:t>our interests could diverge from those of our foundries, or we may not be able to agree with them on ongoing development, manufacturing and operational activities, or on the amount, timing, or nature of further investments in our joint development;</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we may experience difficulties in transferring technology to a foundry;</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we may experience difficulties and delays in getting to and/or ramping production at foundries;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our control over the operations of foundries is limited;</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due to financial constraints, our joint development collaborators may be unable to meet their commitments to us and may pose credit risks for our transactions with them;</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due to differing business models or long-term business goals, our collaborators may decide not to join us in funding capital investment, which may result in higher levels of cash expenditures by us;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our cash flows may be inadequate to fund increased capital requirements;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we may experience difficulties or delays in collecting amounts due to us from our collaborators;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the terms of our arrangements may turn out to be unfavorable;</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we are migrating toward a fabless model as 300mm production becomes required and this increases risks related to less control over our critical production processes; and</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changes in tax, legal, or regulatory requirements may necessitate changes in our agreements.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term of the agreement, as amended, is the completion, termination, or expiration of the last statement of work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entered into pursuant to the joint development agreement.</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If our strategic relationships are unsuccessful, our business, results of operations, or financial condition may be materially adversely affected.</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market for semiconductor memory products is characterized by declines in average selling prices, which we expect to continue, and which could negatively affect our revenue and margins.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loss of one or several of our customers or reduced orders or pricing from existing customers may have a significant adverse effect on our operations and financial results.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34% of our total revenue for the three months ended March 31, 2022, and one of these customers accounted for more than 10% of our revenue during that period. Our four largest end customers together accounted for 47% of our total revenue for the year ended December 31, 2021,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face competition and expect competition to increase in the future. If we fail to compete effectively, our revenue growth and results of operations will be materially and adversely affected.</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ability to compete successfully depends on factors both within and outside of our control, including:</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the functionality and performance of our products and those of our competitors;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our relationships with our customers and other industry participants;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prices of our products and prices of our competitors’ products;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our ability to develop innovative products;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360" w:right="0" w:hanging="288"/>
        <w:rPr/>
      </w:pPr>
      <w:r>
        <w:rPr/>
        <w:t>●    </w:t>
      </w:r>
      <w:r>
        <w:rPr>
          <w:rFonts w:ascii="Times New Roman;Times;serif" w:hAnsi="Times New Roman;Times;serif"/>
          <w:sz w:val="20"/>
        </w:rPr>
        <w:t>our competitors’ greater resources to make acquisitions;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our ability to obtain adequate capital to finance operations;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our ability to retain high-level talent, including our management team and engineers; and</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the actions of our competitors, including merger and acquisition activity, launches of new products and other actions that could change the competitive landscape.</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costs may increase substantially if we or our third-party manufacturing contractors do not achieve satisfactory product yields or quality.</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complexity of our products may lead to defects, which could negatively impact our reputation with customers and result in liability.</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delays in development, manufacture and roll-out of new products;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additional development costs;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loss of, or delays in, market acceptance;</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diversion of technical and other resources from our other development efforts;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claims for damages by our customers or others against us; and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loss of credibility with our current and prospective customers.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Any such event could have a material adverse effect on our business, financial condition, and results of operations.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may experience difficulties in transitioning to new wafer fabrication process technologies or in achieving higher levels of design integration, which may result in reduced manufacturing yields, delays in product deliveries and increased expenses.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Changes to industry standards and technical requirements relevant to our products and markets could adversely affect our business, results of operations and prospects.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success depends on our ability to attract and retain key employees, and our failure to do so could harm our ability to grow our business and execute our business strategies.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currently maintain and are seeking to expand operations outside of the United States which exposes us to significant risks.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pStyle w:val="TextBody"/>
        <w:spacing w:before="0" w:after="0"/>
        <w:ind w:left="0" w:right="0" w:hanging="0"/>
        <w:rPr/>
      </w:pPr>
      <w:r>
        <w:rPr/>
        <w:t>​</w:t>
      </w:r>
    </w:p>
    <w:p>
      <w:pPr>
        <w:pStyle w:val="TextBody"/>
        <w:pBdr/>
        <w:spacing w:before="0" w:after="0"/>
        <w:ind w:left="360" w:right="0" w:hanging="288"/>
        <w:rPr/>
      </w:pPr>
      <w:r>
        <w:rPr/>
        <w:t xml:space="preserve">● </w:t>
      </w:r>
      <w:r>
        <w:rPr>
          <w:rFonts w:ascii="Times New Roman;Times;serif" w:hAnsi="Times New Roman;Times;serif"/>
          <w:sz w:val="20"/>
        </w:rPr>
        <w:t>public health issues, such as the COVID-19 pandemic, which can result in varying impacts to our business, employees, partners, customers, distributors or suppliers internationally as discussed elsewhere in this “Risk Factors” section;</w:t>
      </w:r>
    </w:p>
    <w:p>
      <w:pPr>
        <w:pStyle w:val="TextBody"/>
        <w:spacing w:before="0" w:after="0"/>
        <w:ind w:left="0" w:right="0" w:firstLine="360"/>
        <w:rPr/>
      </w:pPr>
      <w:r>
        <w:rPr/>
        <w:t>​</w:t>
      </w:r>
    </w:p>
    <w:p>
      <w:pPr>
        <w:pStyle w:val="TextBody"/>
        <w:pBdr/>
        <w:spacing w:before="0" w:after="0"/>
        <w:ind w:left="360" w:right="0" w:hanging="288"/>
        <w:rPr/>
      </w:pPr>
      <w:r>
        <w:rPr/>
        <w:t xml:space="preserve">● </w:t>
      </w:r>
      <w:r>
        <w:rPr>
          <w:rFonts w:ascii="Times New Roman;Times;serif" w:hAnsi="Times New Roman;Times;serif"/>
          <w:sz w:val="20"/>
        </w:rPr>
        <w:t>difficulties, inefficiencies and costs associated with staffing and managing foreign operations;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longer and more difficult customer qualification and credit checks;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greater difficulty collecting accounts receivable and longer payment cycles;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the need for various local approvals to operate in some countries;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difficulties in entering some foreign markets without larger-scale local operations;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changes in import/export laws, trade restrictions, regulations and customs and duties and tariffs (foreign and domestic);</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compliance with local laws and regulations;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unexpected changes in regulatory requirements, including the elimination of tax holidays;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reduced protection for intellectual property rights in some countries;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adverse tax consequences as a result of repatriating cash generated from foreign operations to the United States;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adverse tax consequences, including potential additional tax exposure if we are deemed to have established a permanent establishment outside of the United States;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the effectiveness of our policies and procedures designed to ensure compliance with the Foreign Corrupt Practices Act of 1977 and similar regulations;</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pStyle w:val="TextBody"/>
        <w:pBdr/>
        <w:spacing w:before="0" w:after="0"/>
        <w:ind w:left="360" w:right="0" w:hanging="288"/>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360" w:right="0" w:hanging="288"/>
        <w:rPr/>
      </w:pPr>
      <w:r>
        <w:rPr/>
        <w:t xml:space="preserve">● </w:t>
      </w:r>
      <w:r>
        <w:rPr>
          <w:rFonts w:ascii="Times New Roman;Times;serif" w:hAnsi="Times New Roman;Times;serif"/>
          <w:sz w:val="20"/>
        </w:rPr>
        <w:t>new and different sources of competition;</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political, economic, and social instability;</w:t>
      </w:r>
    </w:p>
    <w:p>
      <w:pPr>
        <w:pStyle w:val="TextBody"/>
        <w:pBdr/>
        <w:spacing w:before="0" w:after="0"/>
        <w:ind w:left="360" w:right="0" w:hanging="288"/>
        <w:rPr/>
      </w:pPr>
      <w:r>
        <w:rPr/>
        <w:t>​</w:t>
      </w:r>
    </w:p>
    <w:p>
      <w:pPr>
        <w:pStyle w:val="TextBody"/>
        <w:pBdr/>
        <w:spacing w:before="0" w:after="0"/>
        <w:ind w:left="360" w:right="0" w:hanging="288"/>
        <w:rPr/>
      </w:pPr>
      <w:r>
        <w:rPr/>
        <w:t xml:space="preserve">● </w:t>
      </w:r>
      <w:r>
        <w:rPr>
          <w:rFonts w:ascii="Times New Roman;Times;serif" w:hAnsi="Times New Roman;Times;serif"/>
          <w:sz w:val="20"/>
        </w:rPr>
        <w:t>terrorism and acts of war, such as the recent military conflict in Ukraine, which could have a negative impact on sales throughout Europe and Asia</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failure to manage any of these risks successfully could harm our operations and reduce our revenue.</w:t>
      </w:r>
    </w:p>
    <w:p>
      <w:pPr>
        <w:pStyle w:val="TextBody"/>
        <w:spacing w:before="0" w:after="0"/>
        <w:ind w:left="0" w:right="0" w:firstLine="360"/>
        <w:rPr/>
      </w:pPr>
      <w:r>
        <w:rPr/>
        <w:t>​</w:t>
      </w:r>
    </w:p>
    <w:p>
      <w:pPr>
        <w:pStyle w:val="TextBody"/>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We may not successfully manage the transitions associated with certain of our executive officers, which could have an adverse impact on us.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December 2020, Kevin Conley notified our board of directors of his decision to resign as President and Chief Executive Officer of the Company. In connection with Mr. Conley’s resignation, our board of directors appointed Darin Billerbeck to serve as Interim Chief Executive Officer of the Company until a permanent successor could be named. On February 28, 2022, our board of directors appointed Sanjeev Aggarwal to serve as the Company’s permanent President and Chief Executive Officer, effective March 14, 2022. Sanjeev Aggarwal currently serves as Chief Technology Officer and Vice President, Operations &amp; Technology R&amp;D.</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Although our board of directors is confident in the leadership of Sanjeev Aggarwal, leadership transitions can be inherently difficult to manage. An inadequate transition to a permanent Chief Executive Officer or with respect to other executive officer transitions, including the appointment of Anuj Aggarwal as the Company’s permanent Chief Financial Officer in September 2021, may cause disruption within the Company. Additionally, our financial performance and ability to meet operational goals and strategic plans may be adversely impacted, as well as our ability to retain and hire other key members of management.</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Risk Factors Related to Our Intellectual Property and Technology</w:t>
        <w:br/>
      </w:r>
      <w:r>
        <w:rPr>
          <w:rFonts w:ascii="Times New Roman;Times;serif" w:hAnsi="Times New Roman;Times;serif"/>
          <w:sz w:val="20"/>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Failure to protect our intellectual property could substantially harm our business.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cease the manufacture, use or sale of the infringing products, processes or technology;</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pay substantial damages for infringement;</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expend significant resources to develop non-infringing products, processes or technology, which may not be successful;</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license technology from the third-party claiming infringement, which license may not be available on commercially reasonable terms, or at all;</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cross-license our technology to a competitor to resolve an infringement claim, which could weaken our ability to compete with that competitor; or</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pay substantial damages to our customers to discontinue their use of or to replace infringing technology sold to them with non-infringing technology, if available.</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make significant investments in new technologies and products that may not achieve technological feasibility or profitability or that may limit our revenue growth.</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made and will continue to make significant investments in research and development of new technologies and products, including new and more technically advanced versions of our MRAM technology.</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Interruptions in our information technology systems could adversely affect our business.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 Factors Related to Regulatory Matters and Compliance</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Regulations related to “conflict minerals” may force us to incur additional expenses, may make our supply chain more complex and may result in damage to our reputation with customers.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Pursuant to the Dodd-Frank Wall Street Reform and Consumer Protection Act, the SEC has adopted requirements for companies that use certain minerals and metals, known as conflict minerals, in their products, whether or not these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ability to use net operating losses to offset future taxable income may be subject to certain limitations.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2021, we had gross federal net operating loss carryforwards of approximately $136.0 million, of which $95.2 million will expire in 2028 through 2037 if not utilized, and $40.8 million will carryover indefinitely. As of December 31, 2021, we had state net operating loss carryforwards of approximately $52.1 million, of which $49.3 million will expire in 2023 through 2042 if not utilized, and $2.6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Risks Related to Our Common Stock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expect that the price of our common stock will fluctuate substantially.</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market price of our common stock is likely to be highly volatile and may fluctuate substantially due to many factors, including:</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the duration and severity of the COVID-19 pandemic and its effects on our business, financial condition, results of operations and cash flows;</w:t>
      </w:r>
    </w:p>
    <w:p>
      <w:pPr>
        <w:pStyle w:val="TextBody"/>
        <w:pBdr/>
        <w:spacing w:before="0" w:after="0"/>
        <w:ind w:left="360" w:right="0" w:hanging="288"/>
        <w:rPr/>
      </w:pPr>
      <w:r>
        <w:rPr/>
        <w:t>​</w:t>
      </w:r>
    </w:p>
    <w:p>
      <w:pPr>
        <w:pStyle w:val="TextBody"/>
        <w:pBdr/>
        <w:spacing w:before="0" w:after="0"/>
        <w:ind w:left="360" w:right="0" w:hanging="288"/>
        <w:rPr/>
      </w:pPr>
      <w:r>
        <w:rPr/>
        <w:t>●    </w:t>
      </w:r>
      <w:r>
        <w:rPr>
          <w:rFonts w:ascii="Times New Roman;Times;serif" w:hAnsi="Times New Roman;Times;serif"/>
          <w:sz w:val="20"/>
        </w:rPr>
        <w:t>the introduction of new products or product enhancements by us or others in our industry;</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announcements by us or our competitors of significant acquisitions, strategic partnerships, joint ventures, capital commitments or restructurings;</w:t>
      </w:r>
    </w:p>
    <w:p>
      <w:pPr>
        <w:pStyle w:val="TextBody"/>
        <w:pBdr/>
        <w:spacing w:before="0" w:after="0"/>
        <w:ind w:left="360" w:right="0" w:hanging="288"/>
        <w:rPr/>
      </w:pPr>
      <w:r>
        <w:rPr/>
        <w:t>​</w:t>
      </w:r>
    </w:p>
    <w:p>
      <w:pPr>
        <w:pStyle w:val="TextBody"/>
        <w:pBdr/>
        <w:spacing w:before="0" w:after="0"/>
        <w:ind w:left="360" w:right="0" w:hanging="288"/>
        <w:rPr/>
      </w:pPr>
      <w:r>
        <w:rPr/>
        <w:t>●    </w:t>
      </w:r>
      <w:r>
        <w:rPr>
          <w:rFonts w:ascii="Times New Roman;Times;serif" w:hAnsi="Times New Roman;Times;serif"/>
          <w:sz w:val="20"/>
        </w:rPr>
        <w:t>disputes or other developments with respect to our or others’ intellectual property rights;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product liability claims or other litigation;</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quarterly variations in our results of operations or those of others in our industry;</w:t>
      </w:r>
    </w:p>
    <w:p>
      <w:pPr>
        <w:pStyle w:val="TextBody"/>
        <w:pBdr/>
        <w:spacing w:before="0" w:after="0"/>
        <w:ind w:left="360" w:right="0" w:hanging="288"/>
        <w:rPr/>
      </w:pPr>
      <w:r>
        <w:rPr/>
        <w:t>​</w:t>
      </w:r>
    </w:p>
    <w:p>
      <w:pPr>
        <w:pStyle w:val="TextBody"/>
        <w:pBdr/>
        <w:spacing w:before="0" w:after="0"/>
        <w:ind w:left="360" w:right="0" w:hanging="288"/>
        <w:rPr/>
      </w:pPr>
      <w:r>
        <w:rPr/>
        <w:t>●    </w:t>
      </w:r>
      <w:r>
        <w:rPr>
          <w:rFonts w:ascii="Times New Roman;Times;serif" w:hAnsi="Times New Roman;Times;serif"/>
          <w:sz w:val="20"/>
        </w:rPr>
        <w:t>sales of large blocks of our common stock, including sales by our executive officers and directors;</w:t>
      </w:r>
    </w:p>
    <w:p>
      <w:pPr>
        <w:pStyle w:val="TextBody"/>
        <w:pBdr/>
        <w:spacing w:before="0" w:after="0"/>
        <w:ind w:left="360" w:right="0" w:hanging="288"/>
        <w:rPr/>
      </w:pPr>
      <w:r>
        <w:rPr/>
        <w:t>​</w:t>
      </w:r>
    </w:p>
    <w:p>
      <w:pPr>
        <w:pStyle w:val="TextBody"/>
        <w:pBdr/>
        <w:spacing w:before="0" w:after="0"/>
        <w:ind w:left="360" w:right="0" w:hanging="288"/>
        <w:rPr/>
      </w:pPr>
      <w:r>
        <w:rPr/>
        <w:t>●    </w:t>
      </w:r>
      <w:r>
        <w:rPr>
          <w:rFonts w:ascii="Times New Roman;Times;serif" w:hAnsi="Times New Roman;Times;serif"/>
          <w:sz w:val="20"/>
        </w:rPr>
        <w:t>changes in senior management or key personnel;</w:t>
      </w:r>
    </w:p>
    <w:p>
      <w:pPr>
        <w:pStyle w:val="TextBody"/>
        <w:pBdr/>
        <w:spacing w:before="0" w:after="0"/>
        <w:ind w:left="360" w:right="0" w:hanging="288"/>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360" w:right="0" w:hanging="288"/>
        <w:rPr/>
      </w:pPr>
      <w:r>
        <w:rPr/>
        <w:t>●    </w:t>
      </w:r>
      <w:r>
        <w:rPr>
          <w:rFonts w:ascii="Times New Roman;Times;serif" w:hAnsi="Times New Roman;Times;serif"/>
          <w:sz w:val="20"/>
        </w:rPr>
        <w:t>changes in earnings estimates or recommendations by securities analysts; and</w:t>
      </w:r>
    </w:p>
    <w:p>
      <w:pPr>
        <w:pStyle w:val="TextBody"/>
        <w:pBdr/>
        <w:spacing w:before="0" w:after="0"/>
        <w:ind w:left="360" w:right="0" w:hanging="288"/>
        <w:rPr/>
      </w:pPr>
      <w:r>
        <w:rPr/>
        <w:t>​</w:t>
      </w:r>
    </w:p>
    <w:p>
      <w:pPr>
        <w:pStyle w:val="TextBody"/>
        <w:pBdr/>
        <w:spacing w:before="0" w:after="0"/>
        <w:ind w:left="360" w:right="0" w:hanging="288"/>
        <w:rPr/>
      </w:pPr>
      <w:r>
        <w:rPr/>
        <w:t>●    </w:t>
      </w:r>
      <w:r>
        <w:rPr>
          <w:rFonts w:ascii="Times New Roman;Times;serif" w:hAnsi="Times New Roman;Times;serif"/>
          <w:sz w:val="20"/>
        </w:rPr>
        <w:t>general market conditions and other factors, including factors unrelated to our operating performance or the operating performance of our competitors, including those due to the duration and severity of the COVID-19 pandemic and the recent military conflict in Ukraine.</w:t>
      </w:r>
    </w:p>
    <w:p>
      <w:pPr>
        <w:pStyle w:val="TextBody"/>
        <w:pBdr/>
        <w:spacing w:before="0" w:after="0"/>
        <w:ind w:left="360" w:right="0" w:hanging="288"/>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These and other factors may make the price of our stock volatile and subject to unexpected fluctuation.</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Provisions in our corporate charter documents and under Delaware law could make an acquisition of us more difficult and may prevent attempts by our stockholders to replace or remove our current management.</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our amended and restated certificate of incorporation prohibits cumulative voting in the election of directors, which limits the ability of minority stockholders to elect director candidates;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pStyle w:val="TextBody"/>
        <w:spacing w:before="0" w:after="0"/>
        <w:ind w:left="0" w:right="0" w:hanging="0"/>
        <w:rPr/>
      </w:pPr>
      <w:r>
        <w:rPr/>
        <w:t>​</w:t>
      </w:r>
    </w:p>
    <w:p>
      <w:pPr>
        <w:pStyle w:val="TextBody"/>
        <w:pBdr/>
        <w:spacing w:before="0" w:after="0"/>
        <w:ind w:left="360" w:right="0" w:hanging="288"/>
        <w:rPr/>
      </w:pPr>
      <w:r>
        <w:rPr/>
        <w:t>●    </w:t>
      </w:r>
      <w:r>
        <w:rPr>
          <w:rFonts w:ascii="Times New Roman;Times;serif" w:hAnsi="Times New Roman;Times;serif"/>
          <w:sz w:val="20"/>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360" w:right="0" w:hanging="288"/>
        <w:rPr/>
      </w:pPr>
      <w:r>
        <w:rPr/>
        <w:t>●    </w:t>
      </w:r>
      <w:r>
        <w:rPr>
          <w:rFonts w:ascii="Times New Roman;Times;serif" w:hAnsi="Times New Roman;Times;serif"/>
          <w:sz w:val="20"/>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shd w:fill="FFFFFF" w:val="clear"/>
        <w:spacing w:before="0" w:after="0"/>
        <w:ind w:left="0" w:right="0" w:firstLine="540"/>
        <w:rPr/>
      </w:pPr>
      <w:r>
        <w:rPr/>
        <w:t>​</w:t>
      </w:r>
    </w:p>
    <w:p>
      <w:pPr>
        <w:pStyle w:val="TextBody"/>
        <w:shd w:fill="FFFFFF" w:val="clear"/>
        <w:spacing w:before="0" w:after="0"/>
        <w:ind w:left="0" w:right="0" w:firstLine="360"/>
        <w:rPr>
          <w:rFonts w:ascii="Times New Roman;Times;serif" w:hAnsi="Times New Roman;Times;serif"/>
          <w:sz w:val="20"/>
        </w:rPr>
      </w:pPr>
      <w:r>
        <w:rPr>
          <w:rFonts w:ascii="Times New Roman;Times;serif" w:hAnsi="Times New Roman;Times;serif"/>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pBdr/>
        <w:shd w:fill="FFFFFF" w:val="clear"/>
        <w:spacing w:before="0" w:after="0"/>
        <w:ind w:left="360" w:right="0" w:hanging="270"/>
        <w:rPr/>
      </w:pPr>
      <w:r>
        <w:rPr/>
        <w:t>●    </w:t>
      </w:r>
      <w:r>
        <w:rPr>
          <w:rFonts w:ascii="Times New Roman;Times;serif" w:hAnsi="Times New Roman;Times;serif"/>
          <w:sz w:val="20"/>
        </w:rPr>
        <w:t>any derivative action or proceeding brought on our behalf;</w:t>
      </w:r>
    </w:p>
    <w:p>
      <w:pPr>
        <w:pStyle w:val="TextBody"/>
        <w:pBdr/>
        <w:shd w:fill="FFFFFF" w:val="clear"/>
        <w:spacing w:before="0" w:after="0"/>
        <w:ind w:left="360" w:right="0" w:hanging="270"/>
        <w:rPr/>
      </w:pPr>
      <w:r>
        <w:rPr/>
        <w:t>●    </w:t>
      </w:r>
      <w:r>
        <w:rPr>
          <w:rFonts w:ascii="Times New Roman;Times;serif" w:hAnsi="Times New Roman;Times;serif"/>
          <w:sz w:val="20"/>
        </w:rPr>
        <w:t>any action asserting a claim of breach of a fiduciary duty owed by any director, officer or other employee to us or our stockholders;</w:t>
      </w:r>
    </w:p>
    <w:p>
      <w:pPr>
        <w:pStyle w:val="TextBody"/>
        <w:pBdr/>
        <w:shd w:fill="FFFFFF" w:val="clear"/>
        <w:spacing w:before="0" w:after="0"/>
        <w:ind w:left="360" w:right="0" w:hanging="270"/>
        <w:rPr/>
      </w:pPr>
      <w:r>
        <w:rPr/>
        <w:t>●    </w:t>
      </w:r>
      <w:r>
        <w:rPr>
          <w:rFonts w:ascii="Times New Roman;Times;serif" w:hAnsi="Times New Roman;Times;serif"/>
          <w:sz w:val="20"/>
        </w:rPr>
        <w:t>any action asserting a claim against us arising under the Delaware General Corporation Law, our amended and restated certificate of incorporation or our amended and restated bylaws; and</w:t>
      </w:r>
    </w:p>
    <w:p>
      <w:pPr>
        <w:pStyle w:val="TextBody"/>
        <w:pBdr/>
        <w:shd w:fill="FFFFFF" w:val="clear"/>
        <w:spacing w:before="0" w:after="0"/>
        <w:ind w:left="360" w:right="0" w:hanging="270"/>
        <w:rPr/>
      </w:pPr>
      <w:r>
        <w:rPr/>
        <w:t>●    </w:t>
      </w:r>
      <w:r>
        <w:rPr>
          <w:rFonts w:ascii="Times New Roman;Times;serif" w:hAnsi="Times New Roman;Times;serif"/>
          <w:sz w:val="20"/>
        </w:rPr>
        <w:t>any action asserting a claim against us that is governed by the internal-affairs doctrine.</w:t>
      </w:r>
    </w:p>
    <w:p>
      <w:pPr>
        <w:pStyle w:val="TextBody"/>
        <w:shd w:fill="FFFFFF" w:val="clear"/>
        <w:spacing w:before="0" w:after="0"/>
        <w:ind w:left="0" w:right="0" w:hanging="0"/>
        <w:rPr/>
      </w:pPr>
      <w:r>
        <w:rPr/>
        <w:t>​</w:t>
      </w:r>
    </w:p>
    <w:p>
      <w:pPr>
        <w:pStyle w:val="TextBody"/>
        <w:shd w:fill="FFFFFF" w:val="clear"/>
        <w:spacing w:before="0" w:after="0"/>
        <w:ind w:left="0" w:right="0" w:firstLine="360"/>
        <w:rPr>
          <w:rFonts w:ascii="Times New Roman;Times;serif" w:hAnsi="Times New Roman;Times;serif"/>
          <w:sz w:val="20"/>
        </w:rPr>
      </w:pPr>
      <w:r>
        <w:rPr>
          <w:rFonts w:ascii="Times New Roman;Times;serif" w:hAnsi="Times New Roman;Times;serif"/>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w:t>
      </w:r>
      <w:r>
        <w:rPr>
          <w:rFonts w:ascii="Times New Roman;Times;serif" w:hAnsi="Times New Roman;Times;serif"/>
          <w:color w:val="212529"/>
          <w:sz w:val="20"/>
        </w:rPr>
        <w:t xml:space="preserve"> that, unless we consent in 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hd w:fill="FFFFFF" w:val="clear"/>
        <w:spacing w:before="0" w:after="0"/>
        <w:ind w:left="0" w:right="0" w:firstLine="540"/>
        <w:rPr>
          <w:color w:val="212529"/>
        </w:rPr>
      </w:pPr>
      <w:r>
        <w:rPr>
          <w:color w:val="212529"/>
        </w:rPr>
        <w:t>​</w:t>
      </w:r>
    </w:p>
    <w:p>
      <w:pPr>
        <w:pStyle w:val="TextBody"/>
        <w:shd w:fill="FFFFFF" w:val="clear"/>
        <w:spacing w:before="0" w:after="0"/>
        <w:ind w:left="0" w:right="0" w:firstLine="360"/>
        <w:rPr>
          <w:rFonts w:ascii="Times New Roman;Times;serif" w:hAnsi="Times New Roman;Times;serif"/>
          <w:sz w:val="20"/>
        </w:rPr>
      </w:pPr>
      <w:r>
        <w:rPr>
          <w:rFonts w:ascii="Times New Roman;Times;serif" w:hAnsi="Times New Roman;Times;serif"/>
          <w:color w:val="212529"/>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Times New Roman;Times;serif" w:hAnsi="Times New Roman;Times;serif"/>
          <w:sz w:val="20"/>
        </w:rPr>
        <w:t xml:space="preserve">further significant </w:t>
      </w:r>
      <w:r>
        <w:rPr>
          <w:rFonts w:ascii="Times New Roman;Times;serif" w:hAnsi="Times New Roman;Times;serif"/>
          <w:color w:val="212529"/>
          <w:sz w:val="20"/>
        </w:rPr>
        <w:t xml:space="preserve">additional costs associated with resolving the dispute in other jurisdictions, </w:t>
      </w:r>
      <w:r>
        <w:rPr>
          <w:rFonts w:ascii="Times New Roman;Times;serif" w:hAnsi="Times New Roman;Times;serif"/>
          <w:sz w:val="20"/>
        </w:rPr>
        <w:t xml:space="preserve">all of </w:t>
      </w:r>
      <w:r>
        <w:rPr>
          <w:rFonts w:ascii="Times New Roman;Times;serif" w:hAnsi="Times New Roman;Times;serif"/>
          <w:color w:val="212529"/>
          <w:sz w:val="20"/>
        </w:rPr>
        <w:t>which could seriously harm our business.</w:t>
      </w:r>
    </w:p>
    <w:p>
      <w:pPr>
        <w:pStyle w:val="TextBody"/>
        <w:shd w:fill="FFFFFF" w:val="clear"/>
        <w:spacing w:before="0" w:after="0"/>
        <w:ind w:left="0" w:right="0" w:firstLine="360"/>
        <w:rPr>
          <w:color w:val="212529"/>
        </w:rPr>
      </w:pPr>
      <w:r>
        <w:rPr>
          <w:color w:val="212529"/>
        </w:rPr>
        <w:t>​</w:t>
      </w:r>
    </w:p>
    <w:p>
      <w:pPr>
        <w:pStyle w:val="TextBody"/>
        <w:shd w:fill="FFFFFF" w:val="clear"/>
        <w:spacing w:before="0" w:after="0"/>
        <w:ind w:left="0" w:right="0" w:hanging="0"/>
        <w:rPr>
          <w:rFonts w:ascii="Times New Roman;Times;serif" w:hAnsi="Times New Roman;Times;serif"/>
          <w:b/>
          <w:i/>
          <w:sz w:val="20"/>
        </w:rPr>
      </w:pPr>
      <w:bookmarkStart w:id="890" w:name="_Hlk94778483"/>
      <w:bookmarkEnd w:id="890"/>
      <w:r>
        <w:rPr>
          <w:rFonts w:ascii="Times New Roman;Times;serif" w:hAnsi="Times New Roman;Times;serif"/>
          <w:b/>
          <w:i/>
          <w:sz w:val="20"/>
        </w:rPr>
        <w:t>Effective December 31, 2021, we ceased to be an “emerging growth company,” and certain reduced reporting requirements applicable to emerging growth companies no longer apply to us, which is expected to increase our costs as a public company and place additional demands on management.</w:t>
      </w:r>
    </w:p>
    <w:p>
      <w:pPr>
        <w:pStyle w:val="TextBody"/>
        <w:shd w:fill="FFFFFF" w:val="clear"/>
        <w:spacing w:before="0" w:after="0"/>
        <w:ind w:left="0" w:right="0" w:hanging="0"/>
        <w:rPr>
          <w:color w:val="212529"/>
        </w:rPr>
      </w:pPr>
      <w:r>
        <w:rPr>
          <w:color w:val="212529"/>
        </w:rPr>
        <w:t>​</w:t>
      </w:r>
    </w:p>
    <w:p>
      <w:pPr>
        <w:pStyle w:val="TextBody"/>
        <w:shd w:fill="FFFFFF" w:val="clear"/>
        <w:spacing w:before="0" w:after="0"/>
        <w:ind w:left="0" w:right="0" w:firstLine="360"/>
        <w:rPr>
          <w:rFonts w:ascii="Times New Roman;Times;serif" w:hAnsi="Times New Roman;Times;serif"/>
          <w:sz w:val="20"/>
        </w:rPr>
      </w:pPr>
      <w:r>
        <w:rPr>
          <w:rFonts w:ascii="Times New Roman;Times;serif" w:hAnsi="Times New Roman;Times;serif"/>
          <w:sz w:val="20"/>
        </w:rPr>
        <w:t xml:space="preserve">Effective December 31, 2021, we ceased to be classified as an “emerging growth company” as defined in the Jumpstart Our Business Startups Act (the JOBS Act). We have previously taken advantage of certain reduced reporting requirements pursuant to the JOBS Act specifically applicable to emerging growth companies, including exemptions from the requirements of holding advisory “say-on-pay” and the related “say-on frequency” votes on executive compensation. Since we are no longer classified as an emerging growth company, we are now required to comply with those additional reporting requirements for which we were previously exempt. For example, we will be required to hold a say-on-pay vote and a say-on frequency vote at our 2022 annual meeting of stockholders. As a result, we expect that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we will require additional attention from management with respect to our additional reporting requirements and will incur increased costs, which could include higher legal fees, accounting fees, consultant fees and fees associated with investor relations activities, among others.</w:t>
      </w:r>
    </w:p>
    <w:p>
      <w:pPr>
        <w:pStyle w:val="TextBody"/>
        <w:shd w:fill="FFFFFF" w:val="clear"/>
        <w:spacing w:before="0" w:after="0"/>
        <w:ind w:left="0" w:right="0" w:firstLine="360"/>
        <w:rPr>
          <w:color w:val="212529"/>
        </w:rPr>
      </w:pPr>
      <w:r>
        <w:rPr>
          <w:color w:val="212529"/>
        </w:rPr>
        <w:t>​</w:t>
      </w:r>
    </w:p>
    <w:p>
      <w:pPr>
        <w:pStyle w:val="TextBody"/>
        <w:shd w:fill="FFFFFF" w:val="clear"/>
        <w:spacing w:before="0" w:after="0"/>
        <w:ind w:left="0" w:right="0" w:hanging="0"/>
        <w:rPr>
          <w:rFonts w:ascii="Times New Roman;Times;serif" w:hAnsi="Times New Roman;Times;serif"/>
          <w:b/>
          <w:color w:val="212529"/>
          <w:sz w:val="20"/>
        </w:rPr>
      </w:pPr>
      <w:r>
        <w:rPr>
          <w:rFonts w:ascii="Times New Roman;Times;serif" w:hAnsi="Times New Roman;Times;serif"/>
          <w:b/>
          <w:color w:val="212529"/>
          <w:sz w:val="20"/>
        </w:rPr>
        <w:t>General Risk Factors</w:t>
      </w:r>
    </w:p>
    <w:p>
      <w:pPr>
        <w:pStyle w:val="TextBody"/>
        <w:shd w:fill="FFFFFF" w:val="clear"/>
        <w:spacing w:before="0" w:after="0"/>
        <w:ind w:left="0" w:right="0" w:firstLine="360"/>
        <w:rPr>
          <w:color w:val="212529"/>
        </w:rPr>
      </w:pPr>
      <w:r>
        <w:rPr>
          <w:color w:val="212529"/>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Unfavorable economic and market conditions, domestically and internationally, may adversely affect our business, financial condition, results of operations and cash flows.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general economic factors that are beyond our control, including, but not limited to, housing markets, recession, inflation, deflation, consumer credit activity, consumer debt levels, fuel and energy costs, interest rates, tax rates and policy, unemployment trends, the impact of natural disasters such as pandemics, civil disturbances, terrorist activities, and acts of war, including the recent military conflict in Ukraine, may adversely impact consumer spending, which may adversely impact our customers’ spending and demand for our products. Additionally, the recent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business may be adversely impacted by natural disasters and other catastrophic events.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pStyle w:val="TextBody"/>
        <w:shd w:fill="FFFFFF" w:val="clear"/>
        <w:spacing w:before="0" w:after="0"/>
        <w:ind w:left="0" w:right="0" w:firstLine="360"/>
        <w:rPr>
          <w:color w:val="1F497D"/>
        </w:rPr>
      </w:pPr>
      <w:r>
        <w:rPr>
          <w:color w:val="1F497D"/>
        </w:rPr>
        <w:t>​</w:t>
      </w:r>
    </w:p>
    <w:p>
      <w:pPr>
        <w:pStyle w:val="TextBody"/>
        <w:spacing w:before="0" w:after="0"/>
        <w:ind w:left="0" w:right="0" w:hanging="0"/>
        <w:rPr>
          <w:rFonts w:ascii="Times New Roman;Times;serif" w:hAnsi="Times New Roman;Times;serif"/>
          <w:b/>
          <w:sz w:val="20"/>
        </w:rPr>
      </w:pPr>
      <w:bookmarkStart w:id="891" w:name="Item2RecentSalesofUnregisteredSecurities"/>
      <w:bookmarkStart w:id="892" w:name="_54bae8d5_497e_4fae_bbf4_b1d82305f587"/>
      <w:bookmarkEnd w:id="891"/>
      <w:bookmarkEnd w:id="892"/>
      <w:r>
        <w:rPr>
          <w:rFonts w:ascii="Times New Roman;Times;serif" w:hAnsi="Times New Roman;Times;serif"/>
          <w:b/>
          <w:sz w:val="20"/>
        </w:rPr>
        <w:t>Item 2. Unregistered Sales of Equity Securities and Use of Proceeds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bookmarkStart w:id="893" w:name="Item3DefaultsUponSeniorSecurities_22642"/>
      <w:bookmarkStart w:id="894" w:name="_0c6dfc5f_3c6c_4e03_a50e_6c758106ab08"/>
      <w:bookmarkEnd w:id="893"/>
      <w:bookmarkEnd w:id="894"/>
      <w:r>
        <w:rPr>
          <w:rFonts w:ascii="Times New Roman;Times;serif" w:hAnsi="Times New Roman;Times;serif"/>
          <w:b/>
          <w:sz w:val="20"/>
        </w:rPr>
        <w:t>Item 3. Defaults Upon Senior Securities.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bookmarkStart w:id="895" w:name="Item4MineSafetyDisclosures_74296"/>
      <w:bookmarkStart w:id="896" w:name="_9b3f12c5_ad79_4fb6_898c_66a8561685e1"/>
      <w:bookmarkEnd w:id="895"/>
      <w:bookmarkEnd w:id="896"/>
      <w:r>
        <w:rPr>
          <w:rFonts w:ascii="Times New Roman;Times;serif" w:hAnsi="Times New Roman;Times;serif"/>
          <w:b/>
          <w:sz w:val="20"/>
        </w:rPr>
        <w:t>Item 4. Mine Safety Disclosures.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360"/>
        <w:rPr/>
      </w:pPr>
      <w:r>
        <w:rPr/>
        <w:t>​</w:t>
      </w:r>
    </w:p>
    <w:p>
      <w:pPr>
        <w:pStyle w:val="TextBody"/>
        <w:spacing w:before="0" w:after="0"/>
        <w:ind w:left="0" w:right="0" w:hanging="0"/>
        <w:rPr>
          <w:rFonts w:ascii="Times New Roman;Times;serif" w:hAnsi="Times New Roman;Times;serif"/>
          <w:b/>
          <w:sz w:val="20"/>
        </w:rPr>
      </w:pPr>
      <w:bookmarkStart w:id="897" w:name="Item5OtherInformation_766060"/>
      <w:bookmarkStart w:id="898" w:name="_6336d140_132a_4da9_8817_41517c909394"/>
      <w:bookmarkEnd w:id="897"/>
      <w:bookmarkEnd w:id="898"/>
      <w:r>
        <w:rPr>
          <w:rFonts w:ascii="Times New Roman;Times;serif" w:hAnsi="Times New Roman;Times;serif"/>
          <w:b/>
          <w:sz w:val="20"/>
        </w:rPr>
        <w:t>Item 5. Other Information.</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firstLine="36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899" w:name="Item6Exhibits_873093"/>
      <w:bookmarkStart w:id="900" w:name="_7e7f922b_3396_4622_89fd_b976f2ffe1fa"/>
      <w:bookmarkEnd w:id="899"/>
      <w:bookmarkEnd w:id="900"/>
      <w:r>
        <w:rPr>
          <w:rFonts w:ascii="Times New Roman;Times;serif" w:hAnsi="Times New Roman;Times;serif"/>
          <w:b/>
          <w:sz w:val="20"/>
        </w:rPr>
        <w:t>Item 6. Exhibits</w:t>
      </w:r>
    </w:p>
    <w:p>
      <w:pPr>
        <w:pStyle w:val="TextBody"/>
        <w:spacing w:before="0" w:after="0"/>
        <w:ind w:left="0" w:right="0" w:hanging="0"/>
        <w:rPr/>
      </w:pPr>
      <w:r>
        <w:rPr/>
        <w:t>​</w:t>
      </w:r>
    </w:p>
    <w:p>
      <w:pPr>
        <w:pStyle w:val="TextBody"/>
        <w:spacing w:lineRule="atLeast" w:line="220" w:before="0" w:after="0"/>
        <w:ind w:left="0" w:right="0" w:hanging="0"/>
        <w:jc w:val="center"/>
        <w:rPr>
          <w:rFonts w:ascii="Times New Roman;Times;serif" w:hAnsi="Times New Roman;Times;serif"/>
          <w:b/>
          <w:sz w:val="20"/>
        </w:rPr>
      </w:pPr>
      <w:bookmarkStart w:id="901" w:name="EXHIBITINDEX_968187"/>
      <w:bookmarkStart w:id="902" w:name="_42f0f24d_85f0_4418_9f67_91909cfe4114"/>
      <w:bookmarkEnd w:id="901"/>
      <w:bookmarkEnd w:id="902"/>
      <w:r>
        <w:rPr>
          <w:rFonts w:ascii="Times New Roman;Times;serif" w:hAnsi="Times New Roman;Times;serif"/>
          <w:b/>
          <w:sz w:val="20"/>
        </w:rPr>
        <w:t>EXHIBIT INDEX</w:t>
      </w:r>
    </w:p>
    <w:p>
      <w:pPr>
        <w:pStyle w:val="TextBody"/>
        <w:spacing w:lineRule="atLeast" w:line="200" w:before="0" w:after="0"/>
        <w:ind w:left="0" w:right="0" w:hanging="0"/>
        <w:rPr/>
      </w:pPr>
      <w:r>
        <w:rPr/>
        <w:t>​</w:t>
      </w:r>
    </w:p>
    <w:tbl>
      <w:tblPr>
        <w:tblW w:w="10205" w:type="dxa"/>
        <w:jc w:val="left"/>
        <w:tblInd w:w="0" w:type="dxa"/>
        <w:tblCellMar>
          <w:top w:w="0" w:type="dxa"/>
          <w:left w:w="0" w:type="dxa"/>
          <w:bottom w:w="0" w:type="dxa"/>
          <w:right w:w="0" w:type="dxa"/>
        </w:tblCellMar>
      </w:tblPr>
      <w:tblGrid>
        <w:gridCol w:w="706"/>
        <w:gridCol w:w="109"/>
        <w:gridCol w:w="5536"/>
        <w:gridCol w:w="109"/>
        <w:gridCol w:w="511"/>
        <w:gridCol w:w="109"/>
        <w:gridCol w:w="1036"/>
        <w:gridCol w:w="109"/>
        <w:gridCol w:w="826"/>
        <w:gridCol w:w="146"/>
        <w:gridCol w:w="1008"/>
      </w:tblGrid>
      <w:tr>
        <w:trPr/>
        <w:tc>
          <w:tcPr>
            <w:tcW w:w="70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5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59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highlight w:val="white"/>
              </w:rPr>
            </w:pPr>
            <w:r>
              <w:rPr>
                <w:rFonts w:ascii="Times New Roman;Times;serif" w:hAnsi="Times New Roman;Times;serif"/>
                <w:b/>
                <w:sz w:val="16"/>
                <w:highlight w:val="white"/>
              </w:rPr>
              <w:t>Incorporation By Reference</w:t>
            </w:r>
          </w:p>
        </w:tc>
        <w:tc>
          <w:tcPr>
            <w:tcW w:w="146" w:type="dxa"/>
            <w:tcBorders/>
            <w:shd w:fill="auto" w:val="clear"/>
            <w:vAlign w:val="center"/>
          </w:tcPr>
          <w:p>
            <w:pPr>
              <w:pStyle w:val="TableContents"/>
              <w:spacing w:before="0" w:after="0"/>
              <w:ind w:left="0" w:right="0" w:hanging="0"/>
              <w:jc w:val="center"/>
              <w:rPr/>
            </w:pPr>
            <w:r>
              <w:rPr/>
              <w:t> </w:t>
            </w:r>
          </w:p>
        </w:tc>
        <w:tc>
          <w:tcPr>
            <w:tcW w:w="1008" w:type="dxa"/>
            <w:tcBorders/>
            <w:shd w:fill="auto" w:val="clear"/>
            <w:vAlign w:val="center"/>
          </w:tcPr>
          <w:p>
            <w:pPr>
              <w:pStyle w:val="TableContents"/>
              <w:spacing w:before="0" w:after="0"/>
              <w:ind w:left="0" w:right="0" w:hanging="0"/>
              <w:rPr/>
            </w:pPr>
            <w:r>
              <w:rPr/>
              <w:t>​</w:t>
            </w:r>
          </w:p>
        </w:tc>
      </w:tr>
      <w:tr>
        <w:trPr/>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p>
        </w:tc>
        <w:tc>
          <w:tcPr>
            <w:tcW w:w="55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109"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p>
        </w:tc>
        <w:tc>
          <w:tcPr>
            <w:tcW w:w="5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ind w:left="0" w:right="0" w:hanging="0"/>
              <w:rPr>
                <w:sz w:val="4"/>
                <w:szCs w:val="4"/>
              </w:rPr>
            </w:pPr>
            <w:r>
              <w:rPr>
                <w:sz w:val="4"/>
                <w:szCs w:val="4"/>
              </w:rPr>
            </w:r>
          </w:p>
        </w:tc>
        <w:tc>
          <w:tcPr>
            <w:tcW w:w="103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 No.</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ind w:left="0" w:right="0" w:hanging="0"/>
              <w:rPr>
                <w:sz w:val="4"/>
                <w:szCs w:val="4"/>
              </w:rPr>
            </w:pPr>
            <w:r>
              <w:rPr>
                <w:sz w:val="4"/>
                <w:szCs w:val="4"/>
              </w:rPr>
            </w:r>
          </w:p>
        </w:tc>
        <w:tc>
          <w:tcPr>
            <w:tcW w:w="8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Reference</w:t>
            </w:r>
          </w:p>
        </w:tc>
        <w:tc>
          <w:tcPr>
            <w:tcW w:w="146"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p>
        </w:tc>
        <w:tc>
          <w:tcPr>
            <w:tcW w:w="100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3.1</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536" w:type="dxa"/>
            <w:tcBorders/>
            <w:shd w:fill="auto" w:val="clear"/>
            <w:vAlign w:val="center"/>
          </w:tcPr>
          <w:p>
            <w:pPr>
              <w:pStyle w:val="TableContents"/>
              <w:spacing w:before="0" w:after="0"/>
              <w:ind w:left="0" w:right="0" w:hanging="0"/>
              <w:rPr/>
            </w:pPr>
            <w:hyperlink r:id="rId2">
              <w:r>
                <w:rPr>
                  <w:rStyle w:val="InternetLink"/>
                  <w:rFonts w:ascii="Times New Roman;Times;serif" w:hAnsi="Times New Roman;Times;serif"/>
                  <w:b w:val="false"/>
                  <w:i w:val="false"/>
                  <w:caps w:val="false"/>
                  <w:smallCaps w:val="false"/>
                  <w:sz w:val="20"/>
                  <w:highlight w:val="white"/>
                </w:rPr>
                <w:t>Amended and Restated Certificate of Incorporation</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10/13/2016</w:t>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3.1.1</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highlight w:val="white"/>
                </w:rPr>
                <w:t>Amendment</w:t>
              </w:r>
            </w:hyperlink>
            <w:hyperlink r:id="rId4">
              <w:r>
                <w:rPr>
                  <w:rStyle w:val="InternetLink"/>
                  <w:rFonts w:ascii="Times New Roman;Times;serif" w:hAnsi="Times New Roman;Times;serif"/>
                  <w:caps w:val="false"/>
                  <w:smallCaps w:val="false"/>
                  <w:sz w:val="20"/>
                  <w:highlight w:val="white"/>
                </w:rPr>
                <w:t xml:space="preserve"> </w:t>
              </w:r>
            </w:hyperlink>
            <w:hyperlink r:id="rId5">
              <w:r>
                <w:rPr>
                  <w:rStyle w:val="InternetLink"/>
                  <w:rFonts w:ascii="Times New Roman;Times;serif" w:hAnsi="Times New Roman;Times;serif"/>
                  <w:b w:val="false"/>
                  <w:i w:val="false"/>
                  <w:caps w:val="false"/>
                  <w:smallCaps w:val="false"/>
                  <w:sz w:val="20"/>
                  <w:highlight w:val="white"/>
                </w:rPr>
                <w:t>to Amended and Restated Certificate of Incorporation</w:t>
              </w:r>
            </w:hyperlink>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5/22/2019</w:t>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3.1.2</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536" w:type="dxa"/>
            <w:tcBorders/>
            <w:shd w:fill="auto" w:val="cle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Amendment to Amended and Restated Certificate of Incorporation</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5/27/2020</w:t>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3.2</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Amended and Restated Bylaws</w:t>
              </w:r>
            </w:hyperlink>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5/22/2019</w:t>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10.1</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hyperlink r:id="rId8">
              <w:r>
                <w:rPr>
                  <w:rStyle w:val="InternetLink"/>
                  <w:rFonts w:ascii="Times New Roman;Times;serif" w:hAnsi="Times New Roman;Times;serif"/>
                  <w:b w:val="false"/>
                  <w:i w:val="false"/>
                  <w:caps w:val="false"/>
                  <w:smallCaps w:val="false"/>
                  <w:sz w:val="20"/>
                </w:rPr>
                <w:t>First Amendment to Executive Employment Agreement, effective as of March 14, 2022, between Everspin Technologies, Inc. and Sanjeev Aggarwal</w:t>
              </w:r>
            </w:hyperlink>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46" w:type="dxa"/>
            <w:tcBorders/>
            <w:shd w:fill="auto" w:val="clear"/>
            <w:vAlign w:val="center"/>
          </w:tcPr>
          <w:p>
            <w:pPr>
              <w:pStyle w:val="TableContents"/>
              <w:spacing w:before="0" w:after="0"/>
              <w:ind w:left="0" w:right="0" w:hanging="0"/>
              <w:jc w:val="center"/>
              <w:rPr/>
            </w:pPr>
            <w:r>
              <w:rPr/>
              <w:t>​</w:t>
            </w:r>
          </w:p>
        </w:tc>
        <w:tc>
          <w:tcPr>
            <w:tcW w:w="100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3/2/2022</w:t>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10.2</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First Amendment to Offer Letter, effective as of March 14, 2022, between Everspin Technologies, Inc. and Darin Billerbeck</w:t>
              </w:r>
            </w:hyperlink>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3/2/2022</w:t>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10.3</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First Amendment to Executive Employment Agreement, effective as of March 14, 2022, between Everspin Technologies, Inc. and Anuj Aggarwal</w:t>
              </w:r>
            </w:hyperlink>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3/2/2022</w:t>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10.4</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Executive Change in Control Plan (as amended effective March 14, 2022)</w:t>
              </w:r>
            </w:hyperlink>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001-37900</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3/2/2022</w:t>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31.1*</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536" w:type="dxa"/>
            <w:tcBorders/>
            <w:shd w:fill="auto" w:val="clear"/>
            <w:vAlign w:val="center"/>
          </w:tcPr>
          <w:p>
            <w:pPr>
              <w:pStyle w:val="TableContents"/>
              <w:spacing w:before="0" w:after="0"/>
              <w:ind w:left="0" w:right="0" w:hanging="0"/>
              <w:rPr/>
            </w:pPr>
            <w:hyperlink w:anchor="mram-2022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Exchange Act</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rPr/>
            </w:pPr>
            <w:r>
              <w:rPr/>
              <w:t>​</w:t>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31.2*</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536" w:type="dxa"/>
            <w:tcBorders/>
            <w:shd w:fill="auto" w:val="clear"/>
            <w:vAlign w:val="center"/>
          </w:tcPr>
          <w:p>
            <w:pPr>
              <w:pStyle w:val="TableContents"/>
              <w:spacing w:before="0" w:after="0"/>
              <w:ind w:left="0" w:right="0" w:hanging="0"/>
              <w:rPr/>
            </w:pPr>
            <w:hyperlink w:anchor="mram-2022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Exchange Act</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8" w:type="dxa"/>
            <w:tcBorders/>
            <w:shd w:fill="auto" w:val="clear"/>
            <w:vAlign w:val="center"/>
          </w:tcPr>
          <w:p>
            <w:pPr>
              <w:pStyle w:val="TableContents"/>
              <w:spacing w:before="0" w:after="283"/>
              <w:ind w:left="0" w:right="0" w:hanging="0"/>
              <w:rPr>
                <w:sz w:val="4"/>
                <w:szCs w:val="4"/>
              </w:rPr>
            </w:pPr>
            <w:r>
              <w:rPr>
                <w:sz w:val="4"/>
                <w:szCs w:val="4"/>
              </w:rPr>
            </w:r>
          </w:p>
        </w:tc>
      </w:tr>
      <w:tr>
        <w:trPr/>
        <w:tc>
          <w:tcPr>
            <w:tcW w:w="70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5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8" w:type="dxa"/>
            <w:tcBorders/>
            <w:shd w:fill="auto" w:val="clear"/>
            <w:vAlign w:val="center"/>
          </w:tcPr>
          <w:p>
            <w:pPr>
              <w:pStyle w:val="TableContents"/>
              <w:spacing w:before="0" w:after="283"/>
              <w:ind w:left="0" w:right="0" w:hanging="0"/>
              <w:rPr>
                <w:sz w:val="4"/>
                <w:szCs w:val="4"/>
              </w:rPr>
            </w:pPr>
            <w:r>
              <w:rPr>
                <w:sz w:val="4"/>
                <w:szCs w:val="4"/>
              </w:rPr>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32.1**</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536" w:type="dxa"/>
            <w:tcBorders/>
            <w:shd w:fill="auto" w:val="clear"/>
            <w:vAlign w:val="center"/>
          </w:tcPr>
          <w:p>
            <w:pPr>
              <w:pStyle w:val="TableContents"/>
              <w:spacing w:before="0" w:after="0"/>
              <w:ind w:left="0" w:right="0" w:hanging="0"/>
              <w:rPr/>
            </w:pPr>
            <w:hyperlink w:anchor="mram-20220331xex32d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08" w:type="dxa"/>
            <w:tcBorders/>
            <w:shd w:fill="auto" w:val="clear"/>
            <w:vAlign w:val="center"/>
          </w:tcPr>
          <w:p>
            <w:pPr>
              <w:pStyle w:val="TableContents"/>
              <w:spacing w:before="0" w:after="283"/>
              <w:ind w:left="0" w:right="0" w:hanging="0"/>
              <w:rPr>
                <w:sz w:val="4"/>
                <w:szCs w:val="4"/>
              </w:rPr>
            </w:pPr>
            <w:r>
              <w:rPr>
                <w:sz w:val="4"/>
                <w:szCs w:val="4"/>
              </w:rPr>
            </w:r>
          </w:p>
        </w:tc>
      </w:tr>
      <w:tr>
        <w:trPr/>
        <w:tc>
          <w:tcPr>
            <w:tcW w:w="706"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08" w:type="dxa"/>
            <w:tcBorders/>
            <w:shd w:fill="auto" w:val="clear"/>
            <w:vAlign w:val="center"/>
          </w:tcPr>
          <w:p>
            <w:pPr>
              <w:pStyle w:val="TableContents"/>
              <w:spacing w:before="0" w:after="0"/>
              <w:ind w:left="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71"/>
        <w:gridCol w:w="109"/>
        <w:gridCol w:w="8407"/>
        <w:gridCol w:w="109"/>
        <w:gridCol w:w="109"/>
        <w:gridCol w:w="109"/>
        <w:gridCol w:w="109"/>
        <w:gridCol w:w="109"/>
        <w:gridCol w:w="109"/>
        <w:gridCol w:w="109"/>
        <w:gridCol w:w="155"/>
      </w:tblGrid>
      <w:tr>
        <w:trPr/>
        <w:tc>
          <w:tcPr>
            <w:tcW w:w="771"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101.INS*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40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771"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840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71"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101.SCH*</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40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771"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840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71"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101.CAL*</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40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771"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840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71"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101.DEF*</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40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771"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840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71"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101.LAB*</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40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771"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840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71"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101.PRE*</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40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771" w:type="dxa"/>
            <w:tcBorders/>
            <w:shd w:fill="auto" w:val="clear"/>
            <w:vAlign w:val="center"/>
          </w:tcPr>
          <w:p>
            <w:pPr>
              <w:pStyle w:val="TableContents"/>
              <w:spacing w:before="0" w:after="0"/>
              <w:ind w:left="0" w:right="0" w:hanging="0"/>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840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71"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104*</w:t>
            </w:r>
          </w:p>
        </w:tc>
        <w:tc>
          <w:tcPr>
            <w:tcW w:w="109" w:type="dxa"/>
            <w:tcBorders/>
            <w:shd w:fill="auto" w:val="clear"/>
            <w:vAlign w:val="center"/>
          </w:tcPr>
          <w:p>
            <w:pPr>
              <w:pStyle w:val="TableContents"/>
              <w:spacing w:before="0" w:after="0"/>
              <w:ind w:left="0" w:right="0" w:hanging="0"/>
              <w:rPr/>
            </w:pPr>
            <w:r>
              <w:rPr/>
              <w:t>​</w:t>
            </w:r>
          </w:p>
        </w:tc>
        <w:tc>
          <w:tcPr>
            <w:tcW w:w="840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bl>
    <w:p>
      <w:pPr>
        <w:pStyle w:val="TextBody"/>
        <w:pBdr/>
        <w:spacing w:before="0" w:after="0"/>
        <w:ind w:left="0" w:right="0" w:hanging="360"/>
        <w:rPr>
          <w:rFonts w:ascii="Times New Roman;Times;serif" w:hAnsi="Times New Roman;Times;serif"/>
          <w:sz w:val="20"/>
        </w:rPr>
      </w:pPr>
      <w:r>
        <w:rPr>
          <w:rFonts w:ascii="Times New Roman;Times;serif" w:hAnsi="Times New Roman;Times;serif"/>
          <w:sz w:val="20"/>
        </w:rPr>
        <w:t>*     Filed herewith.</w:t>
      </w:r>
    </w:p>
    <w:p>
      <w:pPr>
        <w:pStyle w:val="TextBody"/>
        <w:pBdr/>
        <w:spacing w:before="0" w:after="0"/>
        <w:ind w:left="0" w:right="0" w:hanging="360"/>
        <w:rPr>
          <w:rFonts w:ascii="Times New Roman;Times;serif" w:hAnsi="Times New Roman;Times;serif"/>
          <w:sz w:val="20"/>
        </w:rPr>
      </w:pPr>
      <w:r>
        <w:rPr>
          <w:rFonts w:ascii="Times New Roman;Times;serif" w:hAnsi="Times New Roman;Times;serif"/>
          <w:sz w:val="20"/>
        </w:rPr>
        <w:t>**   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48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903" w:name="SIGNATURES_72212"/>
      <w:bookmarkStart w:id="904" w:name="_1032602d_cbb8_441f_b580_bb8ef2d7dde5"/>
      <w:bookmarkEnd w:id="903"/>
      <w:bookmarkEnd w:id="904"/>
      <w:r>
        <w:rPr>
          <w:rFonts w:ascii="Times New Roman;Times;serif" w:hAnsi="Times New Roman;Times;serif"/>
          <w:b/>
          <w:sz w:val="20"/>
        </w:rPr>
        <w:t>SIGNATURES</w:t>
      </w:r>
    </w:p>
    <w:p>
      <w:pPr>
        <w:pStyle w:val="TextBody"/>
        <w:spacing w:before="0" w:after="0"/>
        <w:ind w:left="0" w:right="0" w:hanging="0"/>
        <w:jc w:val="center"/>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5913" w:type="dxa"/>
        <w:jc w:val="left"/>
        <w:tblInd w:w="0" w:type="dxa"/>
        <w:tblCellMar>
          <w:top w:w="0" w:type="dxa"/>
          <w:left w:w="0" w:type="dxa"/>
          <w:bottom w:w="0" w:type="dxa"/>
          <w:right w:w="0" w:type="dxa"/>
        </w:tblCellMar>
      </w:tblPr>
      <w:tblGrid>
        <w:gridCol w:w="1741"/>
        <w:gridCol w:w="406"/>
        <w:gridCol w:w="3766"/>
      </w:tblGrid>
      <w:tr>
        <w:trPr/>
        <w:tc>
          <w:tcPr>
            <w:tcW w:w="17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66"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120"/>
              <w:ind w:left="0" w:right="0" w:hanging="0"/>
              <w:rPr/>
            </w:pPr>
            <w:r>
              <w:rPr/>
              <w:t>​</w:t>
            </w:r>
          </w:p>
        </w:tc>
        <w:tc>
          <w:tcPr>
            <w:tcW w:w="4172"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Everspin Technologies, Inc.</w:t>
            </w:r>
          </w:p>
        </w:tc>
      </w:tr>
      <w:tr>
        <w:trPr/>
        <w:tc>
          <w:tcPr>
            <w:tcW w:w="1741" w:type="dxa"/>
            <w:tcBorders/>
            <w:shd w:fill="auto" w:val="clear"/>
            <w:vAlign w:val="center"/>
          </w:tcPr>
          <w:p>
            <w:pPr>
              <w:pStyle w:val="TableContents"/>
              <w:spacing w:before="0" w:after="120"/>
              <w:ind w:left="0" w:right="0" w:hanging="0"/>
              <w:rPr/>
            </w:pPr>
            <w:r>
              <w:rPr/>
              <w:t>​</w:t>
            </w:r>
          </w:p>
        </w:tc>
        <w:tc>
          <w:tcPr>
            <w:tcW w:w="4172" w:type="dxa"/>
            <w:gridSpan w:val="2"/>
            <w:tcBorders/>
            <w:shd w:fill="auto" w:val="clear"/>
            <w:vAlign w:val="center"/>
          </w:tcPr>
          <w:p>
            <w:pPr>
              <w:pStyle w:val="TableContents"/>
              <w:spacing w:before="0" w:after="12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12, 2022</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Sanjeev Aggarwal</w:t>
            </w:r>
          </w:p>
        </w:tc>
      </w:tr>
      <w:tr>
        <w:trPr/>
        <w:tc>
          <w:tcPr>
            <w:tcW w:w="1741" w:type="dxa"/>
            <w:tcBorders/>
            <w:shd w:fill="auto" w:val="clear"/>
            <w:vAlign w:val="center"/>
          </w:tcPr>
          <w:p>
            <w:pPr>
              <w:pStyle w:val="TableContents"/>
              <w:spacing w:before="0" w:after="120"/>
              <w:ind w:left="0" w:right="0" w:hanging="0"/>
              <w:rPr/>
            </w:pPr>
            <w:r>
              <w:rPr/>
              <w:t>​</w:t>
            </w:r>
          </w:p>
        </w:tc>
        <w:tc>
          <w:tcPr>
            <w:tcW w:w="406" w:type="dxa"/>
            <w:tcBorders/>
            <w:shd w:fill="auto" w:val="clear"/>
            <w:vAlign w:val="center"/>
          </w:tcPr>
          <w:p>
            <w:pPr>
              <w:pStyle w:val="TableContents"/>
              <w:spacing w:before="0" w:after="120"/>
              <w:ind w:left="0" w:right="0" w:hanging="0"/>
              <w:rPr/>
            </w:pPr>
            <w:r>
              <w:rPr/>
              <w:t>​</w:t>
            </w:r>
          </w:p>
        </w:tc>
        <w:tc>
          <w:tcPr>
            <w:tcW w:w="376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Sanjeev Aggarwal</w:t>
            </w:r>
          </w:p>
        </w:tc>
      </w:tr>
      <w:tr>
        <w:trPr/>
        <w:tc>
          <w:tcPr>
            <w:tcW w:w="1741" w:type="dxa"/>
            <w:tcBorders/>
            <w:shd w:fill="auto" w:val="clear"/>
            <w:vAlign w:val="center"/>
          </w:tcPr>
          <w:p>
            <w:pPr>
              <w:pStyle w:val="TableContents"/>
              <w:spacing w:before="0" w:after="120"/>
              <w:ind w:left="0" w:right="0" w:hanging="0"/>
              <w:rPr/>
            </w:pPr>
            <w:r>
              <w:rPr/>
              <w:t>​</w:t>
            </w:r>
          </w:p>
        </w:tc>
        <w:tc>
          <w:tcPr>
            <w:tcW w:w="406" w:type="dxa"/>
            <w:tcBorders/>
            <w:shd w:fill="auto" w:val="clear"/>
            <w:vAlign w:val="center"/>
          </w:tcPr>
          <w:p>
            <w:pPr>
              <w:pStyle w:val="TableContents"/>
              <w:spacing w:before="0" w:after="120"/>
              <w:ind w:left="0" w:right="0" w:hanging="0"/>
              <w:rPr/>
            </w:pPr>
            <w:r>
              <w:rPr/>
              <w:t>​</w:t>
            </w:r>
          </w:p>
        </w:tc>
        <w:tc>
          <w:tcPr>
            <w:tcW w:w="37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shd w:fill="auto" w:val="clear"/>
            <w:vAlign w:val="center"/>
          </w:tcPr>
          <w:p>
            <w:pPr>
              <w:pStyle w:val="TableContents"/>
              <w:spacing w:before="0" w:after="120"/>
              <w:ind w:left="0" w:right="0" w:hanging="0"/>
              <w:rPr/>
            </w:pPr>
            <w:r>
              <w:rPr/>
              <w:t>​</w:t>
            </w:r>
          </w:p>
        </w:tc>
        <w:tc>
          <w:tcPr>
            <w:tcW w:w="406" w:type="dxa"/>
            <w:tcBorders/>
            <w:shd w:fill="auto" w:val="clear"/>
            <w:vAlign w:val="center"/>
          </w:tcPr>
          <w:p>
            <w:pPr>
              <w:pStyle w:val="TableContents"/>
              <w:spacing w:before="0" w:after="120"/>
              <w:ind w:left="0" w:right="0" w:hanging="0"/>
              <w:rPr/>
            </w:pPr>
            <w:r>
              <w:rPr/>
              <w:t>​</w:t>
            </w:r>
          </w:p>
        </w:tc>
        <w:tc>
          <w:tcPr>
            <w:tcW w:w="37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(Principal Executive Officer) </w:t>
            </w:r>
          </w:p>
        </w:tc>
      </w:tr>
      <w:tr>
        <w:trPr/>
        <w:tc>
          <w:tcPr>
            <w:tcW w:w="1741" w:type="dxa"/>
            <w:tcBorders/>
            <w:shd w:fill="auto" w:val="clear"/>
            <w:vAlign w:val="center"/>
          </w:tcPr>
          <w:p>
            <w:pPr>
              <w:pStyle w:val="TableContents"/>
              <w:spacing w:before="0" w:after="120"/>
              <w:ind w:left="0" w:right="0" w:hanging="0"/>
              <w:rPr/>
            </w:pPr>
            <w:r>
              <w:rPr/>
              <w:t>​</w:t>
            </w:r>
          </w:p>
        </w:tc>
        <w:tc>
          <w:tcPr>
            <w:tcW w:w="406" w:type="dxa"/>
            <w:tcBorders/>
            <w:shd w:fill="auto" w:val="clear"/>
            <w:vAlign w:val="center"/>
          </w:tcPr>
          <w:p>
            <w:pPr>
              <w:pStyle w:val="TableContents"/>
              <w:spacing w:before="0" w:after="120"/>
              <w:ind w:left="0" w:right="0" w:hanging="0"/>
              <w:rPr/>
            </w:pPr>
            <w:r>
              <w:rPr/>
              <w:t>​</w:t>
            </w:r>
          </w:p>
        </w:tc>
        <w:tc>
          <w:tcPr>
            <w:tcW w:w="3766" w:type="dxa"/>
            <w:tcBorders/>
            <w:shd w:fill="auto" w:val="clear"/>
            <w:vAlign w:val="center"/>
          </w:tcPr>
          <w:p>
            <w:pPr>
              <w:pStyle w:val="TableContents"/>
              <w:spacing w:before="0" w:after="120"/>
              <w:ind w:left="0" w:right="0" w:hanging="0"/>
              <w:rPr/>
            </w:pPr>
            <w:r>
              <w:rPr/>
              <w:t>​</w:t>
            </w:r>
          </w:p>
        </w:tc>
      </w:tr>
      <w:tr>
        <w:trPr/>
        <w:tc>
          <w:tcPr>
            <w:tcW w:w="1741" w:type="dxa"/>
            <w:tcBorders/>
            <w:shd w:fill="auto" w:val="clear"/>
            <w:vAlign w:val="center"/>
          </w:tcPr>
          <w:p>
            <w:pPr>
              <w:pStyle w:val="TableContents"/>
              <w:spacing w:before="0" w:after="120"/>
              <w:ind w:left="0" w:right="0" w:hanging="0"/>
              <w:rPr/>
            </w:pPr>
            <w:r>
              <w:rPr/>
              <w:t>​</w:t>
            </w:r>
          </w:p>
        </w:tc>
        <w:tc>
          <w:tcPr>
            <w:tcW w:w="4172" w:type="dxa"/>
            <w:gridSpan w:val="2"/>
            <w:tcBorders/>
            <w:shd w:fill="auto" w:val="clear"/>
            <w:vAlign w:val="center"/>
          </w:tcPr>
          <w:p>
            <w:pPr>
              <w:pStyle w:val="TableContents"/>
              <w:spacing w:before="0" w:after="120"/>
              <w:ind w:left="0" w:right="0" w:hanging="0"/>
              <w:rPr/>
            </w:pPr>
            <w:r>
              <w:rPr/>
              <w:t>​</w:t>
            </w:r>
          </w:p>
        </w:tc>
      </w:tr>
      <w:tr>
        <w:trPr/>
        <w:tc>
          <w:tcPr>
            <w:tcW w:w="1741" w:type="dxa"/>
            <w:tcBorders/>
            <w:shd w:fill="auto" w:val="clear"/>
            <w:vAlign w:val="center"/>
          </w:tcPr>
          <w:p>
            <w:pPr>
              <w:pStyle w:val="TableContents"/>
              <w:spacing w:before="0" w:after="120"/>
              <w:ind w:left="0" w:right="0" w:hanging="0"/>
              <w:rPr/>
            </w:pPr>
            <w:r>
              <w:rPr/>
              <w:t>​</w:t>
            </w:r>
          </w:p>
        </w:tc>
        <w:tc>
          <w:tcPr>
            <w:tcW w:w="4172" w:type="dxa"/>
            <w:gridSpan w:val="2"/>
            <w:tcBorders/>
            <w:shd w:fill="auto" w:val="clear"/>
            <w:vAlign w:val="center"/>
          </w:tcPr>
          <w:p>
            <w:pPr>
              <w:pStyle w:val="TableContents"/>
              <w:spacing w:before="0" w:after="12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12, 2022</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Anuj Aggarwal</w:t>
            </w:r>
          </w:p>
        </w:tc>
      </w:tr>
      <w:tr>
        <w:trPr/>
        <w:tc>
          <w:tcPr>
            <w:tcW w:w="1741" w:type="dxa"/>
            <w:tcBorders/>
            <w:shd w:fill="auto" w:val="clear"/>
            <w:vAlign w:val="center"/>
          </w:tcPr>
          <w:p>
            <w:pPr>
              <w:pStyle w:val="TableContents"/>
              <w:spacing w:before="0" w:after="120"/>
              <w:ind w:left="0" w:right="0" w:hanging="0"/>
              <w:rPr/>
            </w:pPr>
            <w:r>
              <w:rPr/>
              <w:t>​</w:t>
            </w:r>
          </w:p>
        </w:tc>
        <w:tc>
          <w:tcPr>
            <w:tcW w:w="406" w:type="dxa"/>
            <w:tcBorders/>
            <w:shd w:fill="auto" w:val="clear"/>
            <w:vAlign w:val="center"/>
          </w:tcPr>
          <w:p>
            <w:pPr>
              <w:pStyle w:val="TableContents"/>
              <w:spacing w:before="0" w:after="120"/>
              <w:ind w:left="0" w:right="0" w:hanging="0"/>
              <w:rPr/>
            </w:pPr>
            <w:r>
              <w:rPr/>
              <w:t>​</w:t>
            </w:r>
          </w:p>
        </w:tc>
        <w:tc>
          <w:tcPr>
            <w:tcW w:w="376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Anuj Aggarwal</w:t>
            </w:r>
          </w:p>
        </w:tc>
      </w:tr>
      <w:tr>
        <w:trPr/>
        <w:tc>
          <w:tcPr>
            <w:tcW w:w="1741" w:type="dxa"/>
            <w:tcBorders/>
            <w:shd w:fill="auto" w:val="clear"/>
            <w:vAlign w:val="center"/>
          </w:tcPr>
          <w:p>
            <w:pPr>
              <w:pStyle w:val="TableContents"/>
              <w:spacing w:before="0" w:after="120"/>
              <w:ind w:left="0" w:right="0" w:hanging="0"/>
              <w:rPr/>
            </w:pPr>
            <w:r>
              <w:rPr/>
              <w:t>​</w:t>
            </w:r>
          </w:p>
        </w:tc>
        <w:tc>
          <w:tcPr>
            <w:tcW w:w="406" w:type="dxa"/>
            <w:tcBorders/>
            <w:shd w:fill="auto" w:val="clear"/>
            <w:vAlign w:val="center"/>
          </w:tcPr>
          <w:p>
            <w:pPr>
              <w:pStyle w:val="TableContents"/>
              <w:spacing w:before="0" w:after="120"/>
              <w:ind w:left="0" w:right="0" w:hanging="0"/>
              <w:rPr/>
            </w:pPr>
            <w:r>
              <w:rPr/>
              <w:t>​</w:t>
            </w:r>
          </w:p>
        </w:tc>
        <w:tc>
          <w:tcPr>
            <w:tcW w:w="37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shd w:fill="auto" w:val="clear"/>
            <w:vAlign w:val="center"/>
          </w:tcPr>
          <w:p>
            <w:pPr>
              <w:pStyle w:val="TableContents"/>
              <w:spacing w:before="0" w:after="120"/>
              <w:ind w:left="0" w:right="0" w:hanging="0"/>
              <w:rPr/>
            </w:pPr>
            <w:r>
              <w:rPr/>
              <w:t>​</w:t>
            </w:r>
          </w:p>
        </w:tc>
        <w:tc>
          <w:tcPr>
            <w:tcW w:w="406" w:type="dxa"/>
            <w:tcBorders/>
            <w:shd w:fill="auto" w:val="clear"/>
            <w:vAlign w:val="center"/>
          </w:tcPr>
          <w:p>
            <w:pPr>
              <w:pStyle w:val="TableContents"/>
              <w:spacing w:before="0" w:after="120"/>
              <w:ind w:left="0" w:right="0" w:hanging="0"/>
              <w:rPr/>
            </w:pPr>
            <w:r>
              <w:rPr/>
              <w:t>​</w:t>
            </w:r>
          </w:p>
        </w:tc>
        <w:tc>
          <w:tcPr>
            <w:tcW w:w="37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r>
        <w:br w:type="page"/>
      </w:r>
    </w:p>
    <w:p>
      <w:pPr>
        <w:pStyle w:val="TextBody"/>
        <w:spacing w:lineRule="auto" w:line="285" w:before="0" w:after="0"/>
        <w:ind w:left="0" w:right="0" w:hanging="0"/>
        <w:jc w:val="right"/>
        <w:rPr>
          <w:rFonts w:ascii="Times New Roman;Times;serif" w:hAnsi="Times New Roman;Times;serif"/>
          <w:b/>
          <w:sz w:val="20"/>
        </w:rPr>
      </w:pPr>
      <w:bookmarkStart w:id="905" w:name="mram-20220331xex31d1.htm"/>
      <w:bookmarkStart w:id="906" w:name="ksmram20220331xex31d1"/>
      <w:bookmarkEnd w:id="905"/>
      <w:bookmarkEnd w:id="906"/>
      <w:r>
        <w:rPr>
          <w:rFonts w:ascii="Times New Roman;Times;serif" w:hAnsi="Times New Roman;Times;serif"/>
          <w:b/>
          <w:sz w:val="20"/>
        </w:rPr>
        <w:t>Exhibit 31.1</w:t>
      </w:r>
    </w:p>
    <w:p>
      <w:pPr>
        <w:pStyle w:val="TextBody"/>
        <w:spacing w:lineRule="auto" w:line="285" w:before="0" w:after="0"/>
        <w:ind w:left="0" w:right="0" w:hanging="0"/>
        <w:jc w:val="right"/>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spacing w:lineRule="auto" w:line="285" w:before="0" w:after="0"/>
        <w:ind w:left="0" w:right="0" w:hanging="0"/>
        <w:jc w:val="center"/>
        <w:rPr/>
      </w:pPr>
      <w:r>
        <w:rPr/>
        <w:t>​</w:t>
      </w:r>
    </w:p>
    <w:p>
      <w:pPr>
        <w:pStyle w:val="TextBody"/>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Sanjeev Aggarwal, certify that:</w:t>
      </w:r>
    </w:p>
    <w:p>
      <w:pPr>
        <w:pStyle w:val="TextBody"/>
        <w:spacing w:lineRule="auto" w:line="285" w:before="0" w:after="0"/>
        <w:ind w:left="0" w:right="0" w:hanging="0"/>
        <w:jc w:val="both"/>
        <w:rPr/>
      </w:pPr>
      <w:r>
        <w:rPr/>
        <w:t>​</w:t>
      </w:r>
    </w:p>
    <w:tbl>
      <w:tblPr>
        <w:tblW w:w="5305" w:type="dxa"/>
        <w:jc w:val="left"/>
        <w:tblInd w:w="0" w:type="dxa"/>
        <w:tblCellMar>
          <w:top w:w="0" w:type="dxa"/>
          <w:left w:w="0" w:type="dxa"/>
          <w:bottom w:w="0" w:type="dxa"/>
          <w:right w:w="0" w:type="dxa"/>
        </w:tblCellMar>
      </w:tblPr>
      <w:tblGrid>
        <w:gridCol w:w="170"/>
        <w:gridCol w:w="5135"/>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1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Form 10-Q of Everspin Technologies, Inc.;</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85" w:before="0" w:after="0"/>
        <w:ind w:left="795" w:right="0" w:hanging="0"/>
        <w:rPr/>
      </w:pPr>
      <w:r>
        <w:rPr/>
        <w:t>​</w:t>
      </w:r>
    </w:p>
    <w:p>
      <w:pPr>
        <w:pStyle w:val="TextBody"/>
        <w:spacing w:lineRule="auto" w:line="285" w:before="0" w:after="0"/>
        <w:ind w:left="36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5" w:before="0" w:after="0"/>
        <w:ind w:left="360" w:right="0" w:hanging="0"/>
        <w:jc w:val="both"/>
        <w:rPr/>
      </w:pPr>
      <w:r>
        <w:rPr/>
        <w:t>​</w:t>
      </w:r>
    </w:p>
    <w:p>
      <w:pPr>
        <w:pStyle w:val="TextBody"/>
        <w:spacing w:lineRule="auto" w:line="285" w:before="0" w:after="0"/>
        <w:ind w:left="36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5" w:before="0" w:after="0"/>
        <w:ind w:left="360" w:right="0" w:hanging="0"/>
        <w:jc w:val="both"/>
        <w:rPr/>
      </w:pPr>
      <w:r>
        <w:rPr/>
        <w:t>​</w:t>
      </w:r>
    </w:p>
    <w:p>
      <w:pPr>
        <w:pStyle w:val="TextBody"/>
        <w:spacing w:lineRule="auto" w:line="285" w:before="0" w:after="0"/>
        <w:ind w:left="36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5" w:before="0" w:after="0"/>
        <w:ind w:left="360" w:right="0" w:hanging="0"/>
        <w:jc w:val="both"/>
        <w:rPr/>
      </w:pPr>
      <w:r>
        <w:rPr/>
        <w:t>​</w:t>
      </w:r>
    </w:p>
    <w:p>
      <w:pPr>
        <w:pStyle w:val="TextBody"/>
        <w:spacing w:lineRule="auto" w:line="285" w:before="0" w:after="0"/>
        <w:ind w:left="36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5" w:before="0" w:after="0"/>
        <w:ind w:left="88" w:right="0" w:hanging="0"/>
        <w:jc w:val="both"/>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85" w:before="0" w:after="0"/>
        <w:ind w:left="0" w:right="0" w:hanging="0"/>
        <w:rPr/>
      </w:pPr>
      <w:r>
        <w:rPr/>
        <w:t>​</w:t>
      </w:r>
    </w:p>
    <w:p>
      <w:pPr>
        <w:pStyle w:val="TextBody"/>
        <w:spacing w:lineRule="auto" w:line="285" w:before="0" w:after="0"/>
        <w:ind w:left="36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5" w:before="0" w:after="0"/>
        <w:ind w:left="360" w:right="0" w:hanging="0"/>
        <w:jc w:val="both"/>
        <w:rPr/>
      </w:pPr>
      <w:r>
        <w:rPr/>
        <w:t>​</w:t>
      </w:r>
    </w:p>
    <w:p>
      <w:pPr>
        <w:pStyle w:val="TextBody"/>
        <w:spacing w:lineRule="auto" w:line="285" w:before="0" w:after="0"/>
        <w:ind w:left="36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lineRule="auto" w:line="285" w:before="0" w:after="0"/>
        <w:ind w:left="88" w:right="0" w:hanging="0"/>
        <w:jc w:val="both"/>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12, 2022</w:t>
      </w:r>
    </w:p>
    <w:p>
      <w:pPr>
        <w:pStyle w:val="TextBody"/>
        <w:spacing w:lineRule="auto" w:line="285" w:before="0" w:after="0"/>
        <w:ind w:left="0" w:right="0" w:hanging="0"/>
        <w:rPr/>
      </w:pPr>
      <w:r>
        <w:rPr/>
        <w:t>​</w:t>
      </w:r>
    </w:p>
    <w:tbl>
      <w:tblPr>
        <w:tblW w:w="2667" w:type="dxa"/>
        <w:jc w:val="center"/>
        <w:tblInd w:w="0" w:type="dxa"/>
        <w:tblCellMar>
          <w:top w:w="0" w:type="dxa"/>
          <w:left w:w="0" w:type="dxa"/>
          <w:bottom w:w="0" w:type="dxa"/>
          <w:right w:w="0" w:type="dxa"/>
        </w:tblCellMar>
      </w:tblPr>
      <w:tblGrid>
        <w:gridCol w:w="161"/>
        <w:gridCol w:w="2506"/>
      </w:tblGrid>
      <w:tr>
        <w:trPr/>
        <w:tc>
          <w:tcPr>
            <w:tcW w:w="161" w:type="dxa"/>
            <w:tcBorders/>
            <w:shd w:fill="auto" w:val="clear"/>
            <w:vAlign w:val="center"/>
          </w:tcPr>
          <w:p>
            <w:pPr>
              <w:pStyle w:val="TableContents"/>
              <w:spacing w:lineRule="auto" w:line="285" w:before="0" w:after="0"/>
              <w:ind w:left="0" w:right="0" w:hanging="0"/>
              <w:rPr/>
            </w:pPr>
            <w:r>
              <w:rPr/>
              <w:t>​</w:t>
            </w:r>
          </w:p>
        </w:tc>
        <w:tc>
          <w:tcPr>
            <w:tcW w:w="2506" w:type="dxa"/>
            <w:tcBorders/>
            <w:shd w:fill="auto" w:val="clear"/>
            <w:vAlign w:val="center"/>
          </w:tcPr>
          <w:p>
            <w:pPr>
              <w:pStyle w:val="TableContents"/>
              <w:spacing w:lineRule="auto" w:line="285" w:before="0" w:after="0"/>
              <w:ind w:left="0" w:right="0" w:hanging="0"/>
              <w:rPr/>
            </w:pPr>
            <w:r>
              <w:rPr/>
              <w:t>​</w:t>
            </w:r>
          </w:p>
        </w:tc>
      </w:tr>
      <w:tr>
        <w:trPr/>
        <w:tc>
          <w:tcPr>
            <w:tcW w:w="161" w:type="dxa"/>
            <w:tcBorders>
              <w:bottom w:val="single" w:sz="2" w:space="0" w:color="FFFFFF"/>
            </w:tcBorders>
            <w:shd w:fill="auto" w:val="clear"/>
            <w:tcMar>
              <w:bottom w:w="28" w:type="dxa"/>
            </w:tcMar>
            <w:vAlign w:val="center"/>
          </w:tcPr>
          <w:p>
            <w:pPr>
              <w:pStyle w:val="TableContents"/>
              <w:spacing w:lineRule="auto" w:line="285" w:before="0" w:after="0"/>
              <w:ind w:left="0" w:right="0" w:hanging="0"/>
              <w:rPr/>
            </w:pPr>
            <w:r>
              <w:rPr/>
              <w:t> </w:t>
            </w:r>
          </w:p>
        </w:tc>
        <w:tc>
          <w:tcPr>
            <w:tcW w:w="250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Sanjeev Aggarwal</w:t>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2506"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Sanjeev Aggarwal</w:t>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2506"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Chief Executive Officer</w:t>
            </w:r>
          </w:p>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spacing w:lineRule="auto" w:line="285" w:before="0" w:after="0"/>
        <w:ind w:left="0" w:right="0" w:hanging="0"/>
        <w:rPr/>
      </w:pPr>
      <w:r>
        <w:rPr/>
        <w:t>​</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907" w:name="mram-20220331xex31d2.htm"/>
      <w:bookmarkStart w:id="908" w:name="ksmram20220331xex31d2"/>
      <w:bookmarkEnd w:id="907"/>
      <w:bookmarkEnd w:id="908"/>
      <w:r>
        <w:rPr>
          <w:rFonts w:ascii="Times New Roman;Times;serif" w:hAnsi="Times New Roman;Times;serif"/>
          <w:b/>
          <w:sz w:val="20"/>
        </w:rPr>
        <w:t>Exhibit 31.2</w:t>
      </w:r>
    </w:p>
    <w:p>
      <w:pPr>
        <w:pStyle w:val="TextBody"/>
        <w:spacing w:lineRule="auto" w:line="285" w:before="0" w:after="0"/>
        <w:ind w:left="0" w:right="0" w:hanging="0"/>
        <w:jc w:val="right"/>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spacing w:lineRule="auto" w:line="285" w:before="0" w:after="0"/>
        <w:ind w:left="0" w:right="0" w:hanging="0"/>
        <w:jc w:val="center"/>
        <w:rPr/>
      </w:pPr>
      <w:r>
        <w:rPr/>
        <w:t>​</w:t>
      </w:r>
    </w:p>
    <w:p>
      <w:pPr>
        <w:pStyle w:val="TextBody"/>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Anuj Aggarwal, certify that:</w:t>
      </w:r>
    </w:p>
    <w:p>
      <w:pPr>
        <w:pStyle w:val="TextBody"/>
        <w:spacing w:lineRule="auto" w:line="285" w:before="0" w:after="0"/>
        <w:ind w:left="0" w:right="0" w:hanging="0"/>
        <w:jc w:val="both"/>
        <w:rPr/>
      </w:pPr>
      <w:r>
        <w:rPr/>
        <w:t>​</w:t>
      </w:r>
    </w:p>
    <w:tbl>
      <w:tblPr>
        <w:tblW w:w="5328" w:type="dxa"/>
        <w:jc w:val="left"/>
        <w:tblInd w:w="0" w:type="dxa"/>
        <w:tblCellMar>
          <w:top w:w="0" w:type="dxa"/>
          <w:left w:w="0" w:type="dxa"/>
          <w:bottom w:w="0" w:type="dxa"/>
          <w:right w:w="0" w:type="dxa"/>
        </w:tblCellMar>
      </w:tblPr>
      <w:tblGrid>
        <w:gridCol w:w="23"/>
        <w:gridCol w:w="170"/>
        <w:gridCol w:w="51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1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Form 10-Q of Everspin Technologies, Inc.;</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23"/>
        <w:gridCol w:w="141"/>
        <w:gridCol w:w="10041"/>
      </w:tblGrid>
      <w:tr>
        <w:trPr/>
        <w:tc>
          <w:tcPr>
            <w:tcW w:w="2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85"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85" w:before="0" w:after="0"/>
        <w:ind w:left="1080" w:right="0" w:hanging="0"/>
        <w:jc w:val="both"/>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85" w:before="0" w:after="0"/>
        <w:ind w:left="1080" w:right="0" w:hanging="0"/>
        <w:jc w:val="both"/>
        <w:rPr/>
      </w:pPr>
      <w:r>
        <w:rPr/>
        <w:t>​</w:t>
      </w:r>
    </w:p>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85" w:before="0" w:after="0"/>
        <w:ind w:left="1080" w:right="0" w:hanging="0"/>
        <w:jc w:val="both"/>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85" w:before="0" w:after="0"/>
        <w:ind w:left="88" w:right="0" w:hanging="0"/>
        <w:jc w:val="both"/>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85"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7"/>
        <w:gridCol w:w="9985"/>
      </w:tblGrid>
      <w:tr>
        <w:trPr/>
        <w:tc>
          <w:tcPr>
            <w:tcW w:w="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spacing w:lineRule="auto" w:line="285" w:before="0" w:after="0"/>
        <w:ind w:left="720" w:right="0" w:hanging="360"/>
        <w:jc w:val="both"/>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lineRule="auto" w:line="285" w:before="0" w:after="0"/>
        <w:ind w:left="88" w:right="0" w:hanging="0"/>
        <w:jc w:val="both"/>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12, 2022</w:t>
      </w:r>
    </w:p>
    <w:p>
      <w:pPr>
        <w:pStyle w:val="TextBody"/>
        <w:spacing w:lineRule="auto" w:line="285" w:before="0" w:after="0"/>
        <w:ind w:left="0" w:right="0" w:hanging="0"/>
        <w:rPr/>
      </w:pPr>
      <w:r>
        <w:rPr/>
        <w:t>​</w:t>
      </w:r>
    </w:p>
    <w:tbl>
      <w:tblPr>
        <w:tblW w:w="2645" w:type="dxa"/>
        <w:jc w:val="center"/>
        <w:tblInd w:w="0" w:type="dxa"/>
        <w:tblCellMar>
          <w:top w:w="0" w:type="dxa"/>
          <w:left w:w="0" w:type="dxa"/>
          <w:bottom w:w="0" w:type="dxa"/>
          <w:right w:w="0" w:type="dxa"/>
        </w:tblCellMar>
      </w:tblPr>
      <w:tblGrid>
        <w:gridCol w:w="124"/>
        <w:gridCol w:w="2521"/>
      </w:tblGrid>
      <w:tr>
        <w:trPr/>
        <w:tc>
          <w:tcPr>
            <w:tcW w:w="124" w:type="dxa"/>
            <w:tcBorders/>
            <w:shd w:fill="auto" w:val="clear"/>
            <w:vAlign w:val="center"/>
          </w:tcPr>
          <w:p>
            <w:pPr>
              <w:pStyle w:val="TableContents"/>
              <w:spacing w:lineRule="auto" w:line="285" w:before="0" w:after="0"/>
              <w:ind w:left="0" w:right="0" w:hanging="0"/>
              <w:rPr/>
            </w:pPr>
            <w:r>
              <w:rPr/>
              <w:t>​</w:t>
            </w:r>
          </w:p>
        </w:tc>
        <w:tc>
          <w:tcPr>
            <w:tcW w:w="252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252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/s/Anuj Aggarwal</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2521"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Anuj Aggarwal</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252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Chief Financial Officer</w:t>
            </w:r>
          </w:p>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spacing w:lineRule="auto" w:line="285" w:before="0" w:after="0"/>
        <w:ind w:left="0" w:right="0" w:hanging="0"/>
        <w:rPr/>
      </w:pPr>
      <w:r>
        <w:rPr/>
        <w:t>​</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909" w:name="mram-20220331xex32d1.htm"/>
      <w:bookmarkStart w:id="910" w:name="ksmram20220331xex32d1"/>
      <w:bookmarkEnd w:id="909"/>
      <w:bookmarkEnd w:id="910"/>
      <w:r>
        <w:rPr>
          <w:rFonts w:ascii="Times New Roman;Times;serif" w:hAnsi="Times New Roman;Times;serif"/>
          <w:b/>
          <w:sz w:val="20"/>
        </w:rPr>
        <w:t>Exhibit 32.1</w:t>
      </w:r>
    </w:p>
    <w:p>
      <w:pPr>
        <w:pStyle w:val="TextBody"/>
        <w:spacing w:lineRule="auto" w:line="285" w:before="0" w:after="0"/>
        <w:ind w:left="0" w:right="0" w:hanging="0"/>
        <w:jc w:val="right"/>
        <w:rPr/>
      </w:pPr>
      <w:r>
        <w:rPr/>
        <w:t>​</w:t>
      </w:r>
    </w:p>
    <w:p>
      <w:pPr>
        <w:pStyle w:val="TextBody"/>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CHIEF EXECUTIVE OFFICER AND CHIEF FINANCIAL OFFICER </w:t>
      </w:r>
    </w:p>
    <w:p>
      <w:pPr>
        <w:pStyle w:val="TextBody"/>
        <w:spacing w:lineRule="auto" w:line="285" w:before="240" w:after="0"/>
        <w:ind w:left="0" w:right="0" w:hanging="0"/>
        <w:rPr>
          <w:rFonts w:ascii="Times New Roman;Times;serif" w:hAnsi="Times New Roman;Times;serif"/>
          <w:sz w:val="20"/>
        </w:rPr>
      </w:pPr>
      <w:r>
        <w:rPr>
          <w:rFonts w:ascii="Times New Roman;Times;serif" w:hAnsi="Times New Roman;Times;serif"/>
          <w:sz w:val="20"/>
        </w:rPr>
        <w:t xml:space="preserve">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Anuj Aggarwal, Chief Financial Officer of the Company, each hereby certifies that, to the best of his knowledge: </w:t>
      </w:r>
    </w:p>
    <w:p>
      <w:pPr>
        <w:pStyle w:val="TextBody"/>
        <w:spacing w:lineRule="auto" w:line="285" w:before="240" w:after="0"/>
        <w:ind w:left="0" w:right="0" w:hanging="0"/>
        <w:rPr>
          <w:rFonts w:ascii="Times New Roman;Times;serif" w:hAnsi="Times New Roman;Times;serif"/>
          <w:sz w:val="20"/>
        </w:rPr>
      </w:pPr>
      <w:r>
        <w:rPr>
          <w:rFonts w:ascii="Times New Roman;Times;serif" w:hAnsi="Times New Roman;Times;serif"/>
          <w:sz w:val="20"/>
        </w:rPr>
        <w:t xml:space="preserve">1. The Company’s Quarterly Report on Form 10-Q for the period ended March 31, 2022, to which this Certification is attached as Exhibit 32.1 (the “Periodic Report”), fully complies with the requirements of Section 13(a) or Section 15(d) of the Exchange Act; and </w:t>
      </w:r>
    </w:p>
    <w:p>
      <w:pPr>
        <w:pStyle w:val="TextBody"/>
        <w:spacing w:lineRule="auto" w:line="285" w:before="240" w:after="0"/>
        <w:ind w:left="0" w:right="0" w:hanging="0"/>
        <w:rPr>
          <w:rFonts w:ascii="Times New Roman;Times;serif" w:hAnsi="Times New Roman;Times;serif"/>
          <w:sz w:val="20"/>
        </w:rPr>
      </w:pPr>
      <w:r>
        <w:rPr>
          <w:rFonts w:ascii="Times New Roman;Times;serif" w:hAnsi="Times New Roman;Times;serif"/>
          <w:sz w:val="20"/>
        </w:rPr>
        <w:t xml:space="preserve">2. The information contained in the Periodic Report fairly presents, in all material respects, the financial condition and results of operations of the Company. </w:t>
      </w:r>
    </w:p>
    <w:p>
      <w:pPr>
        <w:pStyle w:val="TextBody"/>
        <w:spacing w:lineRule="auto" w:line="285" w:before="0" w:after="0"/>
        <w:ind w:left="0" w:right="0" w:hanging="0"/>
        <w:rPr/>
      </w:pPr>
      <w:r>
        <w:rPr/>
        <w:t>​</w:t>
      </w:r>
    </w:p>
    <w:p>
      <w:pPr>
        <w:pStyle w:val="TextBody"/>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May 12, 2022</w:t>
      </w:r>
    </w:p>
    <w:p>
      <w:pPr>
        <w:pStyle w:val="TextBody"/>
        <w:spacing w:lineRule="auto" w:line="285" w:before="0" w:after="0"/>
        <w:ind w:left="0" w:right="0" w:hanging="0"/>
        <w:jc w:val="both"/>
        <w:rPr/>
      </w:pPr>
      <w:r>
        <w:rPr/>
        <w:t>​</w:t>
      </w:r>
    </w:p>
    <w:tbl>
      <w:tblPr>
        <w:tblW w:w="2645" w:type="dxa"/>
        <w:jc w:val="right"/>
        <w:tblInd w:w="0" w:type="dxa"/>
        <w:tblCellMar>
          <w:top w:w="0" w:type="dxa"/>
          <w:left w:w="0" w:type="dxa"/>
          <w:bottom w:w="0" w:type="dxa"/>
          <w:right w:w="0" w:type="dxa"/>
        </w:tblCellMar>
      </w:tblPr>
      <w:tblGrid>
        <w:gridCol w:w="124"/>
        <w:gridCol w:w="2521"/>
      </w:tblGrid>
      <w:tr>
        <w:trPr/>
        <w:tc>
          <w:tcPr>
            <w:tcW w:w="124" w:type="dxa"/>
            <w:tcBorders/>
            <w:shd w:fill="auto" w:val="clear"/>
            <w:vAlign w:val="center"/>
          </w:tcPr>
          <w:p>
            <w:pPr>
              <w:pStyle w:val="TableContents"/>
              <w:spacing w:lineRule="auto" w:line="285" w:before="0" w:after="0"/>
              <w:ind w:left="0" w:right="0" w:hanging="0"/>
              <w:rPr/>
            </w:pPr>
            <w:r>
              <w:rPr/>
              <w:t>​</w:t>
            </w:r>
          </w:p>
        </w:tc>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600835" cy="29210"/>
                      <wp:effectExtent l="0" t="0" r="0" b="0"/>
                      <wp:wrapNone/>
                      <wp:docPr id="353" name="Frame353"/>
                      <a:graphic xmlns:a="http://schemas.openxmlformats.org/drawingml/2006/main">
                        <a:graphicData uri="http://schemas.microsoft.com/office/word/2010/wordprocessingShape">
                          <wps:wsp>
                            <wps:cNvSpPr txBox="1"/>
                            <wps:spPr>
                              <a:xfrm>
                                <a:off x="0" y="0"/>
                                <a:ext cx="16008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FEFEFE" w:val="clear"/>
            <w:vAlign w:val="center"/>
          </w:tcPr>
          <w:p>
            <w:pPr>
              <w:pStyle w:val="TableContents"/>
              <w:spacing w:lineRule="auto" w:line="285" w:before="0" w:after="0"/>
              <w:ind w:left="0" w:right="0" w:hanging="0"/>
              <w:rPr/>
            </w:pPr>
            <w:r>
              <w:rPr/>
              <w:t>​</w:t>
            </w:r>
          </w:p>
        </w:tc>
        <w:tc>
          <w:tcPr>
            <w:tcW w:w="2521" w:type="dxa"/>
            <w:tcBorders>
              <w:bottom w:val="single" w:sz="2" w:space="0" w:color="000000"/>
            </w:tcBorders>
            <w:shd w:fill="FEFEFE" w:val="clear"/>
            <w:tcMar>
              <w:bottom w:w="28" w:type="dxa"/>
            </w:tcMar>
            <w:vAlign w:val="center"/>
          </w:tcPr>
          <w:p>
            <w:pPr>
              <w:pStyle w:val="TableContents"/>
              <w:spacing w:lineRule="auto" w:line="300" w:before="0" w:after="0"/>
              <w:ind w:left="0" w:right="0" w:hanging="0"/>
              <w:rPr>
                <w:rFonts w:ascii="Times New Roman;Times;serif" w:hAnsi="Times New Roman;Times;serif"/>
                <w:sz w:val="20"/>
              </w:rPr>
            </w:pPr>
            <w:r>
              <w:rPr>
                <w:rFonts w:ascii="Times New Roman;Times;serif" w:hAnsi="Times New Roman;Times;serif"/>
                <w:sz w:val="20"/>
              </w:rPr>
              <w:t>/s/ Sanjeev Aggarwal</w:t>
            </w:r>
          </w:p>
        </w:tc>
      </w:tr>
      <w:tr>
        <w:trPr/>
        <w:tc>
          <w:tcPr>
            <w:tcW w:w="124" w:type="dxa"/>
            <w:tcBorders/>
            <w:shd w:fill="FEFEFE" w:val="clear"/>
            <w:vAlign w:val="center"/>
          </w:tcPr>
          <w:p>
            <w:pPr>
              <w:pStyle w:val="TableContents"/>
              <w:spacing w:lineRule="auto" w:line="285" w:before="0" w:after="0"/>
              <w:ind w:left="0" w:right="0" w:hanging="0"/>
              <w:rPr/>
            </w:pPr>
            <w:r>
              <w:rPr/>
              <w:t>​</w:t>
            </w:r>
          </w:p>
        </w:tc>
        <w:tc>
          <w:tcPr>
            <w:tcW w:w="2521" w:type="dxa"/>
            <w:tcBorders>
              <w:top w:val="single" w:sz="2" w:space="0" w:color="000000"/>
            </w:tcBorders>
            <w:shd w:fill="FEFEFE" w:val="clear"/>
            <w:tcMar>
              <w:top w:w="28" w:type="dxa"/>
            </w:tcMar>
            <w:vAlign w:val="center"/>
          </w:tcPr>
          <w:p>
            <w:pPr>
              <w:pStyle w:val="TableContents"/>
              <w:spacing w:lineRule="auto" w:line="300" w:before="0" w:after="0"/>
              <w:ind w:left="0" w:right="0" w:hanging="0"/>
              <w:rPr>
                <w:rFonts w:ascii="Times New Roman;Times;serif" w:hAnsi="Times New Roman;Times;serif"/>
                <w:sz w:val="20"/>
              </w:rPr>
            </w:pPr>
            <w:r>
              <w:rPr>
                <w:rFonts w:ascii="Times New Roman;Times;serif" w:hAnsi="Times New Roman;Times;serif"/>
                <w:sz w:val="20"/>
              </w:rPr>
              <w:t>Sanjeev Aggarwal</w:t>
            </w:r>
          </w:p>
        </w:tc>
      </w:tr>
      <w:tr>
        <w:trPr/>
        <w:tc>
          <w:tcPr>
            <w:tcW w:w="124" w:type="dxa"/>
            <w:tcBorders/>
            <w:shd w:fill="FEFEFE" w:val="clear"/>
            <w:vAlign w:val="center"/>
          </w:tcPr>
          <w:p>
            <w:pPr>
              <w:pStyle w:val="TableContents"/>
              <w:spacing w:lineRule="auto" w:line="285" w:before="0" w:after="0"/>
              <w:ind w:left="0" w:right="0" w:hanging="0"/>
              <w:rPr/>
            </w:pPr>
            <w:r>
              <w:rPr/>
              <w:t>​</w:t>
            </w:r>
          </w:p>
        </w:tc>
        <w:tc>
          <w:tcPr>
            <w:tcW w:w="2521" w:type="dxa"/>
            <w:tcBorders/>
            <w:shd w:fill="FEFEFE" w:val="clear"/>
            <w:vAlign w:val="center"/>
          </w:tcPr>
          <w:p>
            <w:pPr>
              <w:pStyle w:val="TableContents"/>
              <w:spacing w:lineRule="auto" w:line="300" w:before="0" w:after="0"/>
              <w:ind w:left="0" w:right="0" w:hanging="0"/>
              <w:rPr>
                <w:rFonts w:ascii="Times New Roman;Times;serif" w:hAnsi="Times New Roman;Times;serif"/>
                <w:i/>
                <w:sz w:val="20"/>
              </w:rPr>
            </w:pPr>
            <w:r>
              <w:rPr>
                <w:rFonts w:ascii="Times New Roman;Times;serif" w:hAnsi="Times New Roman;Times;serif"/>
                <w:i/>
                <w:sz w:val="20"/>
              </w:rPr>
              <w:t>Chief Executive Officer</w:t>
            </w:r>
          </w:p>
          <w:p>
            <w:pPr>
              <w:pStyle w:val="TableContents"/>
              <w:spacing w:lineRule="auto" w:line="300" w:before="0" w:after="0"/>
              <w:ind w:left="0" w:right="0" w:hanging="0"/>
              <w:rPr>
                <w:rFonts w:ascii="Times New Roman;Times;serif" w:hAnsi="Times New Roman;Times;serif"/>
                <w:i/>
                <w:sz w:val="20"/>
              </w:rPr>
            </w:pPr>
            <w:r>
              <w:rPr>
                <w:rFonts w:ascii="Times New Roman;Times;serif" w:hAnsi="Times New Roman;Times;serif"/>
                <w:i/>
                <w:sz w:val="20"/>
              </w:rPr>
              <w:t>(Principal Executive Officer)</w:t>
            </w:r>
          </w:p>
        </w:tc>
      </w:tr>
      <w:tr>
        <w:trPr/>
        <w:tc>
          <w:tcPr>
            <w:tcW w:w="124" w:type="dxa"/>
            <w:tcBorders/>
            <w:shd w:fill="FEFEFE" w:val="clear"/>
            <w:vAlign w:val="center"/>
          </w:tcPr>
          <w:p>
            <w:pPr>
              <w:pStyle w:val="TableContents"/>
              <w:spacing w:lineRule="auto" w:line="285" w:before="0" w:after="0"/>
              <w:ind w:left="0" w:right="0" w:hanging="0"/>
              <w:rPr/>
            </w:pPr>
            <w:r>
              <w:rPr/>
              <w:t>​</w:t>
            </w:r>
          </w:p>
        </w:tc>
        <w:tc>
          <w:tcPr>
            <w:tcW w:w="2521" w:type="dxa"/>
            <w:tcBorders/>
            <w:shd w:fill="FEFEFE" w:val="clear"/>
            <w:vAlign w:val="center"/>
          </w:tcPr>
          <w:p>
            <w:pPr>
              <w:pStyle w:val="TableContents"/>
              <w:spacing w:lineRule="auto" w:line="285" w:before="0" w:after="0"/>
              <w:ind w:left="0" w:right="0" w:hanging="0"/>
              <w:rPr/>
            </w:pPr>
            <w:r>
              <w:rPr/>
              <w:t>​</w:t>
            </w:r>
          </w:p>
        </w:tc>
      </w:tr>
      <w:tr>
        <w:trPr/>
        <w:tc>
          <w:tcPr>
            <w:tcW w:w="124" w:type="dxa"/>
            <w:tcBorders/>
            <w:shd w:fill="FEFEFE" w:val="clear"/>
            <w:vAlign w:val="center"/>
          </w:tcPr>
          <w:p>
            <w:pPr>
              <w:pStyle w:val="TableContents"/>
              <w:spacing w:lineRule="auto" w:line="285" w:before="0" w:after="0"/>
              <w:ind w:left="0" w:right="0" w:hanging="0"/>
              <w:rPr/>
            </w:pPr>
            <w:r>
              <w:rPr/>
              <w:t>​</w:t>
            </w:r>
          </w:p>
        </w:tc>
        <w:tc>
          <w:tcPr>
            <w:tcW w:w="2521" w:type="dxa"/>
            <w:tcBorders>
              <w:bottom w:val="single" w:sz="2" w:space="0" w:color="000000"/>
            </w:tcBorders>
            <w:shd w:fill="FEFEFE" w:val="clear"/>
            <w:tcMar>
              <w:bottom w:w="28" w:type="dxa"/>
            </w:tcMar>
            <w:vAlign w:val="center"/>
          </w:tcPr>
          <w:p>
            <w:pPr>
              <w:pStyle w:val="TableContents"/>
              <w:spacing w:lineRule="auto" w:line="300" w:before="0" w:after="0"/>
              <w:ind w:left="0" w:right="0" w:hanging="0"/>
              <w:rPr>
                <w:rFonts w:ascii="Times New Roman;Times;serif" w:hAnsi="Times New Roman;Times;serif"/>
                <w:sz w:val="20"/>
              </w:rPr>
            </w:pPr>
            <w:r>
              <w:rPr>
                <w:rFonts w:ascii="Times New Roman;Times;serif" w:hAnsi="Times New Roman;Times;serif"/>
                <w:sz w:val="20"/>
              </w:rPr>
              <w:t>/s/ Anuj Aggarwal</w:t>
            </w:r>
          </w:p>
        </w:tc>
      </w:tr>
      <w:tr>
        <w:trPr/>
        <w:tc>
          <w:tcPr>
            <w:tcW w:w="124" w:type="dxa"/>
            <w:tcBorders/>
            <w:shd w:fill="FEFEFE" w:val="clear"/>
            <w:vAlign w:val="center"/>
          </w:tcPr>
          <w:p>
            <w:pPr>
              <w:pStyle w:val="TableContents"/>
              <w:spacing w:lineRule="auto" w:line="285" w:before="0" w:after="0"/>
              <w:ind w:left="0" w:right="0" w:hanging="0"/>
              <w:rPr/>
            </w:pPr>
            <w:r>
              <w:rPr/>
              <w:t>​</w:t>
            </w:r>
          </w:p>
        </w:tc>
        <w:tc>
          <w:tcPr>
            <w:tcW w:w="2521" w:type="dxa"/>
            <w:tcBorders>
              <w:top w:val="single" w:sz="2" w:space="0" w:color="000000"/>
            </w:tcBorders>
            <w:shd w:fill="FEFEFE" w:val="clear"/>
            <w:tcMar>
              <w:top w:w="28" w:type="dxa"/>
            </w:tcMar>
            <w:vAlign w:val="center"/>
          </w:tcPr>
          <w:p>
            <w:pPr>
              <w:pStyle w:val="TableContents"/>
              <w:spacing w:lineRule="auto" w:line="300" w:before="0" w:after="0"/>
              <w:ind w:left="0" w:right="0" w:hanging="0"/>
              <w:rPr>
                <w:rFonts w:ascii="Times New Roman;Times;serif" w:hAnsi="Times New Roman;Times;serif"/>
                <w:sz w:val="20"/>
              </w:rPr>
            </w:pPr>
            <w:r>
              <w:rPr>
                <w:rFonts w:ascii="Times New Roman;Times;serif" w:hAnsi="Times New Roman;Times;serif"/>
                <w:sz w:val="20"/>
              </w:rPr>
              <w:t>Anuj Aggarwal</w:t>
            </w:r>
          </w:p>
        </w:tc>
      </w:tr>
      <w:tr>
        <w:trPr/>
        <w:tc>
          <w:tcPr>
            <w:tcW w:w="124" w:type="dxa"/>
            <w:tcBorders/>
            <w:shd w:fill="FEFEFE" w:val="clear"/>
            <w:vAlign w:val="center"/>
          </w:tcPr>
          <w:p>
            <w:pPr>
              <w:pStyle w:val="TableContents"/>
              <w:spacing w:lineRule="auto" w:line="285" w:before="0" w:after="0"/>
              <w:ind w:left="0" w:right="0" w:hanging="0"/>
              <w:rPr/>
            </w:pPr>
            <w:r>
              <w:rPr/>
              <w:t>​</w:t>
            </w:r>
          </w:p>
        </w:tc>
        <w:tc>
          <w:tcPr>
            <w:tcW w:w="2521" w:type="dxa"/>
            <w:tcBorders/>
            <w:shd w:fill="FEFEFE" w:val="clear"/>
            <w:vAlign w:val="center"/>
          </w:tcPr>
          <w:p>
            <w:pPr>
              <w:pStyle w:val="TableContents"/>
              <w:spacing w:lineRule="auto" w:line="300" w:before="0" w:after="0"/>
              <w:ind w:left="0" w:right="0" w:hanging="0"/>
              <w:rPr>
                <w:rFonts w:ascii="Times New Roman;Times;serif" w:hAnsi="Times New Roman;Times;serif"/>
                <w:i/>
                <w:sz w:val="20"/>
              </w:rPr>
            </w:pPr>
            <w:r>
              <w:rPr>
                <w:rFonts w:ascii="Times New Roman;Times;serif" w:hAnsi="Times New Roman;Times;serif"/>
                <w:i/>
                <w:sz w:val="20"/>
              </w:rPr>
              <w:t>Chief Financial Officer</w:t>
            </w:r>
          </w:p>
          <w:p>
            <w:pPr>
              <w:pStyle w:val="TableContents"/>
              <w:spacing w:lineRule="auto" w:line="300" w:before="0" w:after="0"/>
              <w:ind w:left="0" w:right="0" w:hanging="0"/>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8423/000119312516737688/d271840dex31.htm" TargetMode="External"/><Relationship Id="rId3" Type="http://schemas.openxmlformats.org/officeDocument/2006/relationships/hyperlink" Target="http://www.sec.gov/Archives/edgar/data/1438423/000119312519154165/d752899dex31.htm" TargetMode="External"/><Relationship Id="rId4" Type="http://schemas.openxmlformats.org/officeDocument/2006/relationships/hyperlink" Target="http://www.sec.gov/Archives/edgar/data/1438423/000119312519154165/d752899dex31.htm" TargetMode="External"/><Relationship Id="rId5" Type="http://schemas.openxmlformats.org/officeDocument/2006/relationships/hyperlink" Target="http://www.sec.gov/Archives/edgar/data/1438423/000119312519154165/d752899dex31.htm" TargetMode="External"/><Relationship Id="rId6" Type="http://schemas.openxmlformats.org/officeDocument/2006/relationships/hyperlink" Target="https://www.sec.gov/Archives/edgar/data/1438423/000119312520153247/d936625dex31.htm" TargetMode="External"/><Relationship Id="rId7" Type="http://schemas.openxmlformats.org/officeDocument/2006/relationships/hyperlink" Target="https://www.sec.gov/Archives/edgar/data/1438423/000119312519154165/d752899dex32.htm" TargetMode="External"/><Relationship Id="rId8" Type="http://schemas.openxmlformats.org/officeDocument/2006/relationships/hyperlink" Target="https://www.sec.gov/Archives/edgar/data/1438423/000110465922029376/tm228006d1_ex10-1.htm" TargetMode="External"/><Relationship Id="rId9" Type="http://schemas.openxmlformats.org/officeDocument/2006/relationships/hyperlink" Target="https://www.sec.gov/Archives/edgar/data/1438423/000110465922029376/tm228006d1_ex10-2.htm" TargetMode="External"/><Relationship Id="rId10" Type="http://schemas.openxmlformats.org/officeDocument/2006/relationships/hyperlink" Target="https://www.sec.gov/Archives/edgar/data/1438423/000110465922029376/tm228006d1_ex10-3.htm" TargetMode="External"/><Relationship Id="rId11" Type="http://schemas.openxmlformats.org/officeDocument/2006/relationships/hyperlink" Target="https://www.sec.gov/Archives/edgar/data/1438423/000110465922029376/tm228006d1_ex10-4.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25678</Words>
  <CharactersWithSpaces>169540</CharactersWithSpaces>
  <Paragraphs>4939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