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Everspin Technologies,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310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001-37900</w:t>
            </w:r>
          </w:p>
        </w:tc>
        <w:tc>
          <w:tcPr>
            <w:tcW w:w="262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26-2640654</w:t>
            </w:r>
          </w:p>
        </w:tc>
      </w:tr>
      <w:tr>
        <w:trPr>
          <w:trHeight w:val="216"/>
        </w:trPr>
        <w:tc>
          <w:tcPr>
            <w:tcW w:w="3100" w:type="dxa"/>
            <w:vAlign w:val="bottom"/>
          </w:tcPr>
          <w:p>
            <w:pPr>
              <w:jc w:val="center"/>
              <w:ind w:right="970"/>
              <w:spacing w:after="0"/>
              <w:rPr>
                <w:sz w:val="20"/>
                <w:szCs w:val="20"/>
                <w:color w:val="auto"/>
              </w:rPr>
            </w:pPr>
            <w:r>
              <w:rPr>
                <w:rFonts w:ascii="Arial" w:cs="Arial" w:eastAsia="Arial" w:hAnsi="Arial"/>
                <w:sz w:val="18"/>
                <w:szCs w:val="18"/>
                <w:b w:val="1"/>
                <w:bCs w:val="1"/>
                <w:color w:val="auto"/>
                <w:w w:val="90"/>
              </w:rPr>
              <w:t>(State or other jurisdiction</w:t>
            </w:r>
          </w:p>
        </w:tc>
        <w:tc>
          <w:tcPr>
            <w:tcW w:w="3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2620" w:type="dxa"/>
            <w:vAlign w:val="bottom"/>
          </w:tcPr>
          <w:p>
            <w:pPr>
              <w:jc w:val="center"/>
              <w:ind w:left="10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10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of incorporation)</w:t>
            </w:r>
          </w:p>
        </w:tc>
        <w:tc>
          <w:tcPr>
            <w:tcW w:w="33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2620" w:type="dxa"/>
            <w:vAlign w:val="bottom"/>
          </w:tcPr>
          <w:p>
            <w:pPr>
              <w:jc w:val="center"/>
              <w:ind w:left="113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5670 W. Chandler Blvd.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Suite 100</w:t>
      </w:r>
    </w:p>
    <w:p>
      <w:pPr>
        <w:jc w:val="center"/>
        <w:spacing w:after="0" w:line="230" w:lineRule="auto"/>
        <w:rPr>
          <w:sz w:val="20"/>
          <w:szCs w:val="20"/>
          <w:color w:val="auto"/>
        </w:rPr>
      </w:pPr>
      <w:r>
        <w:rPr>
          <w:rFonts w:ascii="Arial" w:cs="Arial" w:eastAsia="Arial" w:hAnsi="Arial"/>
          <w:sz w:val="22"/>
          <w:szCs w:val="22"/>
          <w:b w:val="1"/>
          <w:bCs w:val="1"/>
          <w:color w:val="auto"/>
        </w:rPr>
        <w:t>Chandler, Arizona 85226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(Address of principal executive offices, including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(480) 347-1111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4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$0.0001</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MRAM</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Nasdaq Stock Market</w:t>
            </w:r>
          </w:p>
        </w:tc>
      </w:tr>
    </w:tbl>
    <w:p>
      <w:pPr>
        <w:spacing w:after="0" w:line="222"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0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792"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40" w:lineRule="exact"/>
        <w:rPr>
          <w:sz w:val="20"/>
          <w:szCs w:val="20"/>
          <w:color w:val="auto"/>
        </w:rPr>
      </w:pPr>
    </w:p>
    <w:p>
      <w:pPr>
        <w:ind w:right="420" w:firstLine="405"/>
        <w:spacing w:after="0" w:line="250" w:lineRule="auto"/>
        <w:rPr>
          <w:sz w:val="20"/>
          <w:szCs w:val="20"/>
          <w:color w:val="auto"/>
        </w:rPr>
      </w:pPr>
      <w:r>
        <w:rPr>
          <w:rFonts w:ascii="Arial" w:cs="Arial" w:eastAsia="Arial" w:hAnsi="Arial"/>
          <w:sz w:val="22"/>
          <w:szCs w:val="22"/>
          <w:color w:val="auto"/>
        </w:rPr>
        <w:t>On March 12, 2020, the Company issued a press release, a copy of which is attached hereto as Exhibit 99.1 and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2"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500"/>
        <w:spacing w:after="0"/>
        <w:tabs>
          <w:tab w:leader="none" w:pos="1340" w:val="left"/>
        </w:tabs>
        <w:rPr>
          <w:rFonts w:ascii="Arial" w:cs="Arial" w:eastAsia="Arial" w:hAnsi="Arial"/>
          <w:sz w:val="15"/>
          <w:szCs w:val="15"/>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5"/>
            <w:szCs w:val="15"/>
            <w:u w:val="single" w:color="auto"/>
            <w:color w:val="0000EE"/>
          </w:rPr>
          <w:t>Press release dated March 12, 2020.</w:t>
        </w:r>
      </w:hyperlink>
    </w:p>
    <w:p>
      <w:pPr>
        <w:spacing w:after="0" w:line="200" w:lineRule="exact"/>
        <w:rPr>
          <w:sz w:val="20"/>
          <w:szCs w:val="20"/>
          <w:color w:val="auto"/>
        </w:rPr>
      </w:pPr>
    </w:p>
    <w:p>
      <w:pPr>
        <w:spacing w:after="0" w:line="282"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2020</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Matt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Matt Tenorio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0660"/>
          </w:cols>
          <w:pgMar w:left="320" w:top="111" w:right="9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Everspin Reports Fourth Quarter and Fiscal Year 2019 Financial Results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Revenue at High-End of Guidance with 54% Gross Margin</w:t>
      </w:r>
    </w:p>
    <w:p>
      <w:pPr>
        <w:spacing w:after="0" w:line="20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CHANDLER, Ariz.--(BUSINESS WIRE)--March 12, 2020--Everspin Technologies, Inc. (Nasdaq: MRAM), the market leader in MRAM, today announced financial results for the fourth quarter ended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Recent Highlights</w:t>
      </w:r>
    </w:p>
    <w:p>
      <w:pPr>
        <w:spacing w:after="0" w:line="212" w:lineRule="exact"/>
        <w:rPr>
          <w:sz w:val="20"/>
          <w:szCs w:val="20"/>
          <w:color w:val="auto"/>
        </w:rPr>
      </w:pPr>
    </w:p>
    <w:p>
      <w:pPr>
        <w:ind w:left="540" w:right="2040"/>
        <w:spacing w:after="0" w:line="239" w:lineRule="auto"/>
        <w:rPr>
          <w:sz w:val="20"/>
          <w:szCs w:val="20"/>
          <w:color w:val="auto"/>
        </w:rPr>
      </w:pPr>
      <w:r>
        <w:rPr>
          <w:rFonts w:ascii="Arial" w:cs="Arial" w:eastAsia="Arial" w:hAnsi="Arial"/>
          <w:sz w:val="22"/>
          <w:szCs w:val="22"/>
          <w:color w:val="auto"/>
        </w:rPr>
        <w:t>Fourth quarter total revenue of $9.7 million was up 5% sequentially and at the high-end of guidance Ended year with cash and equivalents of $14.5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100"/>
        <w:spacing w:after="0" w:line="241" w:lineRule="auto"/>
        <w:rPr>
          <w:sz w:val="20"/>
          <w:szCs w:val="20"/>
          <w:color w:val="auto"/>
        </w:rPr>
      </w:pPr>
      <w:r>
        <w:rPr>
          <w:rFonts w:ascii="Arial" w:cs="Arial" w:eastAsia="Arial" w:hAnsi="Arial"/>
          <w:sz w:val="21"/>
          <w:szCs w:val="21"/>
          <w:color w:val="auto"/>
        </w:rPr>
        <w:t>Implemented restructuring to accelerate path to profitability Achieved second data center OEM qualification of 1Gb STT-MRAM Announced development of STT-MRAM for Industrial and IoT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Signed joint development agreement extension with GLOBALFOUNDRIES for development of 12nm MRAM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“We ended 2019 on a strong quarter of progress in a year in which the semiconductor industry faced broad cyclicality, exacerbated by protracted global trade tensions in our core industrial market,” stated Kevin Conley, Everspin’s President and CEO. “Fourth quarter revenue increased sequentially and was supported by improved costs and reduced OpEx. Revenue was at the high-end of guidance, driven by another quarter of record STT-MRAM revenue and continued growth for Toggle products. Our quarterly loss per share, excluding a one-time restructuring charge, was also well above our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line="238" w:lineRule="auto"/>
        <w:rPr>
          <w:sz w:val="20"/>
          <w:szCs w:val="20"/>
          <w:color w:val="auto"/>
        </w:rPr>
      </w:pPr>
      <w:r>
        <w:rPr>
          <w:rFonts w:ascii="Arial" w:cs="Arial" w:eastAsia="Arial" w:hAnsi="Arial"/>
          <w:sz w:val="22"/>
          <w:szCs w:val="22"/>
          <w:color w:val="auto"/>
        </w:rPr>
        <w:t>“Building on our successful spending reductions in 2019, Everspin recently implemented a restructuring plan that fully supports our strategic objectives while capturing significant savings in 2020, thereby accelerating our path toward achieving cash flow breakeven by year-end. With the confidence we have in our cash position and business outlook, we have suspended use of the at-the-market (ATM) facility we put in place last year.</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“Additionally, we continue to meaningfully advance new and existing engagements for our 1Gb STT-MRAM device through a combination of successful customer qualifications and partnerships in the enterprise server and storage ecosystem. Everspin secured an additional data center design win for our 1Gb STT-MRAM and continued to see significant quarter-over-quarter growth in our Toggle MRAM design wins. With this growing pipeline and interest for our expanding portfolio of MRAM solutions, combined with our improved margins, we are increasingly well positioned to drive profitable growth and value for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 Year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Total revenue for the fourth quarter of 2019 was $9.7 million, compared to $9.2 million in the previous quarter and $12.3 million in the fourth quarter of 2018. For the full year 2019, total revenue was $37.5 million, compared to $49.4 million in 2018, which included $9.9 million in licensing, royalty and other revenue.</w:t>
      </w:r>
    </w:p>
    <w:p>
      <w:pPr>
        <w:spacing w:after="0" w:line="186"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Gross margin for the fourth quarter of 2019 increased to 53.6%, compared to 47.4% in the previous quarter and 44.2% in the fourth quarter of 2018. Full year 2019 gross margin was 48.9%, compared to 51.3% in 2018.</w:t>
      </w:r>
    </w:p>
    <w:p>
      <w:pPr>
        <w:spacing w:after="0" w:line="17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Operating expenses for the fourth quarter of 2019 were $8.2 million, which included $0.8 million in one-time restructuring charges, compared to $7.9 million in the prior quarter and $8.8 million in the fourth quarter of 2018. For the full year 2019, operating expenses were $32.7 million, including the fourth quarter one-time restructuring charge, compared to $42.7 million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4" w:name="page5"/>
    <w:bookmarkEnd w:id="4"/>
    <w:p>
      <w:pPr>
        <w:ind w:right="120"/>
        <w:spacing w:after="0" w:line="287" w:lineRule="auto"/>
        <w:rPr>
          <w:sz w:val="20"/>
          <w:szCs w:val="20"/>
          <w:color w:val="auto"/>
        </w:rPr>
      </w:pPr>
      <w:r>
        <w:rPr>
          <w:rFonts w:ascii="Arial" w:cs="Arial" w:eastAsia="Arial" w:hAnsi="Arial"/>
          <w:sz w:val="19"/>
          <w:szCs w:val="19"/>
          <w:color w:val="auto"/>
        </w:rPr>
        <w:t>GAAP net loss for the fourth quarter of 2019 was $3.1 million, or ($0.17) per share, based on 17.7 million weighted-average shares outstanding. Fourth quarter 2019 GAAP results included the $0.8 million restructuring charge as well as approximately $1.1 million of stock-based compensation expense. This compared to a net loss of $3.7 million, or ($0.21) per share, in the third quarter of 2019 and a net loss of $3.5 million, or ($0.20) per share, in the fourth quarter of 2018.</w:t>
      </w:r>
    </w:p>
    <w:p>
      <w:pPr>
        <w:spacing w:after="0" w:line="143"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For the full year 2019, GAAP net loss was $14.7 million, or ($0.85) per share, based on 17.3 million weighted-average shares outstanding, which included the $0.8 million fourth quarter restructuring charge as well as approximately $3.6 million of stock-based compensation expense. For the full year 2018, GAAP net loss was $17.8 million, or ($1.08) per share.</w:t>
      </w:r>
    </w:p>
    <w:p>
      <w:pPr>
        <w:spacing w:after="0" w:line="1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Cash and cash equivalents as of December 31, 2019 were $14.5 million, compared to $14.8 million at the end of the third quarter of 2019. During the quarter, the Company issued 0.5 million new shares through its at-the-market equity facility, resulting in net proceeds $2.6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240"/>
        <w:spacing w:after="0" w:line="248" w:lineRule="auto"/>
        <w:rPr>
          <w:sz w:val="20"/>
          <w:szCs w:val="20"/>
          <w:color w:val="auto"/>
        </w:rPr>
      </w:pPr>
      <w:r>
        <w:rPr>
          <w:rFonts w:ascii="Arial" w:cs="Arial" w:eastAsia="Arial" w:hAnsi="Arial"/>
          <w:sz w:val="21"/>
          <w:szCs w:val="21"/>
          <w:color w:val="auto"/>
        </w:rPr>
        <w:t>For the first quarter of 2020, Everspin expects total revenue in the range of $9.5 million and $9.9 million. GAAP net loss is expected to range between ($0.15) and ($0.11) per share, and non-GAAP net loss, which excludes stock-based compensation expense, is expected to range between ($0.09) and ($0.05) per share based on a weighted-average share count of 18.1 million shares outstanding. This compares to a GAAP loss per share of ($0.25) in the first quarter of 2019 on $10 million of revenue, highlighting the significant progress made over the past year on cost reduction initiatives to drive increased operating leverage and improve the Company’s bottom-line results.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 xml:space="preserve">Everspin will host a conference call for analysts and investors today at 5:00 p.m. Eastern Time. Interested participants can access the call by dialing </w:t>
      </w:r>
      <w:r>
        <w:rPr>
          <w:rFonts w:ascii="Arial" w:cs="Arial" w:eastAsia="Arial" w:hAnsi="Arial"/>
          <w:sz w:val="22"/>
          <w:szCs w:val="22"/>
          <w:b w:val="1"/>
          <w:bCs w:val="1"/>
          <w:color w:val="auto"/>
        </w:rPr>
        <w:t>1-844-889-7788</w:t>
      </w:r>
      <w:r>
        <w:rPr>
          <w:rFonts w:ascii="Arial" w:cs="Arial" w:eastAsia="Arial" w:hAnsi="Arial"/>
          <w:sz w:val="22"/>
          <w:szCs w:val="22"/>
          <w:color w:val="auto"/>
        </w:rPr>
        <w:t xml:space="preserve"> and providing passcode </w:t>
      </w:r>
      <w:r>
        <w:rPr>
          <w:rFonts w:ascii="Arial" w:cs="Arial" w:eastAsia="Arial" w:hAnsi="Arial"/>
          <w:sz w:val="22"/>
          <w:szCs w:val="22"/>
          <w:b w:val="1"/>
          <w:bCs w:val="1"/>
          <w:color w:val="auto"/>
        </w:rPr>
        <w:t>9787074</w:t>
      </w:r>
      <w:r>
        <w:rPr>
          <w:rFonts w:ascii="Arial" w:cs="Arial" w:eastAsia="Arial" w:hAnsi="Arial"/>
          <w:sz w:val="22"/>
          <w:szCs w:val="22"/>
          <w:color w:val="auto"/>
        </w:rPr>
        <w:t>. International callers may join the call by dialing +1-661-378-9932, using the same code. The call will also be available as a live and archived webcast in the Investor Relations section of the company’s website at investor.everspin.com.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telephone replay of the conference call will be available approximately two hours after the call through March 19, 2020. The replay can be accessed by dialing 1-855-859-2056 and using the passcode 9787074. International callers should dial +1-404-537-3406 and enter the same passcode at the prompt.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Everspin Technologies</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Everspin Technologies, Inc. is the world’s leading provider of Magnetoresistive RAM (MRAM) for Industrial IoT and Data Center applications, delivering unprecedented performance, non-volatility, endurance and reliability for applications where data persistence is paramount. Headquartered in Chandler, Arizona, Everspin is transforming the memory market with the largest and most diverse foundation of MRAM customers. For more information, visit www.everspin.com. NASDAQ: MRAM.</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contains forward-looking statements regarding future events that involve risks and uncertainties that could cause actual results or events to differ materially from the expectations disclosed in the forward-looking statements, including, but not limited to the statements made under the caption “Business Outlook.” Actual results could differ materially from these forward-looking statements as a result of certain factors, including, without limitation, the risks set forth in Everspin’s Form 10-Q filed with the Securities and Exchange Commission on November 8, 2019, under the caption “Risk Factors.” Subsequent events may cause these expectations to change, and Everspin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5"/>
          </w:tcPr>
          <w:p>
            <w:pPr>
              <w:ind w:left="24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9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1"/>
                <w:szCs w:val="21"/>
                <w:color w:val="auto"/>
              </w:rPr>
            </w:pPr>
          </w:p>
        </w:tc>
      </w:tr>
      <w:tr>
        <w:trPr>
          <w:trHeight w:val="243"/>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20" w:type="dxa"/>
            <w:vAlign w:val="bottom"/>
          </w:tcPr>
          <w:p>
            <w:pPr>
              <w:spacing w:after="0"/>
              <w:rPr>
                <w:sz w:val="22"/>
                <w:szCs w:val="22"/>
                <w:color w:val="auto"/>
              </w:rPr>
            </w:pPr>
          </w:p>
        </w:tc>
      </w:tr>
      <w:tr>
        <w:trPr>
          <w:trHeight w:val="230"/>
        </w:trPr>
        <w:tc>
          <w:tcPr>
            <w:tcW w:w="948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7,522</w:t>
            </w:r>
          </w:p>
        </w:tc>
        <w:tc>
          <w:tcPr>
            <w:tcW w:w="20" w:type="dxa"/>
            <w:vAlign w:val="bottom"/>
          </w:tcPr>
          <w:p>
            <w:pPr>
              <w:spacing w:after="0"/>
              <w:rPr>
                <w:sz w:val="20"/>
                <w:szCs w:val="20"/>
                <w:color w:val="auto"/>
              </w:rPr>
            </w:pPr>
          </w:p>
        </w:tc>
      </w:tr>
      <w:tr>
        <w:trPr>
          <w:trHeight w:val="256"/>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20" w:type="dxa"/>
            <w:vAlign w:val="bottom"/>
          </w:tcPr>
          <w:p>
            <w:pPr>
              <w:spacing w:after="0"/>
              <w:rPr>
                <w:sz w:val="22"/>
                <w:szCs w:val="22"/>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21"/>
                <w:szCs w:val="21"/>
                <w:color w:val="auto"/>
              </w:rPr>
            </w:pPr>
          </w:p>
        </w:tc>
      </w:tr>
      <w:tr>
        <w:trPr>
          <w:trHeight w:val="236"/>
        </w:trPr>
        <w:tc>
          <w:tcPr>
            <w:tcW w:w="9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40,686</w:t>
            </w:r>
          </w:p>
        </w:tc>
        <w:tc>
          <w:tcPr>
            <w:tcW w:w="20" w:type="dxa"/>
            <w:vAlign w:val="bottom"/>
          </w:tcPr>
          <w:p>
            <w:pPr>
              <w:spacing w:after="0"/>
              <w:rPr>
                <w:sz w:val="20"/>
                <w:szCs w:val="20"/>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20"/>
                <w:szCs w:val="20"/>
                <w:color w:val="auto"/>
              </w:rPr>
            </w:pPr>
          </w:p>
        </w:tc>
      </w:tr>
      <w:tr>
        <w:trPr>
          <w:trHeight w:val="25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43"/>
        </w:trPr>
        <w:tc>
          <w:tcPr>
            <w:tcW w:w="94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r>
      <w:tr>
        <w:trPr>
          <w:trHeight w:val="277"/>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45,045</w:t>
            </w:r>
          </w:p>
        </w:tc>
        <w:tc>
          <w:tcPr>
            <w:tcW w:w="20" w:type="dxa"/>
            <w:vAlign w:val="bottom"/>
          </w:tcPr>
          <w:p>
            <w:pPr>
              <w:spacing w:after="0"/>
              <w:rPr>
                <w:sz w:val="24"/>
                <w:szCs w:val="24"/>
                <w:color w:val="auto"/>
              </w:rPr>
            </w:pPr>
          </w:p>
        </w:tc>
      </w:tr>
      <w:tr>
        <w:trPr>
          <w:trHeight w:val="223"/>
        </w:trPr>
        <w:tc>
          <w:tcPr>
            <w:tcW w:w="9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22"/>
                <w:szCs w:val="22"/>
                <w:color w:val="auto"/>
              </w:rPr>
            </w:pPr>
          </w:p>
        </w:tc>
      </w:tr>
      <w:tr>
        <w:trPr>
          <w:trHeight w:val="230"/>
        </w:trPr>
        <w:tc>
          <w:tcPr>
            <w:tcW w:w="948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20"/>
                <w:szCs w:val="20"/>
                <w:color w:val="auto"/>
              </w:rPr>
            </w:pPr>
          </w:p>
        </w:tc>
      </w:tr>
      <w:tr>
        <w:trPr>
          <w:trHeight w:val="256"/>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20" w:type="dxa"/>
            <w:vAlign w:val="bottom"/>
          </w:tcPr>
          <w:p>
            <w:pPr>
              <w:spacing w:after="0"/>
              <w:rPr>
                <w:sz w:val="22"/>
                <w:szCs w:val="22"/>
                <w:color w:val="auto"/>
              </w:rPr>
            </w:pPr>
          </w:p>
        </w:tc>
      </w:tr>
      <w:tr>
        <w:trPr>
          <w:trHeight w:val="230"/>
        </w:trPr>
        <w:tc>
          <w:tcPr>
            <w:tcW w:w="948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6"/>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24"/>
        </w:trPr>
        <w:tc>
          <w:tcPr>
            <w:tcW w:w="948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13,615</w:t>
            </w:r>
          </w:p>
        </w:tc>
        <w:tc>
          <w:tcPr>
            <w:tcW w:w="20" w:type="dxa"/>
            <w:vAlign w:val="bottom"/>
          </w:tcPr>
          <w:p>
            <w:pPr>
              <w:spacing w:after="0"/>
              <w:rPr>
                <w:sz w:val="19"/>
                <w:szCs w:val="19"/>
                <w:color w:val="auto"/>
              </w:rPr>
            </w:pPr>
          </w:p>
        </w:tc>
      </w:tr>
      <w:tr>
        <w:trPr>
          <w:trHeight w:val="25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20" w:type="dxa"/>
            <w:vAlign w:val="bottom"/>
          </w:tcPr>
          <w:p>
            <w:pPr>
              <w:spacing w:after="0"/>
              <w:rPr>
                <w:sz w:val="22"/>
                <w:szCs w:val="22"/>
                <w:color w:val="auto"/>
              </w:rPr>
            </w:pPr>
          </w:p>
        </w:tc>
      </w:tr>
      <w:tr>
        <w:trPr>
          <w:trHeight w:val="243"/>
        </w:trPr>
        <w:tc>
          <w:tcPr>
            <w:tcW w:w="94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20" w:type="dxa"/>
            <w:vAlign w:val="bottom"/>
          </w:tcPr>
          <w:p>
            <w:pPr>
              <w:spacing w:after="0"/>
              <w:rPr>
                <w:sz w:val="20"/>
                <w:szCs w:val="20"/>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9480" w:type="dxa"/>
            <w:vAlign w:val="bottom"/>
          </w:tcPr>
          <w:p>
            <w:pPr>
              <w:ind w:left="280"/>
              <w:spacing w:after="0"/>
              <w:rPr>
                <w:sz w:val="20"/>
                <w:szCs w:val="20"/>
                <w:color w:val="auto"/>
              </w:rPr>
            </w:pPr>
            <w:r>
              <w:rPr>
                <w:rFonts w:ascii="Arial" w:cs="Arial" w:eastAsia="Arial" w:hAnsi="Arial"/>
                <w:sz w:val="18"/>
                <w:szCs w:val="18"/>
                <w:color w:val="auto"/>
                <w:w w:val="91"/>
              </w:rPr>
              <w:t>Preferred stock, $0.0001 par value per share; 5,000,000 shares authorized; no shares issued and outstanding as of December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8"/>
                <w:szCs w:val="18"/>
                <w:color w:val="auto"/>
              </w:rPr>
              <w:t>31, 2019 and December 31, 2018</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22"/>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Common stock, $0.0001 par value per share; 100,000,000 shares authorized; 18,081,753 and 17,095,456 shares issued and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as of December 31, 2019 and December 31, 2018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30"/>
        </w:trPr>
        <w:tc>
          <w:tcPr>
            <w:tcW w:w="94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167,149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158,912</w:t>
            </w:r>
          </w:p>
        </w:tc>
        <w:tc>
          <w:tcPr>
            <w:tcW w:w="20" w:type="dxa"/>
            <w:vAlign w:val="bottom"/>
          </w:tcPr>
          <w:p>
            <w:pPr>
              <w:spacing w:after="0"/>
              <w:rPr>
                <w:sz w:val="20"/>
                <w:szCs w:val="20"/>
                <w:color w:val="auto"/>
              </w:rPr>
            </w:pPr>
          </w:p>
        </w:tc>
      </w:tr>
      <w:tr>
        <w:trPr>
          <w:trHeight w:val="256"/>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(148,662)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(133,993)</w:t>
            </w:r>
          </w:p>
        </w:tc>
        <w:tc>
          <w:tcPr>
            <w:tcW w:w="20" w:type="dxa"/>
            <w:vAlign w:val="bottom"/>
          </w:tcPr>
          <w:p>
            <w:pPr>
              <w:spacing w:after="0"/>
              <w:rPr>
                <w:sz w:val="22"/>
                <w:szCs w:val="22"/>
                <w:color w:val="auto"/>
              </w:rPr>
            </w:pPr>
          </w:p>
        </w:tc>
      </w:tr>
      <w:tr>
        <w:trPr>
          <w:trHeight w:val="236"/>
        </w:trPr>
        <w:tc>
          <w:tcPr>
            <w:tcW w:w="948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24,921</w:t>
            </w:r>
          </w:p>
        </w:tc>
        <w:tc>
          <w:tcPr>
            <w:tcW w:w="20" w:type="dxa"/>
            <w:vAlign w:val="bottom"/>
          </w:tcPr>
          <w:p>
            <w:pPr>
              <w:spacing w:after="0"/>
              <w:rPr>
                <w:sz w:val="20"/>
                <w:szCs w:val="20"/>
                <w:color w:val="auto"/>
              </w:rPr>
            </w:pPr>
          </w:p>
        </w:tc>
      </w:tr>
      <w:tr>
        <w:trPr>
          <w:trHeight w:val="277"/>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45,045</w:t>
            </w:r>
          </w:p>
        </w:tc>
        <w:tc>
          <w:tcPr>
            <w:tcW w:w="20" w:type="dxa"/>
            <w:vAlign w:val="bottom"/>
          </w:tcPr>
          <w:p>
            <w:pPr>
              <w:spacing w:after="0"/>
              <w:rPr>
                <w:sz w:val="24"/>
                <w:szCs w:val="24"/>
                <w:color w:val="auto"/>
              </w:rPr>
            </w:pPr>
          </w:p>
        </w:tc>
      </w:tr>
      <w:tr>
        <w:trPr>
          <w:trHeight w:val="163"/>
        </w:trPr>
        <w:tc>
          <w:tcPr>
            <w:tcW w:w="9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bl>
    <w:p>
      <w:pPr>
        <w:sectPr>
          <w:pgSz w:w="11900" w:h="16838" w:orient="portrait"/>
          <w:cols w:equalWidth="0" w:num="1">
            <w:col w:w="11240"/>
          </w:cols>
          <w:pgMar w:left="320" w:top="37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39"/>
        </w:trPr>
        <w:tc>
          <w:tcPr>
            <w:tcW w:w="8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r>
      <w:tr>
        <w:trPr>
          <w:trHeight w:val="241"/>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34,595</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39,514</w:t>
            </w:r>
          </w:p>
        </w:tc>
        <w:tc>
          <w:tcPr>
            <w:tcW w:w="220" w:type="dxa"/>
            <w:vAlign w:val="bottom"/>
            <w:shd w:val="clear" w:color="auto" w:fill="CCEEFF"/>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9,903</w:t>
            </w:r>
          </w:p>
        </w:tc>
      </w:tr>
      <w:tr>
        <w:trPr>
          <w:trHeight w:val="236"/>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22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49,417</w:t>
            </w:r>
          </w:p>
        </w:tc>
        <w:tc>
          <w:tcPr>
            <w:tcW w:w="220" w:type="dxa"/>
            <w:vAlign w:val="bottom"/>
            <w:shd w:val="clear" w:color="auto" w:fill="CCEEFF"/>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19,172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24,083</w:t>
            </w:r>
          </w:p>
        </w:tc>
      </w:tr>
      <w:tr>
        <w:trPr>
          <w:trHeight w:val="23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22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25,334</w:t>
            </w:r>
          </w:p>
        </w:tc>
        <w:tc>
          <w:tcPr>
            <w:tcW w:w="220" w:type="dxa"/>
            <w:vAlign w:val="bottom"/>
            <w:shd w:val="clear" w:color="auto" w:fill="CCEEFF"/>
          </w:tcPr>
          <w:p>
            <w:pPr>
              <w:spacing w:after="0"/>
              <w:rPr>
                <w:sz w:val="20"/>
                <w:szCs w:val="20"/>
                <w:color w:val="auto"/>
              </w:rPr>
            </w:pPr>
          </w:p>
        </w:tc>
      </w:tr>
      <w:tr>
        <w:trPr>
          <w:trHeight w:val="243"/>
        </w:trPr>
        <w:tc>
          <w:tcPr>
            <w:tcW w:w="8340" w:type="dxa"/>
            <w:vAlign w:val="bottom"/>
          </w:tcPr>
          <w:p>
            <w:pPr>
              <w:spacing w:after="0" w:line="24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23,637</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12,551</w:t>
            </w:r>
          </w:p>
        </w:tc>
      </w:tr>
      <w:tr>
        <w:trPr>
          <w:trHeight w:val="24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36"/>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42,655</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(14,412)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(17,321)</w:t>
            </w:r>
          </w:p>
        </w:tc>
      </w:tr>
      <w:tr>
        <w:trPr>
          <w:trHeight w:val="24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r>
      <w:tr>
        <w:trPr>
          <w:trHeight w:val="277"/>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(17,754)</w:t>
            </w:r>
          </w:p>
        </w:tc>
        <w:tc>
          <w:tcPr>
            <w:tcW w:w="220" w:type="dxa"/>
            <w:vAlign w:val="bottom"/>
            <w:tcBorders>
              <w:bottom w:val="single" w:sz="8" w:color="CCEEFF"/>
            </w:tcBorders>
            <w:shd w:val="clear" w:color="auto" w:fill="CCEEFF"/>
          </w:tcPr>
          <w:p>
            <w:pPr>
              <w:spacing w:after="0"/>
              <w:rPr>
                <w:sz w:val="24"/>
                <w:szCs w:val="24"/>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r>
      <w:tr>
        <w:trPr>
          <w:trHeight w:val="20"/>
        </w:trPr>
        <w:tc>
          <w:tcPr>
            <w:tcW w:w="8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used to compute net loss per common share, basic and diluted</w:t>
            </w: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17,317,042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16,372,638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4"/>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43"/>
        </w:trPr>
        <w:tc>
          <w:tcPr>
            <w:tcW w:w="8340" w:type="dxa"/>
            <w:vAlign w:val="bottom"/>
            <w:shd w:val="clear" w:color="auto" w:fill="CCEEFF"/>
          </w:tcPr>
          <w:p>
            <w:pPr>
              <w:spacing w:after="0" w:line="243" w:lineRule="exact"/>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Operating expenses includes stock-based compensation as follows:</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r>
      <w:tr>
        <w:trPr>
          <w:trHeight w:val="24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r>
      <w:tr>
        <w:trPr>
          <w:trHeight w:val="276"/>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20" w:type="dxa"/>
            <w:vAlign w:val="bottom"/>
            <w:tcBorders>
              <w:bottom w:val="single" w:sz="8" w:color="CCEEFF"/>
            </w:tcBorders>
            <w:shd w:val="clear" w:color="auto" w:fill="CCEEFF"/>
          </w:tcPr>
          <w:p>
            <w:pPr>
              <w:spacing w:after="0"/>
              <w:rPr>
                <w:sz w:val="24"/>
                <w:szCs w:val="24"/>
                <w:color w:val="auto"/>
              </w:rPr>
            </w:pPr>
          </w:p>
        </w:tc>
      </w:tr>
      <w:tr>
        <w:trPr>
          <w:trHeight w:val="163"/>
        </w:trPr>
        <w:tc>
          <w:tcPr>
            <w:tcW w:w="8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7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39"/>
        </w:trPr>
        <w:tc>
          <w:tcPr>
            <w:tcW w:w="86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241"/>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6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(14,669)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(17,754)</w:t>
            </w:r>
          </w:p>
        </w:tc>
        <w:tc>
          <w:tcPr>
            <w:tcW w:w="20" w:type="dxa"/>
            <w:vAlign w:val="bottom"/>
          </w:tcPr>
          <w:p>
            <w:pPr>
              <w:spacing w:after="0"/>
              <w:rPr>
                <w:sz w:val="20"/>
                <w:szCs w:val="20"/>
                <w:color w:val="auto"/>
              </w:rPr>
            </w:pPr>
          </w:p>
        </w:tc>
      </w:tr>
      <w:tr>
        <w:trPr>
          <w:trHeight w:val="249"/>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86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2"/>
                <w:szCs w:val="22"/>
                <w:color w:val="auto"/>
              </w:rPr>
            </w:pPr>
          </w:p>
        </w:tc>
      </w:tr>
      <w:tr>
        <w:trPr>
          <w:trHeight w:val="230"/>
        </w:trPr>
        <w:tc>
          <w:tcPr>
            <w:tcW w:w="86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2,668</w:t>
            </w: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Non-cash gain on warrant revaluation</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0"/>
        </w:trPr>
        <w:tc>
          <w:tcPr>
            <w:tcW w:w="8640" w:type="dxa"/>
            <w:vAlign w:val="bottom"/>
          </w:tcPr>
          <w:p>
            <w:pPr>
              <w:ind w:left="280"/>
              <w:spacing w:after="0"/>
              <w:rPr>
                <w:sz w:val="20"/>
                <w:szCs w:val="20"/>
                <w:color w:val="auto"/>
              </w:rPr>
            </w:pPr>
            <w:r>
              <w:rPr>
                <w:rFonts w:ascii="Arial" w:cs="Arial" w:eastAsia="Arial" w:hAnsi="Arial"/>
                <w:sz w:val="18"/>
                <w:szCs w:val="18"/>
                <w:color w:val="auto"/>
              </w:rPr>
              <w:t>Non-cash interest expense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Compensation expense related to vesting of common stock to GLOBALFOUNDRIES</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22"/>
                <w:szCs w:val="22"/>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20" w:type="dxa"/>
            <w:vAlign w:val="bottom"/>
          </w:tcPr>
          <w:p>
            <w:pPr>
              <w:spacing w:after="0"/>
              <w:rPr>
                <w:sz w:val="22"/>
                <w:szCs w:val="22"/>
                <w:color w:val="auto"/>
              </w:rPr>
            </w:pPr>
          </w:p>
        </w:tc>
      </w:tr>
      <w:tr>
        <w:trPr>
          <w:trHeight w:val="230"/>
        </w:trPr>
        <w:tc>
          <w:tcPr>
            <w:tcW w:w="864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2"/>
                <w:szCs w:val="22"/>
                <w:color w:val="auto"/>
              </w:rPr>
            </w:pPr>
          </w:p>
        </w:tc>
      </w:tr>
      <w:tr>
        <w:trPr>
          <w:trHeight w:val="230"/>
        </w:trPr>
        <w:tc>
          <w:tcPr>
            <w:tcW w:w="86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22"/>
                <w:szCs w:val="22"/>
                <w:color w:val="auto"/>
              </w:rPr>
            </w:pPr>
          </w:p>
        </w:tc>
      </w:tr>
      <w:tr>
        <w:trPr>
          <w:trHeight w:val="230"/>
        </w:trPr>
        <w:tc>
          <w:tcPr>
            <w:tcW w:w="864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Shipping term reversal</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2"/>
                <w:szCs w:val="22"/>
                <w:color w:val="auto"/>
              </w:rPr>
            </w:pPr>
          </w:p>
        </w:tc>
      </w:tr>
      <w:tr>
        <w:trPr>
          <w:trHeight w:val="237"/>
        </w:trPr>
        <w:tc>
          <w:tcPr>
            <w:tcW w:w="864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(8,116)</w:t>
            </w:r>
          </w:p>
        </w:tc>
        <w:tc>
          <w:tcPr>
            <w:tcW w:w="24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(14,673)</w:t>
            </w:r>
          </w:p>
        </w:tc>
        <w:tc>
          <w:tcPr>
            <w:tcW w:w="20" w:type="dxa"/>
            <w:vAlign w:val="bottom"/>
          </w:tcPr>
          <w:p>
            <w:pPr>
              <w:spacing w:after="0"/>
              <w:rPr>
                <w:sz w:val="20"/>
                <w:szCs w:val="20"/>
                <w:color w:val="auto"/>
              </w:rPr>
            </w:pPr>
          </w:p>
        </w:tc>
      </w:tr>
      <w:tr>
        <w:trPr>
          <w:trHeight w:val="237"/>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86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21"/>
                <w:szCs w:val="21"/>
                <w:color w:val="auto"/>
              </w:rPr>
            </w:pPr>
          </w:p>
        </w:tc>
      </w:tr>
      <w:tr>
        <w:trPr>
          <w:trHeight w:val="236"/>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20"/>
                <w:szCs w:val="20"/>
                <w:color w:val="auto"/>
              </w:rPr>
            </w:pPr>
          </w:p>
        </w:tc>
      </w:tr>
      <w:tr>
        <w:trPr>
          <w:trHeight w:val="228"/>
        </w:trPr>
        <w:tc>
          <w:tcPr>
            <w:tcW w:w="8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net of offering costs</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24,524</w:t>
            </w:r>
          </w:p>
        </w:tc>
        <w:tc>
          <w:tcPr>
            <w:tcW w:w="20" w:type="dxa"/>
            <w:vAlign w:val="bottom"/>
          </w:tcPr>
          <w:p>
            <w:pPr>
              <w:spacing w:after="0"/>
              <w:rPr>
                <w:sz w:val="21"/>
                <w:szCs w:val="2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Proceeds from debt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Payments of debt issuance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 obligation</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2"/>
                <w:szCs w:val="22"/>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Proceeds from exercise of stock options and purchase of shares in employee stock purchase plan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Pr>
          <w:p>
            <w:pPr>
              <w:spacing w:after="0"/>
              <w:rPr>
                <w:sz w:val="20"/>
                <w:szCs w:val="20"/>
                <w:color w:val="auto"/>
              </w:rPr>
            </w:pPr>
          </w:p>
        </w:tc>
      </w:tr>
      <w:tr>
        <w:trPr>
          <w:trHeight w:val="256"/>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 in at-the-market offering, net of issuance costs</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6"/>
        </w:trPr>
        <w:tc>
          <w:tcPr>
            <w:tcW w:w="8640" w:type="dxa"/>
            <w:vAlign w:val="bottom"/>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20" w:type="dxa"/>
            <w:vAlign w:val="bottom"/>
          </w:tcPr>
          <w:p>
            <w:pPr>
              <w:spacing w:after="0"/>
              <w:rPr>
                <w:sz w:val="20"/>
                <w:szCs w:val="20"/>
                <w:color w:val="auto"/>
              </w:rPr>
            </w:pPr>
          </w:p>
        </w:tc>
      </w:tr>
      <w:tr>
        <w:trPr>
          <w:trHeight w:val="237"/>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20" w:type="dxa"/>
            <w:vAlign w:val="bottom"/>
          </w:tcPr>
          <w:p>
            <w:pPr>
              <w:spacing w:after="0"/>
              <w:rPr>
                <w:sz w:val="20"/>
                <w:szCs w:val="20"/>
                <w:color w:val="auto"/>
              </w:rPr>
            </w:pPr>
          </w:p>
        </w:tc>
      </w:tr>
      <w:tr>
        <w:trPr>
          <w:trHeight w:val="243"/>
        </w:trPr>
        <w:tc>
          <w:tcPr>
            <w:tcW w:w="86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12,950</w:t>
            </w:r>
          </w:p>
        </w:tc>
        <w:tc>
          <w:tcPr>
            <w:tcW w:w="20" w:type="dxa"/>
            <w:vAlign w:val="bottom"/>
          </w:tcPr>
          <w:p>
            <w:pPr>
              <w:spacing w:after="0"/>
              <w:rPr>
                <w:sz w:val="21"/>
                <w:szCs w:val="21"/>
                <w:color w:val="auto"/>
              </w:rPr>
            </w:pPr>
          </w:p>
        </w:tc>
      </w:tr>
      <w:tr>
        <w:trPr>
          <w:trHeight w:val="277"/>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20" w:type="dxa"/>
            <w:vAlign w:val="bottom"/>
          </w:tcPr>
          <w:p>
            <w:pPr>
              <w:spacing w:after="0"/>
              <w:rPr>
                <w:sz w:val="24"/>
                <w:szCs w:val="24"/>
                <w:color w:val="auto"/>
              </w:rPr>
            </w:pPr>
          </w:p>
        </w:tc>
      </w:tr>
      <w:tr>
        <w:trPr>
          <w:trHeight w:val="215"/>
        </w:trPr>
        <w:tc>
          <w:tcPr>
            <w:tcW w:w="864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2"/>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24"/>
                <w:szCs w:val="24"/>
                <w:color w:val="auto"/>
              </w:rPr>
            </w:pPr>
          </w:p>
        </w:tc>
      </w:tr>
      <w:tr>
        <w:trPr>
          <w:trHeight w:val="224"/>
        </w:trPr>
        <w:tc>
          <w:tcPr>
            <w:tcW w:w="8640" w:type="dxa"/>
            <w:vAlign w:val="bottom"/>
          </w:tcPr>
          <w:p>
            <w:pPr>
              <w:spacing w:after="0"/>
              <w:rPr>
                <w:sz w:val="20"/>
                <w:szCs w:val="20"/>
                <w:color w:val="auto"/>
              </w:rPr>
            </w:pPr>
            <w:r>
              <w:rPr>
                <w:rFonts w:ascii="Arial" w:cs="Arial" w:eastAsia="Arial" w:hAnsi="Arial"/>
                <w:sz w:val="18"/>
                <w:szCs w:val="18"/>
                <w:color w:val="auto"/>
              </w:rPr>
              <w:t>Cash paid for taxes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63"/>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paid for operating leases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Financing cash flows paid for finance leases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64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64"/>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of right-of-use asset and lease liability due to lease modification</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24"/>
        </w:trPr>
        <w:tc>
          <w:tcPr>
            <w:tcW w:w="864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64"/>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Modification of warrant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Issuance of warrant with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Everspin Investor Relations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Leanne K. Sievers, President</w:t>
      </w:r>
    </w:p>
    <w:p>
      <w:pPr>
        <w:spacing w:after="0" w:line="230" w:lineRule="auto"/>
        <w:rPr>
          <w:sz w:val="20"/>
          <w:szCs w:val="20"/>
          <w:color w:val="auto"/>
        </w:rPr>
      </w:pPr>
      <w:r>
        <w:rPr>
          <w:rFonts w:ascii="Arial" w:cs="Arial" w:eastAsia="Arial" w:hAnsi="Arial"/>
          <w:sz w:val="22"/>
          <w:szCs w:val="22"/>
          <w:color w:val="auto"/>
        </w:rPr>
        <w:t>Shelton Group Investor Relations</w:t>
      </w:r>
    </w:p>
    <w:p>
      <w:pPr>
        <w:spacing w:after="0" w:line="231" w:lineRule="auto"/>
        <w:rPr>
          <w:sz w:val="20"/>
          <w:szCs w:val="20"/>
          <w:color w:val="auto"/>
        </w:rPr>
      </w:pPr>
      <w:r>
        <w:rPr>
          <w:rFonts w:ascii="Arial" w:cs="Arial" w:eastAsia="Arial" w:hAnsi="Arial"/>
          <w:sz w:val="22"/>
          <w:szCs w:val="22"/>
          <w:color w:val="auto"/>
        </w:rPr>
        <w:t>T: 949-224-3874</w:t>
      </w:r>
    </w:p>
    <w:p>
      <w:pPr>
        <w:spacing w:after="0"/>
        <w:rPr>
          <w:sz w:val="20"/>
          <w:szCs w:val="20"/>
          <w:color w:val="auto"/>
        </w:rPr>
      </w:pPr>
      <w:r>
        <w:rPr>
          <w:rFonts w:ascii="Arial" w:cs="Arial" w:eastAsia="Arial" w:hAnsi="Arial"/>
          <w:sz w:val="22"/>
          <w:szCs w:val="22"/>
          <w:color w:val="auto"/>
        </w:rPr>
        <w:t>E: sheltonir@sheltongroup.com</w:t>
      </w:r>
    </w:p>
    <w:sectPr>
      <w:pgSz w:w="11900" w:h="16838" w:orient="portrait"/>
      <w:cols w:equalWidth="0" w:num="1">
        <w:col w:w="11240"/>
      </w:cols>
      <w:pgMar w:left="320" w:top="378" w:right="339" w:bottom="6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2020-03-12T15:08:38Z</dcterms:created>
  <dcterms:modified xsi:type="dcterms:W3CDTF">2020-03-12T15:08:38Z</dcterms:modified>
</cp:coreProperties>
</file>