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single" w:sz="24" w:space="1" w:color="000000"/>
          <w:bottom w:val="single" w:sz="2" w:space="1" w:color="000000"/>
        </w:pBdr>
        <w:spacing w:lineRule="atLeast" w:line="141" w:before="0" w:after="0"/>
        <w:ind w:left="0" w:right="0" w:hanging="0"/>
        <w:jc w:val="center"/>
        <w:rPr/>
      </w:pPr>
      <w:bookmarkStart w:id="0" w:name="mram-20210812x8k.htm"/>
      <w:bookmarkStart w:id="1" w:name="ksmram20210812x8k"/>
      <w:bookmarkEnd w:id="0"/>
      <w:bookmarkEnd w:id="1"/>
      <w:r>
        <w:rPr/>
        <w:t>​</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bookmarkStart w:id="2" w:name="_c24ed8d5_7138_415c_9e33_45ac9334508f"/>
      <w:bookmarkEnd w:id="2"/>
      <w:r>
        <w:rPr>
          <w:rFonts w:ascii="Arial;Helvetica;sans-serif" w:hAnsi="Arial;Helvetica;sans-serif"/>
          <w:b/>
          <w:sz w:val="16"/>
        </w:rPr>
        <w:t>UNITED STATES</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SECURITIES AND EXCHANGE COMMISSION</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Washington, D.C. 20549</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FORM 8-K</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CURRENT REPORT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Pursuant to Section 13 or 15(d)</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of the Securities Exchange Act of 1934</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Date of Report (Date of earliest event reported): August 12, 2021</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23"/>
        </w:rPr>
      </w:pPr>
      <w:r>
        <w:rPr>
          <w:rFonts w:ascii="Arial;Helvetica;sans-serif" w:hAnsi="Arial;Helvetica;sans-serif"/>
          <w:b/>
          <w:sz w:val="23"/>
        </w:rPr>
        <w:t>Everspin Technologies, Inc.</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(Exact name of registrant as specified in its charter)</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3" w:name="Tc_B1X41VSwBEOo6GMXSri7rA_3_2"/>
      <w:bookmarkStart w:id="4" w:name="Tc_Gkh-o_cIK0qYXG2HHiBiWg_3_1"/>
      <w:bookmarkStart w:id="5" w:name="Tc_CM1dPV6maEeXhUy_klbsFw_3_0"/>
      <w:bookmarkStart w:id="6" w:name="Tc_gn2rLD5ju0GEGC4Bu9bcxw_2_2"/>
      <w:bookmarkStart w:id="7" w:name="Tc_uJQlgfmxRUGq1IpGlGIzkw_2_1"/>
      <w:bookmarkStart w:id="8" w:name="Tc_nGkCvyObI0uT0QKySN8QyA_2_0"/>
      <w:bookmarkStart w:id="9" w:name="_95aca28f_023d_4dd8_adf6_29a413db3fd7"/>
      <w:bookmarkStart w:id="10" w:name="Tc_B1X41VSwBEOo6GMXSri7rA_3_2"/>
      <w:bookmarkStart w:id="11" w:name="Tc_Gkh-o_cIK0qYXG2HHiBiWg_3_1"/>
      <w:bookmarkStart w:id="12" w:name="Tc_CM1dPV6maEeXhUy_klbsFw_3_0"/>
      <w:bookmarkStart w:id="13" w:name="Tc_gn2rLD5ju0GEGC4Bu9bcxw_2_2"/>
      <w:bookmarkStart w:id="14" w:name="Tc_uJQlgfmxRUGq1IpGlGIzkw_2_1"/>
      <w:bookmarkStart w:id="15" w:name="Tc_nGkCvyObI0uT0QKySN8QyA_2_0"/>
      <w:bookmarkStart w:id="16" w:name="_95aca28f_023d_4dd8_adf6_29a413db3fd7"/>
      <w:bookmarkEnd w:id="10"/>
      <w:bookmarkEnd w:id="11"/>
      <w:bookmarkEnd w:id="12"/>
      <w:bookmarkEnd w:id="13"/>
      <w:bookmarkEnd w:id="14"/>
      <w:bookmarkEnd w:id="15"/>
      <w:bookmarkEnd w:id="16"/>
    </w:p>
    <w:tbl>
      <w:tblPr>
        <w:tblW w:w="4953" w:type="dxa"/>
        <w:jc w:val="left"/>
        <w:tblInd w:w="0" w:type="dxa"/>
        <w:tblCellMar>
          <w:top w:w="0" w:type="dxa"/>
          <w:left w:w="0" w:type="dxa"/>
          <w:bottom w:w="0" w:type="dxa"/>
          <w:right w:w="0" w:type="dxa"/>
        </w:tblCellMar>
      </w:tblPr>
      <w:tblGrid>
        <w:gridCol w:w="2206"/>
        <w:gridCol w:w="1171"/>
        <w:gridCol w:w="1576"/>
      </w:tblGrid>
      <w:tr>
        <w:trPr/>
        <w:tc>
          <w:tcPr>
            <w:tcW w:w="2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400810" cy="175260"/>
                      <wp:effectExtent l="0" t="0" r="0" b="0"/>
                      <wp:wrapNone/>
                      <wp:docPr id="1" name="Frame1"/>
                      <a:graphic xmlns:a="http://schemas.openxmlformats.org/drawingml/2006/main">
                        <a:graphicData uri="http://schemas.microsoft.com/office/word/2010/wordprocessingShape">
                          <wps:wsp>
                            <wps:cNvSpPr txBox="1"/>
                            <wps:spPr>
                              <a:xfrm>
                                <a:off x="0" y="0"/>
                                <a:ext cx="140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43585" cy="175260"/>
                      <wp:effectExtent l="0" t="0" r="0" b="0"/>
                      <wp:wrapNone/>
                      <wp:docPr id="2" name="Frame2"/>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00760" cy="175260"/>
                      <wp:effectExtent l="0" t="0" r="0" b="0"/>
                      <wp:wrapNone/>
                      <wp:docPr id="3" name="Frame3"/>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Delaware</w:t>
            </w:r>
          </w:p>
        </w:tc>
        <w:tc>
          <w:tcPr>
            <w:tcW w:w="117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001-37900</w:t>
            </w:r>
          </w:p>
        </w:tc>
        <w:tc>
          <w:tcPr>
            <w:tcW w:w="157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26-2640654</w:t>
            </w:r>
          </w:p>
        </w:tc>
      </w:tr>
      <w:tr>
        <w:trPr/>
        <w:tc>
          <w:tcPr>
            <w:tcW w:w="22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(State or other jurisdiction</w:t>
            </w:r>
          </w:p>
        </w:tc>
        <w:tc>
          <w:tcPr>
            <w:tcW w:w="117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(Commission</w:t>
            </w:r>
          </w:p>
        </w:tc>
        <w:tc>
          <w:tcPr>
            <w:tcW w:w="157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(IRS Employer</w:t>
            </w:r>
          </w:p>
        </w:tc>
      </w:tr>
      <w:tr>
        <w:trPr/>
        <w:tc>
          <w:tcPr>
            <w:tcW w:w="22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of incorporation)</w:t>
            </w:r>
          </w:p>
        </w:tc>
        <w:tc>
          <w:tcPr>
            <w:tcW w:w="117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File Number)</w:t>
            </w:r>
          </w:p>
        </w:tc>
        <w:tc>
          <w:tcPr>
            <w:tcW w:w="157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Identification No.)</w:t>
            </w:r>
          </w:p>
        </w:tc>
      </w:tr>
    </w:tbl>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5670 W. Chandler Blvd.</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Suite 100</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b/>
          <w:sz w:val="16"/>
        </w:rPr>
        <w:t>Chandler, Arizona</w:t>
      </w:r>
      <w:r>
        <w:rPr>
          <w:rFonts w:ascii="Arial;Helvetica;sans-serif" w:hAnsi="Arial;Helvetica;sans-serif"/>
          <w:sz w:val="20"/>
        </w:rPr>
        <w:t xml:space="preserve"> </w:t>
      </w:r>
      <w:r>
        <w:rPr>
          <w:rFonts w:ascii="Arial;Helvetica;sans-serif" w:hAnsi="Arial;Helvetica;sans-serif"/>
          <w:b/>
          <w:sz w:val="16"/>
        </w:rPr>
        <w:t>85226</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(Address of principal executive offices, including zip code)</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(480) 347-1111</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(Registrant’s telephone number, including area code)</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Not Applicable</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(Former name or former address, if changed since last report.)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rPr>
          <w:rFonts w:ascii="Arial;Helvetica;sans-serif" w:hAnsi="Arial;Helvetica;sans-serif"/>
          <w:sz w:val="16"/>
        </w:rPr>
      </w:pPr>
      <w:r>
        <w:rPr>
          <w:rFonts w:ascii="Arial;Helvetica;sans-serif" w:hAnsi="Arial;Helvetica;sans-serif"/>
          <w:sz w:val="16"/>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w:t>
      </w:r>
    </w:p>
    <w:tbl>
      <w:tblPr>
        <w:tblW w:w="7041" w:type="dxa"/>
        <w:jc w:val="left"/>
        <w:tblInd w:w="0" w:type="dxa"/>
        <w:tblCellMar>
          <w:top w:w="0" w:type="dxa"/>
          <w:left w:w="0" w:type="dxa"/>
          <w:bottom w:w="0" w:type="dxa"/>
          <w:right w:w="0" w:type="dxa"/>
        </w:tblCellMar>
      </w:tblPr>
      <w:tblGrid>
        <w:gridCol w:w="124"/>
        <w:gridCol w:w="31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6601" w:type="dxa"/>
            <w:tcBorders/>
            <w:shd w:fill="auto" w:val="clear"/>
            <w:vAlign w:val="center"/>
          </w:tcPr>
          <w:p>
            <w:pPr>
              <w:pStyle w:val="TableContents"/>
              <w:spacing w:before="0" w:after="0"/>
              <w:rPr>
                <w:rFonts w:ascii="Arial;Helvetica;sans-serif" w:hAnsi="Arial;Helvetica;sans-serif"/>
                <w:sz w:val="16"/>
              </w:rPr>
            </w:pPr>
            <w:r>
              <w:rPr>
                <w:rFonts w:ascii="Arial;Helvetica;sans-serif" w:hAnsi="Arial;Helvetica;sans-serif"/>
                <w:sz w:val="16"/>
              </w:rPr>
              <w:t>Written communications pursuant to Rule 425 under the Securities Act (17 CFR 230.425)</w:t>
            </w:r>
          </w:p>
        </w:tc>
      </w:tr>
    </w:tbl>
    <w:p>
      <w:pPr>
        <w:pStyle w:val="TextBody"/>
        <w:spacing w:before="0" w:after="0"/>
        <w:ind w:left="0" w:right="0" w:hanging="0"/>
        <w:rPr/>
      </w:pPr>
      <w:r>
        <w:rPr/>
        <w:t>​</w:t>
      </w:r>
    </w:p>
    <w:tbl>
      <w:tblPr>
        <w:tblW w:w="7041" w:type="dxa"/>
        <w:jc w:val="left"/>
        <w:tblInd w:w="0" w:type="dxa"/>
        <w:tblCellMar>
          <w:top w:w="0" w:type="dxa"/>
          <w:left w:w="0" w:type="dxa"/>
          <w:bottom w:w="0" w:type="dxa"/>
          <w:right w:w="0" w:type="dxa"/>
        </w:tblCellMar>
      </w:tblPr>
      <w:tblGrid>
        <w:gridCol w:w="124"/>
        <w:gridCol w:w="31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6601" w:type="dxa"/>
            <w:tcBorders/>
            <w:shd w:fill="auto" w:val="clear"/>
            <w:vAlign w:val="center"/>
          </w:tcPr>
          <w:p>
            <w:pPr>
              <w:pStyle w:val="TableContents"/>
              <w:spacing w:before="0" w:after="0"/>
              <w:rPr>
                <w:rFonts w:ascii="Arial;Helvetica;sans-serif" w:hAnsi="Arial;Helvetica;sans-serif"/>
                <w:sz w:val="16"/>
              </w:rPr>
            </w:pPr>
            <w:r>
              <w:rPr>
                <w:rFonts w:ascii="Arial;Helvetica;sans-serif" w:hAnsi="Arial;Helvetica;sans-serif"/>
                <w:sz w:val="16"/>
              </w:rPr>
              <w:t>Soliciting material pursuant to Rule 14a-12 under the Exchange Act (17 CFR 240.14a-12)</w:t>
            </w:r>
          </w:p>
        </w:tc>
      </w:tr>
    </w:tbl>
    <w:p>
      <w:pPr>
        <w:pStyle w:val="TextBody"/>
        <w:spacing w:before="0" w:after="0"/>
        <w:ind w:left="0" w:right="0" w:hanging="0"/>
        <w:rPr/>
      </w:pPr>
      <w:r>
        <w:rPr/>
        <w:t>​</w:t>
      </w:r>
    </w:p>
    <w:tbl>
      <w:tblPr>
        <w:tblW w:w="8751" w:type="dxa"/>
        <w:jc w:val="left"/>
        <w:tblInd w:w="0" w:type="dxa"/>
        <w:tblCellMar>
          <w:top w:w="0" w:type="dxa"/>
          <w:left w:w="0" w:type="dxa"/>
          <w:bottom w:w="0" w:type="dxa"/>
          <w:right w:w="0" w:type="dxa"/>
        </w:tblCellMar>
      </w:tblPr>
      <w:tblGrid>
        <w:gridCol w:w="124"/>
        <w:gridCol w:w="316"/>
        <w:gridCol w:w="831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8311" w:type="dxa"/>
            <w:tcBorders/>
            <w:shd w:fill="auto" w:val="clear"/>
            <w:vAlign w:val="center"/>
          </w:tcPr>
          <w:p>
            <w:pPr>
              <w:pStyle w:val="TableContents"/>
              <w:spacing w:before="0" w:after="0"/>
              <w:rPr>
                <w:rFonts w:ascii="Arial;Helvetica;sans-serif" w:hAnsi="Arial;Helvetica;sans-serif"/>
                <w:sz w:val="16"/>
              </w:rPr>
            </w:pPr>
            <w:r>
              <w:rPr>
                <w:rFonts w:ascii="Arial;Helvetica;sans-serif" w:hAnsi="Arial;Helvetica;sans-serif"/>
                <w:sz w:val="16"/>
              </w:rPr>
              <w:t>Pre-commencement communications pursuant to Rule 14d-2(b) under the Exchange Act (17 CFR 240.14d-2(b))</w:t>
            </w:r>
          </w:p>
        </w:tc>
      </w:tr>
    </w:tbl>
    <w:p>
      <w:pPr>
        <w:pStyle w:val="TextBody"/>
        <w:spacing w:before="0" w:after="0"/>
        <w:ind w:left="0" w:right="0" w:hanging="0"/>
        <w:rPr/>
      </w:pPr>
      <w:r>
        <w:rPr/>
        <w:t>​</w:t>
      </w:r>
    </w:p>
    <w:p>
      <w:pPr>
        <w:pStyle w:val="TextBody"/>
        <w:spacing w:before="0" w:after="0"/>
        <w:ind w:left="0" w:right="0" w:hanging="0"/>
        <w:jc w:val="left"/>
        <w:rPr/>
      </w:pPr>
      <w:r>
        <w:rPr>
          <w:caps w:val="false"/>
          <w:smallCaps w:val="false"/>
        </w:rPr>
        <w:t>☐</w:t>
      </w:r>
      <w:r>
        <w:rPr>
          <w:rFonts w:ascii="Arial;Helvetica;sans-serif" w:hAnsi="Arial;Helvetica;sans-serif"/>
          <w:sz w:val="16"/>
        </w:rPr>
        <w:t>Pre-commencement communications pursuant to Rule 13e-4(c) under the Exchange Act (17 CFR 240.13e-4(c))</w:t>
      </w:r>
    </w:p>
    <w:p>
      <w:pPr>
        <w:pStyle w:val="TextBody"/>
        <w:spacing w:before="0" w:after="0"/>
        <w:ind w:left="0" w:right="0" w:firstLine="8"/>
        <w:rPr/>
      </w:pPr>
      <w:r>
        <w:rPr/>
        <w:t>​</w:t>
      </w:r>
    </w:p>
    <w:p>
      <w:pPr>
        <w:pStyle w:val="TextBody"/>
        <w:spacing w:before="0" w:after="0"/>
        <w:ind w:left="0" w:right="0" w:firstLine="8"/>
        <w:rPr>
          <w:rFonts w:ascii="Arial;Helvetica;sans-serif" w:hAnsi="Arial;Helvetica;sans-serif"/>
          <w:sz w:val="16"/>
        </w:rPr>
      </w:pPr>
      <w:r>
        <w:rPr>
          <w:rFonts w:ascii="Arial;Helvetica;sans-serif" w:hAnsi="Arial;Helvetica;sans-serif"/>
          <w:sz w:val="16"/>
        </w:rPr>
        <w:t>Securities registered pursuant to Section 12(b) of the Act:</w:t>
      </w:r>
    </w:p>
    <w:p>
      <w:pPr>
        <w:pStyle w:val="TextBody"/>
        <w:spacing w:before="0" w:after="0"/>
        <w:ind w:left="0" w:right="0" w:hanging="0"/>
        <w:rPr/>
      </w:pPr>
      <w:r>
        <w:rPr/>
        <w:t>​</w:t>
      </w:r>
    </w:p>
    <w:p>
      <w:pPr>
        <w:pStyle w:val="Normal"/>
        <w:spacing w:before="0" w:after="0"/>
        <w:rPr>
          <w:sz w:val="4"/>
          <w:szCs w:val="4"/>
        </w:rPr>
      </w:pPr>
      <w:r>
        <w:rPr>
          <w:sz w:val="4"/>
          <w:szCs w:val="4"/>
        </w:rPr>
      </w:r>
      <w:bookmarkStart w:id="17" w:name="Tc_9A7Ay4v7v0OGctBUqtotQw_2_4"/>
      <w:bookmarkStart w:id="18" w:name="Tc_qXFErVEDQU-nh3GAPWWzrw_2_2"/>
      <w:bookmarkStart w:id="19" w:name="Tc_lIvqDvM1QEmna8bJu8VNlw_2_0"/>
      <w:bookmarkStart w:id="20" w:name="Tc_o81id-HInU20BpuCQtzC_w_1_4"/>
      <w:bookmarkStart w:id="21" w:name="Tc_dZcSQtM8uEKnan9KfsdzWw_1_2"/>
      <w:bookmarkStart w:id="22" w:name="Tc_ZnYm_iIDmkGwsqNK8l5jeA_1_0"/>
      <w:bookmarkStart w:id="23" w:name="Tc_WSs48LRsukunmWRaU9F6IA_0_4"/>
      <w:bookmarkStart w:id="24" w:name="_d68a392d_835a_47ab_8e5c_ca40930e7b8b"/>
      <w:bookmarkStart w:id="25" w:name="Tc_9A7Ay4v7v0OGctBUqtotQw_2_4"/>
      <w:bookmarkStart w:id="26" w:name="Tc_qXFErVEDQU-nh3GAPWWzrw_2_2"/>
      <w:bookmarkStart w:id="27" w:name="Tc_lIvqDvM1QEmna8bJu8VNlw_2_0"/>
      <w:bookmarkStart w:id="28" w:name="Tc_o81id-HInU20BpuCQtzC_w_1_4"/>
      <w:bookmarkStart w:id="29" w:name="Tc_dZcSQtM8uEKnan9KfsdzWw_1_2"/>
      <w:bookmarkStart w:id="30" w:name="Tc_ZnYm_iIDmkGwsqNK8l5jeA_1_0"/>
      <w:bookmarkStart w:id="31" w:name="Tc_WSs48LRsukunmWRaU9F6IA_0_4"/>
      <w:bookmarkStart w:id="32" w:name="_d68a392d_835a_47ab_8e5c_ca40930e7b8b"/>
      <w:bookmarkEnd w:id="25"/>
      <w:bookmarkEnd w:id="26"/>
      <w:bookmarkEnd w:id="27"/>
      <w:bookmarkEnd w:id="28"/>
      <w:bookmarkEnd w:id="29"/>
      <w:bookmarkEnd w:id="30"/>
      <w:bookmarkEnd w:id="31"/>
      <w:bookmarkEnd w:id="32"/>
    </w:p>
    <w:tbl>
      <w:tblPr>
        <w:tblW w:w="7840" w:type="dxa"/>
        <w:jc w:val="left"/>
        <w:tblInd w:w="0" w:type="dxa"/>
        <w:tblCellMar>
          <w:top w:w="0" w:type="dxa"/>
          <w:left w:w="0" w:type="dxa"/>
          <w:bottom w:w="0" w:type="dxa"/>
          <w:right w:w="0" w:type="dxa"/>
        </w:tblCellMar>
      </w:tblPr>
      <w:tblGrid>
        <w:gridCol w:w="2791"/>
        <w:gridCol w:w="326"/>
        <w:gridCol w:w="1576"/>
        <w:gridCol w:w="326"/>
        <w:gridCol w:w="2821"/>
      </w:tblGrid>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82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Name of each exchange on which</w:t>
            </w:r>
          </w:p>
        </w:tc>
      </w:tr>
      <w:tr>
        <w:trPr/>
        <w:tc>
          <w:tcPr>
            <w:tcW w:w="27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5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Trading Symbol(s)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8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registered</w:t>
            </w:r>
          </w:p>
        </w:tc>
      </w:tr>
      <w:tr>
        <w:trPr/>
        <w:tc>
          <w:tcPr>
            <w:tcW w:w="279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Common Stock, par value $0.0001</w:t>
            </w:r>
          </w:p>
        </w:tc>
        <w:tc>
          <w:tcPr>
            <w:tcW w:w="326" w:type="dxa"/>
            <w:tcBorders/>
            <w:shd w:fill="auto" w:val="clear"/>
            <w:vAlign w:val="center"/>
          </w:tcPr>
          <w:p>
            <w:pPr>
              <w:pStyle w:val="TableContents"/>
              <w:spacing w:before="0" w:after="0"/>
              <w:ind w:left="0" w:right="0" w:hanging="0"/>
              <w:rPr/>
            </w:pPr>
            <w:r>
              <w:rPr/>
              <w:t>​</w:t>
            </w:r>
          </w:p>
        </w:tc>
        <w:tc>
          <w:tcPr>
            <w:tcW w:w="157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MRAM</w:t>
            </w:r>
          </w:p>
        </w:tc>
        <w:tc>
          <w:tcPr>
            <w:tcW w:w="326" w:type="dxa"/>
            <w:tcBorders/>
            <w:shd w:fill="auto" w:val="clear"/>
            <w:vAlign w:val="center"/>
          </w:tcPr>
          <w:p>
            <w:pPr>
              <w:pStyle w:val="TableContents"/>
              <w:spacing w:before="0" w:after="0"/>
              <w:ind w:left="0" w:right="0" w:hanging="0"/>
              <w:rPr/>
            </w:pPr>
            <w:r>
              <w:rPr/>
              <w:t>​</w:t>
            </w:r>
          </w:p>
        </w:tc>
        <w:tc>
          <w:tcPr>
            <w:tcW w:w="282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The Nasdaq Stock Market LLC</w:t>
            </w:r>
          </w:p>
        </w:tc>
      </w:tr>
    </w:tbl>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6"/>
        </w:rPr>
      </w:pPr>
      <w:r>
        <w:rPr>
          <w:rFonts w:ascii="Arial;Helvetica;sans-serif" w:hAnsi="Arial;Helvetica;sans-serif"/>
          <w:sz w:val="16"/>
        </w:rPr>
        <w:t>Indicate by check mark whether the registrant is an emerging growth company as defined in Rule 405 of the Securities Act of 1933(§230.405 of this chapter) or Rule 12b-2 of the Securities Exchange Act of 1934 (§240.12b-2 of this chapter).</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16"/>
        </w:rPr>
        <w:t xml:space="preserve">Emerging growth company </w:t>
      </w:r>
      <w:r>
        <w:rPr>
          <w:rFonts w:ascii="Arial;Helvetica;sans-serif" w:hAnsi="Arial;Helvetica;sans-serif"/>
          <w:sz w:val="20"/>
        </w:rPr>
        <w:t>☒</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w:t>
      </w:r>
    </w:p>
    <w:p>
      <w:pPr>
        <w:pStyle w:val="TextBody"/>
        <w:spacing w:before="0" w:after="0"/>
        <w:ind w:left="0" w:right="0" w:hanging="0"/>
        <w:rPr/>
      </w:pPr>
      <w:r>
        <w:rPr/>
        <w:t>​</w:t>
      </w:r>
    </w:p>
    <w:p>
      <w:pPr>
        <w:pStyle w:val="TextBody"/>
        <w:pBdr>
          <w:top w:val="single" w:sz="2" w:space="1" w:color="000000"/>
          <w:bottom w:val="single" w:sz="24" w:space="1" w:color="000000"/>
        </w:pBdr>
        <w:spacing w:lineRule="atLeast" w:line="141" w:before="0" w:after="0"/>
        <w:ind w:left="0" w:right="0" w:hanging="0"/>
        <w:jc w:val="center"/>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b/>
          <w:sz w:val="18"/>
        </w:rPr>
      </w:pPr>
      <w:bookmarkStart w:id="33" w:name="_73268e25_450b_4766_85fa_c2ebdc9a0a16"/>
      <w:bookmarkEnd w:id="33"/>
      <w:r>
        <w:rPr>
          <w:rFonts w:ascii="Arial;Helvetica;sans-serif" w:hAnsi="Arial;Helvetica;sans-serif"/>
          <w:b/>
          <w:sz w:val="18"/>
        </w:rPr>
        <w:t>Item 2.02. Results of Operations and Financial Condition.</w:t>
      </w:r>
    </w:p>
    <w:p>
      <w:pPr>
        <w:pStyle w:val="TextBody"/>
        <w:spacing w:before="0" w:after="0"/>
        <w:ind w:left="0" w:right="0" w:hanging="0"/>
        <w:rPr/>
      </w:pPr>
      <w:r>
        <w:rPr/>
        <w:t>​</w:t>
      </w:r>
    </w:p>
    <w:p>
      <w:pPr>
        <w:pStyle w:val="TextBody"/>
        <w:spacing w:before="0" w:after="0"/>
        <w:ind w:left="0" w:right="0" w:firstLine="360"/>
        <w:rPr>
          <w:rFonts w:ascii="Arial;Helvetica;sans-serif" w:hAnsi="Arial;Helvetica;sans-serif"/>
          <w:sz w:val="18"/>
        </w:rPr>
      </w:pPr>
      <w:r>
        <w:rPr>
          <w:rFonts w:ascii="Arial;Helvetica;sans-serif" w:hAnsi="Arial;Helvetica;sans-serif"/>
          <w:sz w:val="18"/>
        </w:rPr>
        <w:t>On August 12, 2021, Everspin Technologies, Inc. issued a press release announcing its results of operations for its second quarter ended June 30, 2021,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b/>
          <w:sz w:val="18"/>
        </w:rPr>
      </w:pPr>
      <w:bookmarkStart w:id="34" w:name="_e4766192_e3d9_4e49_8bb0_d91543231d22"/>
      <w:bookmarkEnd w:id="34"/>
      <w:r>
        <w:rPr>
          <w:rFonts w:ascii="Arial;Helvetica;sans-serif" w:hAnsi="Arial;Helvetica;sans-serif"/>
          <w:b/>
          <w:sz w:val="18"/>
        </w:rPr>
        <w:t>Item 9.01. Financial Statements and Exhibits.</w:t>
      </w:r>
    </w:p>
    <w:p>
      <w:pPr>
        <w:pStyle w:val="TextBody"/>
        <w:spacing w:before="0" w:after="0"/>
        <w:ind w:left="0" w:right="0" w:hanging="0"/>
        <w:rPr/>
      </w:pPr>
      <w:r>
        <w:rPr/>
        <w:t>​</w:t>
      </w:r>
    </w:p>
    <w:tbl>
      <w:tblPr>
        <w:tblW w:w="6343" w:type="dxa"/>
        <w:jc w:val="left"/>
        <w:tblInd w:w="0" w:type="dxa"/>
        <w:tblCellMar>
          <w:top w:w="0" w:type="dxa"/>
          <w:left w:w="0" w:type="dxa"/>
          <w:bottom w:w="0" w:type="dxa"/>
          <w:right w:w="0" w:type="dxa"/>
        </w:tblCellMar>
      </w:tblPr>
      <w:tblGrid>
        <w:gridCol w:w="1036"/>
        <w:gridCol w:w="326"/>
        <w:gridCol w:w="4981"/>
      </w:tblGrid>
      <w:tr>
        <w:trPr/>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57860" cy="175260"/>
                      <wp:effectExtent l="0" t="0" r="0" b="0"/>
                      <wp:wrapNone/>
                      <wp:docPr id="4" name="Frame4"/>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4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162935" cy="175260"/>
                      <wp:effectExtent l="0" t="0" r="0" b="0"/>
                      <wp:wrapNone/>
                      <wp:docPr id="5" name="Frame5"/>
                      <a:graphic xmlns:a="http://schemas.openxmlformats.org/drawingml/2006/main">
                        <a:graphicData uri="http://schemas.microsoft.com/office/word/2010/wordprocessingShape">
                          <wps:wsp>
                            <wps:cNvSpPr txBox="1"/>
                            <wps:spPr>
                              <a:xfrm>
                                <a:off x="0" y="0"/>
                                <a:ext cx="3162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03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b/>
                <w:sz w:val="18"/>
              </w:rPr>
            </w:pPr>
            <w:r>
              <w:rPr>
                <w:rFonts w:ascii="Arial;Helvetica;sans-serif" w:hAnsi="Arial;Helvetica;sans-serif"/>
                <w:b/>
                <w:sz w:val="18"/>
              </w:rPr>
              <w:t>Exhibit No.</w:t>
            </w:r>
          </w:p>
        </w:tc>
        <w:tc>
          <w:tcPr>
            <w:tcW w:w="326" w:type="dxa"/>
            <w:tcBorders/>
            <w:shd w:fill="auto" w:val="clear"/>
            <w:vAlign w:val="center"/>
          </w:tcPr>
          <w:p>
            <w:pPr>
              <w:pStyle w:val="TableContents"/>
              <w:spacing w:before="0" w:after="0"/>
              <w:ind w:left="0" w:right="0" w:hanging="0"/>
              <w:jc w:val="both"/>
              <w:rPr/>
            </w:pPr>
            <w:r>
              <w:rPr/>
              <w:t>    </w:t>
            </w:r>
          </w:p>
        </w:tc>
        <w:tc>
          <w:tcPr>
            <w:tcW w:w="49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8"/>
              </w:rPr>
            </w:pPr>
            <w:r>
              <w:rPr>
                <w:rFonts w:ascii="Arial;Helvetica;sans-serif" w:hAnsi="Arial;Helvetica;sans-serif"/>
                <w:b/>
                <w:sz w:val="18"/>
              </w:rPr>
              <w:t>Description</w:t>
            </w:r>
          </w:p>
        </w:tc>
      </w:tr>
      <w:tr>
        <w:trPr/>
        <w:tc>
          <w:tcPr>
            <w:tcW w:w="103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498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036"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99.1</w:t>
            </w:r>
          </w:p>
        </w:tc>
        <w:tc>
          <w:tcPr>
            <w:tcW w:w="326" w:type="dxa"/>
            <w:tcBorders/>
            <w:shd w:fill="auto" w:val="clear"/>
            <w:vAlign w:val="center"/>
          </w:tcPr>
          <w:p>
            <w:pPr>
              <w:pStyle w:val="TableContents"/>
              <w:spacing w:before="0" w:after="0"/>
              <w:ind w:left="0" w:right="0" w:hanging="0"/>
              <w:jc w:val="both"/>
              <w:rPr/>
            </w:pPr>
            <w:r>
              <w:rPr/>
              <w:t>​</w:t>
            </w:r>
          </w:p>
        </w:tc>
        <w:tc>
          <w:tcPr>
            <w:tcW w:w="4981" w:type="dxa"/>
            <w:tcBorders/>
            <w:shd w:fill="auto" w:val="clear"/>
            <w:vAlign w:val="center"/>
          </w:tcPr>
          <w:p>
            <w:pPr>
              <w:pStyle w:val="TableContents"/>
              <w:spacing w:before="0" w:after="0"/>
              <w:ind w:left="0" w:right="0" w:hanging="0"/>
              <w:jc w:val="left"/>
              <w:rPr/>
            </w:pPr>
            <w:hyperlink w:anchor="mram-20210812xex99d1.htm">
              <w:r>
                <w:rPr>
                  <w:rStyle w:val="InternetLink"/>
                  <w:rFonts w:ascii="Arial;Helvetica;sans-serif" w:hAnsi="Arial;Helvetica;sans-serif"/>
                  <w:b w:val="false"/>
                  <w:i w:val="false"/>
                  <w:caps w:val="false"/>
                  <w:smallCaps w:val="false"/>
                  <w:sz w:val="18"/>
                </w:rPr>
                <w:t>Press release, dated August 12, 2021</w:t>
              </w:r>
            </w:hyperlink>
          </w:p>
        </w:tc>
      </w:tr>
      <w:tr>
        <w:trPr/>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4981" w:type="dxa"/>
            <w:tcBorders/>
            <w:shd w:fill="auto" w:val="clear"/>
            <w:vAlign w:val="center"/>
          </w:tcPr>
          <w:p>
            <w:pPr>
              <w:pStyle w:val="TableContents"/>
              <w:spacing w:before="0" w:after="0"/>
              <w:ind w:left="0" w:right="0" w:hanging="0"/>
              <w:rPr/>
            </w:pPr>
            <w:r>
              <w:rPr/>
              <w:t>​</w:t>
            </w:r>
          </w:p>
        </w:tc>
      </w:tr>
      <w:tr>
        <w:trPr/>
        <w:tc>
          <w:tcPr>
            <w:tcW w:w="1036"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104</w:t>
            </w:r>
          </w:p>
        </w:tc>
        <w:tc>
          <w:tcPr>
            <w:tcW w:w="326" w:type="dxa"/>
            <w:tcBorders/>
            <w:shd w:fill="auto" w:val="clear"/>
            <w:vAlign w:val="center"/>
          </w:tcPr>
          <w:p>
            <w:pPr>
              <w:pStyle w:val="TableContents"/>
              <w:spacing w:before="0" w:after="0"/>
              <w:ind w:left="0" w:right="0" w:hanging="0"/>
              <w:jc w:val="both"/>
              <w:rPr/>
            </w:pPr>
            <w:r>
              <w:rPr/>
              <w:t>​</w:t>
            </w:r>
          </w:p>
        </w:tc>
        <w:tc>
          <w:tcPr>
            <w:tcW w:w="4981"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Cover Page Interactive Data File (formatted as Inline XBRL)</w:t>
            </w:r>
          </w:p>
        </w:tc>
      </w:tr>
      <w:tr>
        <w:trPr/>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498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18"/>
        </w:rPr>
      </w:pPr>
      <w:bookmarkStart w:id="35" w:name="_f996247f_a744_4f8b_a6d8_2f6a638534b7"/>
      <w:bookmarkEnd w:id="35"/>
      <w:r>
        <w:rPr>
          <w:rFonts w:ascii="Arial;Helvetica;sans-serif" w:hAnsi="Arial;Helvetica;sans-serif"/>
          <w:b/>
          <w:sz w:val="18"/>
        </w:rPr>
        <w:t>SIGNATURES</w:t>
      </w:r>
    </w:p>
    <w:p>
      <w:pPr>
        <w:pStyle w:val="TextBody"/>
        <w:spacing w:before="0" w:after="0"/>
        <w:ind w:left="0" w:right="0" w:hanging="0"/>
        <w:rPr/>
      </w:pPr>
      <w:r>
        <w:rPr/>
        <w:t>​</w:t>
      </w:r>
    </w:p>
    <w:p>
      <w:pPr>
        <w:pStyle w:val="TextBody"/>
        <w:spacing w:before="0" w:after="0"/>
        <w:ind w:left="0" w:right="0" w:firstLine="720"/>
        <w:rPr>
          <w:rFonts w:ascii="Arial;Helvetica;sans-serif" w:hAnsi="Arial;Helvetica;sans-serif"/>
          <w:sz w:val="18"/>
        </w:rPr>
      </w:pPr>
      <w:r>
        <w:rPr>
          <w:rFonts w:ascii="Arial;Helvetica;sans-serif" w:hAnsi="Arial;Helvetica;sans-serif"/>
          <w:sz w:val="18"/>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w:t>
      </w:r>
    </w:p>
    <w:tbl>
      <w:tblPr>
        <w:tblW w:w="5073" w:type="dxa"/>
        <w:jc w:val="left"/>
        <w:tblInd w:w="0" w:type="dxa"/>
        <w:tblCellMar>
          <w:top w:w="0" w:type="dxa"/>
          <w:left w:w="0" w:type="dxa"/>
          <w:bottom w:w="0" w:type="dxa"/>
          <w:right w:w="0" w:type="dxa"/>
        </w:tblCellMar>
      </w:tblPr>
      <w:tblGrid>
        <w:gridCol w:w="2041"/>
        <w:gridCol w:w="361"/>
        <w:gridCol w:w="2671"/>
      </w:tblGrid>
      <w:tr>
        <w:trPr/>
        <w:tc>
          <w:tcPr>
            <w:tcW w:w="20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96035" cy="175260"/>
                      <wp:effectExtent l="0" t="0" r="0" b="0"/>
                      <wp:wrapNone/>
                      <wp:docPr id="6" name="Frame6"/>
                      <a:graphic xmlns:a="http://schemas.openxmlformats.org/drawingml/2006/main">
                        <a:graphicData uri="http://schemas.microsoft.com/office/word/2010/wordprocessingShape">
                          <wps:wsp>
                            <wps:cNvSpPr txBox="1"/>
                            <wps:spPr>
                              <a:xfrm>
                                <a:off x="0" y="0"/>
                                <a:ext cx="1296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9235" cy="175260"/>
                      <wp:effectExtent l="0" t="0" r="0" b="0"/>
                      <wp:wrapNone/>
                      <wp:docPr id="7" name="Frame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696085" cy="175260"/>
                      <wp:effectExtent l="0" t="0" r="0" b="0"/>
                      <wp:wrapNone/>
                      <wp:docPr id="8" name="Frame8"/>
                      <a:graphic xmlns:a="http://schemas.openxmlformats.org/drawingml/2006/main">
                        <a:graphicData uri="http://schemas.microsoft.com/office/word/2010/wordprocessingShape">
                          <wps:wsp>
                            <wps:cNvSpPr txBox="1"/>
                            <wps:spPr>
                              <a:xfrm>
                                <a:off x="0" y="0"/>
                                <a:ext cx="1696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41" w:type="dxa"/>
            <w:tcBorders/>
            <w:shd w:fill="auto" w:val="clear"/>
            <w:vAlign w:val="center"/>
          </w:tcPr>
          <w:p>
            <w:pPr>
              <w:pStyle w:val="TableContents"/>
              <w:spacing w:before="0" w:after="0"/>
              <w:ind w:left="0" w:right="0" w:hanging="0"/>
              <w:rPr/>
            </w:pPr>
            <w:r>
              <w:rPr/>
              <w:t>​</w:t>
            </w:r>
          </w:p>
        </w:tc>
        <w:tc>
          <w:tcPr>
            <w:tcW w:w="3032" w:type="dxa"/>
            <w:gridSpan w:val="2"/>
            <w:tcBorders/>
            <w:shd w:fill="auto" w:val="clear"/>
            <w:vAlign w:val="center"/>
          </w:tcPr>
          <w:p>
            <w:pPr>
              <w:pStyle w:val="TableContents"/>
              <w:spacing w:before="0" w:after="0"/>
              <w:ind w:left="0" w:right="0" w:hanging="0"/>
              <w:rPr>
                <w:rFonts w:ascii="Arial;Helvetica;sans-serif" w:hAnsi="Arial;Helvetica;sans-serif"/>
                <w:b/>
                <w:sz w:val="18"/>
              </w:rPr>
            </w:pPr>
            <w:r>
              <w:rPr>
                <w:rFonts w:ascii="Arial;Helvetica;sans-serif" w:hAnsi="Arial;Helvetica;sans-serif"/>
                <w:b/>
                <w:sz w:val="18"/>
              </w:rPr>
              <w:t>Everspin Technologies, Inc.</w:t>
            </w:r>
          </w:p>
        </w:tc>
      </w:tr>
      <w:tr>
        <w:trPr/>
        <w:tc>
          <w:tcPr>
            <w:tcW w:w="2041" w:type="dxa"/>
            <w:tcBorders/>
            <w:shd w:fill="auto" w:val="clear"/>
            <w:vAlign w:val="center"/>
          </w:tcPr>
          <w:p>
            <w:pPr>
              <w:pStyle w:val="TableContents"/>
              <w:spacing w:before="0" w:after="0"/>
              <w:ind w:left="0" w:right="0" w:hanging="0"/>
              <w:rPr/>
            </w:pPr>
            <w:r>
              <w:rPr/>
              <w:t>​</w:t>
            </w:r>
          </w:p>
        </w:tc>
        <w:tc>
          <w:tcPr>
            <w:tcW w:w="3032" w:type="dxa"/>
            <w:gridSpan w:val="2"/>
            <w:tcBorders/>
            <w:shd w:fill="auto" w:val="clear"/>
            <w:vAlign w:val="center"/>
          </w:tcPr>
          <w:p>
            <w:pPr>
              <w:pStyle w:val="TableContents"/>
              <w:spacing w:before="0" w:after="0"/>
              <w:ind w:left="0" w:right="0" w:hanging="0"/>
              <w:rPr/>
            </w:pPr>
            <w:r>
              <w:rPr/>
              <w:t>​</w:t>
            </w:r>
          </w:p>
        </w:tc>
      </w:tr>
      <w:tr>
        <w:trPr/>
        <w:tc>
          <w:tcPr>
            <w:tcW w:w="2041"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Dated: August 12, 2021</w:t>
            </w:r>
          </w:p>
        </w:tc>
        <w:tc>
          <w:tcPr>
            <w:tcW w:w="3032" w:type="dxa"/>
            <w:gridSpan w:val="2"/>
            <w:tcBorders/>
            <w:shd w:fill="auto" w:val="clear"/>
            <w:vAlign w:val="center"/>
          </w:tcPr>
          <w:p>
            <w:pPr>
              <w:pStyle w:val="TableContents"/>
              <w:spacing w:before="0" w:after="0"/>
              <w:ind w:left="0" w:right="0" w:hanging="0"/>
              <w:rPr/>
            </w:pPr>
            <w:r>
              <w:rPr/>
              <w:t>​</w:t>
            </w:r>
          </w:p>
        </w:tc>
      </w:tr>
      <w:tr>
        <w:trPr/>
        <w:tc>
          <w:tcPr>
            <w:tcW w:w="2041" w:type="dxa"/>
            <w:tcBorders/>
            <w:shd w:fill="auto" w:val="clear"/>
            <w:vAlign w:val="center"/>
          </w:tcPr>
          <w:p>
            <w:pPr>
              <w:pStyle w:val="TableContents"/>
              <w:spacing w:before="0" w:after="0"/>
              <w:ind w:left="0" w:right="0" w:hanging="0"/>
              <w:rPr/>
            </w:pPr>
            <w:r>
              <w:rPr/>
              <w:t>​</w:t>
            </w:r>
          </w:p>
        </w:tc>
        <w:tc>
          <w:tcPr>
            <w:tcW w:w="3032" w:type="dxa"/>
            <w:gridSpan w:val="2"/>
            <w:tcBorders/>
            <w:shd w:fill="auto" w:val="clear"/>
            <w:vAlign w:val="center"/>
          </w:tcPr>
          <w:p>
            <w:pPr>
              <w:pStyle w:val="TableContents"/>
              <w:spacing w:before="0" w:after="0"/>
              <w:ind w:left="0" w:right="0" w:hanging="0"/>
              <w:rPr/>
            </w:pPr>
            <w:r>
              <w:rPr/>
              <w:t>​</w:t>
            </w:r>
          </w:p>
        </w:tc>
      </w:tr>
      <w:tr>
        <w:trPr/>
        <w:tc>
          <w:tcPr>
            <w:tcW w:w="204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By:</w:t>
            </w:r>
          </w:p>
        </w:tc>
        <w:tc>
          <w:tcPr>
            <w:tcW w:w="267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r>
              <w:rPr>
                <w:rFonts w:ascii="Arial;Helvetica;sans-serif" w:hAnsi="Arial;Helvetica;sans-serif"/>
                <w:sz w:val="18"/>
              </w:rPr>
              <w:t>/s/ Anuj Aggarwal</w:t>
            </w:r>
          </w:p>
        </w:tc>
      </w:tr>
      <w:tr>
        <w:trPr/>
        <w:tc>
          <w:tcPr>
            <w:tcW w:w="204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2671" w:type="dxa"/>
            <w:tcBorders>
              <w:top w:val="single" w:sz="2" w:space="0" w:color="000000"/>
            </w:tcBorders>
            <w:shd w:fill="auto" w:val="clear"/>
            <w:tcMar>
              <w:top w:w="28" w:type="dxa"/>
            </w:tcMar>
            <w:vAlign w:val="center"/>
          </w:tcPr>
          <w:p>
            <w:pPr>
              <w:pStyle w:val="TableContents"/>
              <w:spacing w:before="0" w:after="0"/>
              <w:ind w:left="0" w:right="0" w:hanging="0"/>
              <w:rPr/>
            </w:pPr>
            <w:r>
              <w:rPr/>
              <w:t>  </w:t>
            </w:r>
            <w:r>
              <w:rPr>
                <w:rFonts w:ascii="Arial;Helvetica;sans-serif" w:hAnsi="Arial;Helvetica;sans-serif"/>
                <w:sz w:val="18"/>
              </w:rPr>
              <w:t>Anuj Aggarwal</w:t>
            </w:r>
          </w:p>
        </w:tc>
      </w:tr>
      <w:tr>
        <w:trPr/>
        <w:tc>
          <w:tcPr>
            <w:tcW w:w="204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2671" w:type="dxa"/>
            <w:tcBorders/>
            <w:shd w:fill="auto" w:val="clear"/>
            <w:vAlign w:val="center"/>
          </w:tcPr>
          <w:p>
            <w:pPr>
              <w:pStyle w:val="TableContents"/>
              <w:spacing w:before="0" w:after="0"/>
              <w:ind w:left="0" w:right="0" w:hanging="0"/>
              <w:rPr/>
            </w:pPr>
            <w:r>
              <w:rPr/>
              <w:t>  </w:t>
            </w:r>
            <w:r>
              <w:rPr>
                <w:rFonts w:ascii="Arial;Helvetica;sans-serif" w:hAnsi="Arial;Helvetica;sans-serif"/>
                <w:sz w:val="18"/>
              </w:rPr>
              <w:t>Interim Chief Financial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r>
        <w:br w:type="page"/>
      </w:r>
    </w:p>
    <w:p>
      <w:pPr>
        <w:pStyle w:val="TextBody"/>
        <w:spacing w:before="0" w:after="0"/>
        <w:ind w:left="0" w:right="0" w:hanging="0"/>
        <w:jc w:val="right"/>
        <w:rPr>
          <w:rFonts w:ascii="Arial;Helvetica;sans-serif" w:hAnsi="Arial;Helvetica;sans-serif"/>
          <w:b/>
          <w:sz w:val="18"/>
        </w:rPr>
      </w:pPr>
      <w:bookmarkStart w:id="36" w:name="mram-20210812xex99d1.htm"/>
      <w:bookmarkStart w:id="37" w:name="ksmram20210812xex99d1"/>
      <w:bookmarkEnd w:id="36"/>
      <w:bookmarkEnd w:id="37"/>
      <w:r>
        <w:rPr>
          <w:rFonts w:ascii="Arial;Helvetica;sans-serif" w:hAnsi="Arial;Helvetica;sans-serif"/>
          <w:b/>
          <w:sz w:val="18"/>
        </w:rPr>
        <w:t>Exhibit 99.1</w:t>
      </w:r>
    </w:p>
    <w:p>
      <w:pPr>
        <w:pStyle w:val="TextBody"/>
        <w:spacing w:before="0" w:after="0"/>
        <w:ind w:left="0" w:right="0" w:hanging="0"/>
        <w:jc w:val="right"/>
        <w:rPr/>
      </w:pPr>
      <w:r>
        <w:rPr/>
        <w:t>​</w:t>
      </w:r>
    </w:p>
    <w:p>
      <w:pPr>
        <w:pStyle w:val="TextBody"/>
        <w:spacing w:before="0" w:after="0"/>
        <w:ind w:left="0" w:right="0" w:hanging="0"/>
        <w:rPr/>
      </w:pPr>
      <w:r>
        <w:rPr/>
        <w:drawing>
          <wp:inline distT="0" distB="0" distL="0" distR="0">
            <wp:extent cx="2286000" cy="47244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286000" cy="472440"/>
                    </a:xfrm>
                    <a:prstGeom prst="rect">
                      <a:avLst/>
                    </a:prstGeom>
                  </pic:spPr>
                </pic:pic>
              </a:graphicData>
            </a:graphic>
          </wp:inline>
        </w:drawing>
      </w:r>
    </w:p>
    <w:p>
      <w:pPr>
        <w:pStyle w:val="TextBody"/>
        <w:spacing w:before="0" w:after="0"/>
        <w:ind w:left="0" w:right="0" w:hanging="0"/>
        <w:rPr/>
      </w:pPr>
      <w:r>
        <w:rPr/>
        <w:t>​</w:t>
      </w:r>
    </w:p>
    <w:p>
      <w:pPr>
        <w:pStyle w:val="TextBody"/>
        <w:spacing w:before="0" w:after="240"/>
        <w:ind w:left="0" w:right="0" w:hanging="0"/>
        <w:jc w:val="center"/>
        <w:rPr>
          <w:rFonts w:ascii="Arial;Helvetica;sans-serif" w:hAnsi="Arial;Helvetica;sans-serif"/>
          <w:b/>
          <w:sz w:val="18"/>
        </w:rPr>
      </w:pPr>
      <w:r>
        <w:rPr>
          <w:rFonts w:ascii="Arial;Helvetica;sans-serif" w:hAnsi="Arial;Helvetica;sans-serif"/>
          <w:b/>
          <w:sz w:val="18"/>
        </w:rPr>
        <w:t>Everspin Reports Second Quarter 2021 Financial Results</w:t>
      </w:r>
    </w:p>
    <w:p>
      <w:pPr>
        <w:pStyle w:val="TextBody"/>
        <w:spacing w:before="0" w:after="240"/>
        <w:ind w:left="0" w:right="0" w:hanging="0"/>
        <w:jc w:val="center"/>
        <w:rPr>
          <w:rFonts w:ascii="Arial;Helvetica;sans-serif" w:hAnsi="Arial;Helvetica;sans-serif"/>
          <w:i/>
          <w:sz w:val="18"/>
        </w:rPr>
      </w:pPr>
      <w:r>
        <w:rPr>
          <w:rFonts w:ascii="Arial;Helvetica;sans-serif" w:hAnsi="Arial;Helvetica;sans-serif"/>
          <w:i/>
          <w:sz w:val="18"/>
        </w:rPr>
        <w:t>The Company Reports its First Quarter in Company History with Net Income</w:t>
      </w:r>
    </w:p>
    <w:p>
      <w:pPr>
        <w:pStyle w:val="TextBody"/>
        <w:spacing w:before="0" w:after="240"/>
        <w:ind w:left="0" w:right="0" w:hanging="0"/>
        <w:rPr>
          <w:rFonts w:ascii="Arial;Helvetica;sans-serif" w:hAnsi="Arial;Helvetica;sans-serif"/>
          <w:sz w:val="18"/>
        </w:rPr>
      </w:pPr>
      <w:r>
        <w:rPr>
          <w:rFonts w:ascii="Arial;Helvetica;sans-serif" w:hAnsi="Arial;Helvetica;sans-serif"/>
          <w:b/>
          <w:sz w:val="18"/>
        </w:rPr>
        <w:t xml:space="preserve">Chandler, AZ, August 12, 2021 </w:t>
      </w:r>
      <w:r>
        <w:rPr>
          <w:rFonts w:ascii="Arial;Helvetica;sans-serif" w:hAnsi="Arial;Helvetica;sans-serif"/>
          <w:sz w:val="18"/>
        </w:rPr>
        <w:t>— Everspin Technologies, Inc. (NASDAQ: MRAM), the market leader in MRAM, today announced financial results for the second fiscal quarter of 2021.</w:t>
      </w:r>
    </w:p>
    <w:p>
      <w:pPr>
        <w:pStyle w:val="TextBody"/>
        <w:spacing w:before="0" w:after="0"/>
        <w:ind w:left="0" w:right="0" w:hanging="0"/>
        <w:rPr>
          <w:rFonts w:ascii="Arial;Helvetica;sans-serif" w:hAnsi="Arial;Helvetica;sans-serif"/>
          <w:b/>
          <w:sz w:val="18"/>
        </w:rPr>
      </w:pPr>
      <w:r>
        <w:rPr>
          <w:rFonts w:ascii="Arial;Helvetica;sans-serif" w:hAnsi="Arial;Helvetica;sans-serif"/>
          <w:b/>
          <w:sz w:val="18"/>
        </w:rPr>
        <w:t>Second Quarter 2021 Highlights</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0"/>
              <w:rPr>
                <w:rFonts w:ascii="Symbol" w:hAnsi="Symbol"/>
                <w:sz w:val="18"/>
              </w:rPr>
            </w:pPr>
            <w:r>
              <w:rPr>
                <w:rFonts w:ascii="Symbol" w:hAnsi="Symbol"/>
                <w:sz w:val="18"/>
              </w:rPr>
              <w:t>·</w:t>
            </w:r>
          </w:p>
        </w:tc>
        <w:tc>
          <w:tcPr>
            <w:tcW w:w="10087" w:type="dxa"/>
            <w:tcBorders/>
            <w:shd w:fill="auto" w:val="clear"/>
            <w:vAlign w:val="center"/>
          </w:tcPr>
          <w:p>
            <w:pPr>
              <w:pStyle w:val="TableContents"/>
              <w:spacing w:before="0" w:after="0"/>
              <w:rPr>
                <w:rFonts w:ascii="Arial;Helvetica;sans-serif" w:hAnsi="Arial;Helvetica;sans-serif"/>
                <w:sz w:val="20"/>
              </w:rPr>
            </w:pPr>
            <w:r>
              <w:rPr>
                <w:rFonts w:ascii="Arial;Helvetica;sans-serif" w:hAnsi="Arial;Helvetica;sans-serif"/>
                <w:sz w:val="18"/>
              </w:rPr>
              <w:t>Q2</w:t>
            </w:r>
            <w:r>
              <w:rPr>
                <w:rFonts w:ascii="Arial;Helvetica;sans-serif" w:hAnsi="Arial;Helvetica;sans-serif"/>
                <w:sz w:val="20"/>
              </w:rPr>
              <w:t>’</w:t>
            </w:r>
            <w:r>
              <w:rPr>
                <w:rFonts w:ascii="Arial;Helvetica;sans-serif" w:hAnsi="Arial;Helvetica;sans-serif"/>
                <w:sz w:val="18"/>
              </w:rPr>
              <w:t>21 revenue increased 15% from the prior quarter to $11.85 million; this was an increase of $1.57 million compared to Q1</w:t>
            </w:r>
            <w:r>
              <w:rPr>
                <w:rFonts w:ascii="Arial;Helvetica;sans-serif" w:hAnsi="Arial;Helvetica;sans-serif"/>
                <w:sz w:val="20"/>
              </w:rPr>
              <w:t>’</w:t>
            </w:r>
            <w:r>
              <w:rPr>
                <w:rFonts w:ascii="Arial;Helvetica;sans-serif" w:hAnsi="Arial;Helvetica;sans-serif"/>
                <w:sz w:val="18"/>
              </w:rPr>
              <w:t>21 revenue. Q2</w:t>
            </w:r>
            <w:r>
              <w:rPr>
                <w:rFonts w:ascii="Arial;Helvetica;sans-serif" w:hAnsi="Arial;Helvetica;sans-serif"/>
                <w:sz w:val="20"/>
              </w:rPr>
              <w:t>’</w:t>
            </w:r>
            <w:r>
              <w:rPr>
                <w:rFonts w:ascii="Arial;Helvetica;sans-serif" w:hAnsi="Arial;Helvetica;sans-serif"/>
                <w:sz w:val="18"/>
              </w:rPr>
              <w:t>21 revenue was relatively flat to Q2</w:t>
            </w:r>
            <w:r>
              <w:rPr>
                <w:rFonts w:ascii="Arial;Helvetica;sans-serif" w:hAnsi="Arial;Helvetica;sans-serif"/>
                <w:sz w:val="20"/>
              </w:rPr>
              <w:t>’</w:t>
            </w:r>
            <w:r>
              <w:rPr>
                <w:rFonts w:ascii="Arial;Helvetica;sans-serif" w:hAnsi="Arial;Helvetica;sans-serif"/>
                <w:sz w:val="18"/>
              </w:rPr>
              <w:t>20 Revenue of $11.83 million.</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0"/>
              <w:rPr>
                <w:rFonts w:ascii="Symbol" w:hAnsi="Symbol"/>
                <w:sz w:val="18"/>
              </w:rPr>
            </w:pPr>
            <w:r>
              <w:rPr>
                <w:rFonts w:ascii="Symbol" w:hAnsi="Symbol"/>
                <w:sz w:val="18"/>
              </w:rPr>
              <w:t>·</w:t>
            </w:r>
          </w:p>
        </w:tc>
        <w:tc>
          <w:tcPr>
            <w:tcW w:w="10087" w:type="dxa"/>
            <w:tcBorders/>
            <w:shd w:fill="auto" w:val="clear"/>
            <w:vAlign w:val="center"/>
          </w:tcPr>
          <w:p>
            <w:pPr>
              <w:pStyle w:val="TableContents"/>
              <w:spacing w:before="0" w:after="0"/>
              <w:rPr>
                <w:rFonts w:ascii="Arial;Helvetica;sans-serif" w:hAnsi="Arial;Helvetica;sans-serif"/>
                <w:sz w:val="20"/>
              </w:rPr>
            </w:pPr>
            <w:r>
              <w:rPr>
                <w:rFonts w:ascii="Arial;Helvetica;sans-serif" w:hAnsi="Arial;Helvetica;sans-serif"/>
                <w:sz w:val="18"/>
              </w:rPr>
              <w:t>The Company reported net income of $256k for Q2</w:t>
            </w:r>
            <w:r>
              <w:rPr>
                <w:rFonts w:ascii="Arial;Helvetica;sans-serif" w:hAnsi="Arial;Helvetica;sans-serif"/>
                <w:sz w:val="20"/>
              </w:rPr>
              <w:t>’</w:t>
            </w:r>
            <w:r>
              <w:rPr>
                <w:rFonts w:ascii="Arial;Helvetica;sans-serif" w:hAnsi="Arial;Helvetica;sans-serif"/>
                <w:sz w:val="18"/>
              </w:rPr>
              <w:t>21, compared to a net loss of $460k for Q1'21 and a net loss of $1.3 million for Q2</w:t>
            </w:r>
            <w:r>
              <w:rPr>
                <w:rFonts w:ascii="Arial;Helvetica;sans-serif" w:hAnsi="Arial;Helvetica;sans-serif"/>
                <w:sz w:val="20"/>
              </w:rPr>
              <w:t>’</w:t>
            </w:r>
            <w:r>
              <w:rPr>
                <w:rFonts w:ascii="Arial;Helvetica;sans-serif" w:hAnsi="Arial;Helvetica;sans-serif"/>
                <w:sz w:val="18"/>
              </w:rPr>
              <w:t>20.</w:t>
            </w:r>
          </w:p>
        </w:tc>
      </w:tr>
    </w:tbl>
    <w:tbl>
      <w:tblPr>
        <w:tblW w:w="4713" w:type="dxa"/>
        <w:jc w:val="left"/>
        <w:tblInd w:w="0" w:type="dxa"/>
        <w:tblCellMar>
          <w:top w:w="0" w:type="dxa"/>
          <w:left w:w="0" w:type="dxa"/>
          <w:bottom w:w="0" w:type="dxa"/>
          <w:right w:w="0" w:type="dxa"/>
        </w:tblCellMar>
      </w:tblPr>
      <w:tblGrid>
        <w:gridCol w:w="23"/>
        <w:gridCol w:w="95"/>
        <w:gridCol w:w="459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18"/>
              </w:rPr>
            </w:pPr>
            <w:r>
              <w:rPr>
                <w:rFonts w:ascii="Symbol" w:hAnsi="Symbol"/>
                <w:sz w:val="18"/>
              </w:rPr>
              <w:t>·</w:t>
            </w:r>
          </w:p>
        </w:tc>
        <w:tc>
          <w:tcPr>
            <w:tcW w:w="4595"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18"/>
              </w:rPr>
              <w:t>Ended Q2</w:t>
            </w:r>
            <w:r>
              <w:rPr>
                <w:rFonts w:ascii="Arial;Helvetica;sans-serif" w:hAnsi="Arial;Helvetica;sans-serif"/>
                <w:sz w:val="20"/>
              </w:rPr>
              <w:t>’</w:t>
            </w:r>
            <w:r>
              <w:rPr>
                <w:rFonts w:ascii="Arial;Helvetica;sans-serif" w:hAnsi="Arial;Helvetica;sans-serif"/>
                <w:sz w:val="18"/>
              </w:rPr>
              <w:t>21 with cash and equivalents of $14.2 million.</w:t>
            </w:r>
          </w:p>
        </w:tc>
      </w:tr>
    </w:tbl>
    <w:p>
      <w:pPr>
        <w:pStyle w:val="TextBody"/>
        <w:spacing w:before="0" w:after="240"/>
        <w:ind w:left="0" w:right="0" w:hanging="0"/>
        <w:rPr/>
      </w:pPr>
      <w:r>
        <w:rPr/>
        <w:t>“</w:t>
      </w:r>
      <w:r>
        <w:rPr>
          <w:rFonts w:ascii="Arial;Helvetica;sans-serif" w:hAnsi="Arial;Helvetica;sans-serif"/>
          <w:sz w:val="18"/>
        </w:rPr>
        <w:t>For the 1st time in Company history, we were GAAP net income positive for a quarter. This is a testament to the hard work and extra effort by the Everspin team to increase revenue and gross margins, while holding the line on spending,” stated Darin Billerbeck, Everspin’s Executive Chairman and Interim CEO.</w:t>
      </w:r>
    </w:p>
    <w:p>
      <w:pPr>
        <w:pStyle w:val="TextBody"/>
        <w:spacing w:before="0" w:after="240"/>
        <w:ind w:left="0" w:right="0" w:hanging="0"/>
        <w:rPr>
          <w:rFonts w:ascii="Arial;Helvetica;sans-serif" w:hAnsi="Arial;Helvetica;sans-serif"/>
          <w:b/>
          <w:sz w:val="18"/>
        </w:rPr>
      </w:pPr>
      <w:r>
        <w:rPr>
          <w:rFonts w:ascii="Arial;Helvetica;sans-serif" w:hAnsi="Arial;Helvetica;sans-serif"/>
          <w:b/>
          <w:sz w:val="18"/>
        </w:rPr>
        <w:t>Second Quarter 2021 Results</w:t>
      </w:r>
    </w:p>
    <w:p>
      <w:pPr>
        <w:pStyle w:val="TextBody"/>
        <w:spacing w:before="0" w:after="240"/>
        <w:ind w:left="0" w:right="0" w:hanging="0"/>
        <w:jc w:val="both"/>
        <w:rPr>
          <w:rFonts w:ascii="Arial;Helvetica;sans-serif" w:hAnsi="Arial;Helvetica;sans-serif"/>
          <w:sz w:val="18"/>
        </w:rPr>
      </w:pPr>
      <w:r>
        <w:rPr>
          <w:rFonts w:ascii="Arial;Helvetica;sans-serif" w:hAnsi="Arial;Helvetica;sans-serif"/>
          <w:sz w:val="18"/>
        </w:rPr>
        <w:t>Total revenue for the second quarter of 2021 was $11.85 million, an increase of  15% from the $10.28 million reported last quarter. Q2’21 revenue was relatively flat to Q2’20 revenue of $11.83 million.</w:t>
      </w:r>
    </w:p>
    <w:p>
      <w:pPr>
        <w:pStyle w:val="TextBody"/>
        <w:spacing w:before="0" w:after="240"/>
        <w:ind w:left="0" w:right="0" w:hanging="0"/>
        <w:jc w:val="both"/>
        <w:rPr>
          <w:rFonts w:ascii="Arial;Helvetica;sans-serif" w:hAnsi="Arial;Helvetica;sans-serif"/>
          <w:sz w:val="18"/>
        </w:rPr>
      </w:pPr>
      <w:r>
        <w:rPr>
          <w:rFonts w:ascii="Arial;Helvetica;sans-serif" w:hAnsi="Arial;Helvetica;sans-serif"/>
          <w:sz w:val="18"/>
        </w:rPr>
        <w:t>Gross margin for the second quarter of 2021 was 60.7%, compared to 58.2% in the prior quarter and 43.9% in the second quarter of 2020.</w:t>
      </w:r>
    </w:p>
    <w:p>
      <w:pPr>
        <w:pStyle w:val="TextBody"/>
        <w:spacing w:before="0" w:after="240"/>
        <w:ind w:left="0" w:right="0" w:hanging="0"/>
        <w:jc w:val="both"/>
        <w:rPr>
          <w:rFonts w:ascii="Arial;Helvetica;sans-serif" w:hAnsi="Arial;Helvetica;sans-serif"/>
          <w:sz w:val="18"/>
        </w:rPr>
      </w:pPr>
      <w:r>
        <w:rPr>
          <w:rFonts w:ascii="Arial;Helvetica;sans-serif" w:hAnsi="Arial;Helvetica;sans-serif"/>
          <w:sz w:val="18"/>
        </w:rPr>
        <w:t>GAAP operating expenses for the second quarter of 2021 increased to $6.7 million, compared to $6.3 million in the first quarter of 2021 primarily due to a $900k increase in research &amp; development spend, partially offset by a $500k decline in general and administrative expenses.  This is compared to operating expenses of $6.3 million in the second quarter of 2020. GAAP operating expenses in the second quarter of 2021 included $704k of stock-based compensation, compared to $743k last quarter and $918k in the second quarter of 2020.</w:t>
      </w:r>
    </w:p>
    <w:p>
      <w:pPr>
        <w:pStyle w:val="TextBody"/>
        <w:spacing w:before="0" w:after="240"/>
        <w:ind w:left="0" w:right="0" w:hanging="0"/>
        <w:jc w:val="both"/>
        <w:rPr>
          <w:rFonts w:ascii="Arial;Helvetica;sans-serif" w:hAnsi="Arial;Helvetica;sans-serif"/>
          <w:sz w:val="18"/>
        </w:rPr>
      </w:pPr>
      <w:r>
        <w:rPr>
          <w:rFonts w:ascii="Arial;Helvetica;sans-serif" w:hAnsi="Arial;Helvetica;sans-serif"/>
          <w:sz w:val="18"/>
        </w:rPr>
        <w:t>GAAP net income for the second quarter of 2021 was $256k, or $0.01 per share, based on 19.3 million basic weighted-average common shares outstanding. This compares to a net loss of $460k, or ($0.02) per share, in the first quarter of 2021 and a net loss of $1.3 million, or ($0.07) per share, in the second quarter of 2020.</w:t>
      </w:r>
    </w:p>
    <w:p>
      <w:pPr>
        <w:pStyle w:val="TextBody"/>
        <w:spacing w:before="0" w:after="240"/>
        <w:ind w:left="0" w:right="0" w:hanging="0"/>
        <w:jc w:val="both"/>
        <w:rPr>
          <w:rFonts w:ascii="Arial;Helvetica;sans-serif" w:hAnsi="Arial;Helvetica;sans-serif"/>
          <w:sz w:val="18"/>
        </w:rPr>
      </w:pPr>
      <w:r>
        <w:rPr>
          <w:rFonts w:ascii="Arial;Helvetica;sans-serif" w:hAnsi="Arial;Helvetica;sans-serif"/>
          <w:sz w:val="18"/>
        </w:rPr>
        <w:t>Adjusted EBITDA for the second quarter of 2021 improved to $1.5 million, compared to a $0.8 million last quarter and $0.3 million in the second quarter of 2020.</w:t>
      </w:r>
    </w:p>
    <w:p>
      <w:pPr>
        <w:pStyle w:val="TextBody"/>
        <w:spacing w:before="0" w:after="240"/>
        <w:ind w:left="0" w:right="0" w:hanging="0"/>
        <w:jc w:val="both"/>
        <w:rPr>
          <w:rFonts w:ascii="Arial;Helvetica;sans-serif" w:hAnsi="Arial;Helvetica;sans-serif"/>
          <w:sz w:val="18"/>
        </w:rPr>
      </w:pPr>
      <w:r>
        <w:rPr>
          <w:rFonts w:ascii="Arial;Helvetica;sans-serif" w:hAnsi="Arial;Helvetica;sans-serif"/>
          <w:sz w:val="18"/>
        </w:rPr>
        <w:t>Cash and cash equivalents as of June 30, 2021, were $14.2 million, compared to $15.5 million at the end of the first quarter of 2021.</w:t>
      </w:r>
    </w:p>
    <w:p>
      <w:pPr>
        <w:pStyle w:val="TextBody"/>
        <w:spacing w:before="0" w:after="0"/>
        <w:ind w:left="0" w:right="0" w:hanging="0"/>
        <w:jc w:val="both"/>
        <w:rPr>
          <w:rFonts w:ascii="Arial;Helvetica;sans-serif" w:hAnsi="Arial;Helvetica;sans-serif"/>
          <w:b/>
          <w:sz w:val="18"/>
        </w:rPr>
      </w:pPr>
      <w:r>
        <w:rPr>
          <w:rFonts w:ascii="Arial;Helvetica;sans-serif" w:hAnsi="Arial;Helvetica;sans-serif"/>
          <w:b/>
          <w:sz w:val="18"/>
        </w:rPr>
        <w:t>Business Outlook</w:t>
      </w:r>
    </w:p>
    <w:p>
      <w:pPr>
        <w:pStyle w:val="TextBody"/>
        <w:spacing w:before="0" w:after="240"/>
        <w:ind w:left="0" w:right="0" w:hanging="0"/>
        <w:jc w:val="both"/>
        <w:rPr>
          <w:rFonts w:ascii="Arial;Helvetica;sans-serif" w:hAnsi="Arial;Helvetica;sans-serif"/>
          <w:sz w:val="18"/>
        </w:rPr>
      </w:pPr>
      <w:r>
        <w:rPr>
          <w:rFonts w:ascii="Arial;Helvetica;sans-serif" w:hAnsi="Arial;Helvetica;sans-serif"/>
          <w:sz w:val="18"/>
        </w:rPr>
        <w:t>For the third quarter of 2021, Everspin expects total revenue in a range between $11.7 million and $12.7 million, which at the mid-point represents a 21% increase over total revenue of $10.12 million in the year-ago quarter. GAAP net loss per share is expected to range between ($0.04) and ($0.07) per share, which reflects expected stock-based compensation expense of approximately $0.8 million.</w:t>
      </w:r>
    </w:p>
    <w:p>
      <w:pPr>
        <w:pStyle w:val="TextBody"/>
        <w:spacing w:before="0" w:after="240"/>
        <w:ind w:left="0" w:right="0" w:hanging="0"/>
        <w:jc w:val="both"/>
        <w:rPr>
          <w:rFonts w:ascii="Arial;Helvetica;sans-serif" w:hAnsi="Arial;Helvetica;sans-serif"/>
          <w:sz w:val="18"/>
        </w:rPr>
      </w:pPr>
      <w:r>
        <w:rPr>
          <w:rFonts w:ascii="Arial;Helvetica;sans-serif" w:hAnsi="Arial;Helvetica;sans-serif"/>
          <w:sz w:val="18"/>
        </w:rPr>
        <w:t>This outlook is dependent on Everspin's current expectations, which may be impacted by, among other things, evolving external conditions, such as the resurgence of COVID-19 and its variants, local safety guidelines, supply chain constraints or interruptions, and the other risk factors described in Everspin's filings with the SEC, including its Annual Report on Form 10-K for the fiscal year ended December 31, 2020, its Quarterly Reports on Form 10-Q filed with the Securities and Exchange Commission (the "SEC") during 2021, as well as in its subsequent filings with the SEC.</w:t>
      </w:r>
    </w:p>
    <w:p>
      <w:pPr>
        <w:pStyle w:val="TextBody"/>
        <w:spacing w:before="0" w:after="0"/>
        <w:ind w:left="0" w:right="0" w:hanging="0"/>
        <w:rPr>
          <w:rFonts w:ascii="Arial;Helvetica;sans-serif" w:hAnsi="Arial;Helvetica;sans-serif"/>
          <w:b/>
          <w:sz w:val="18"/>
        </w:rPr>
      </w:pPr>
      <w:r>
        <w:rPr>
          <w:rFonts w:ascii="Arial;Helvetica;sans-serif" w:hAnsi="Arial;Helvetica;sans-serif"/>
          <w:b/>
          <w:sz w:val="18"/>
        </w:rPr>
        <w:t>Use of Non-GAAP Financial Measures</w:t>
      </w:r>
    </w:p>
    <w:p>
      <w:pPr>
        <w:pStyle w:val="TextBody"/>
        <w:spacing w:before="0" w:after="240"/>
        <w:ind w:left="0" w:right="0" w:hanging="0"/>
        <w:rPr>
          <w:rFonts w:ascii="Arial;Helvetica;sans-serif" w:hAnsi="Arial;Helvetica;sans-serif"/>
          <w:sz w:val="18"/>
        </w:rPr>
      </w:pPr>
      <w:r>
        <w:rPr>
          <w:rFonts w:ascii="Arial;Helvetica;sans-serif" w:hAnsi="Arial;Helvetica;sans-serif"/>
          <w:sz w:val="18"/>
        </w:rPr>
        <w:t>We supplement the reporting of our financial information determined under generally accepted accounting principles in the United States of America (GAAP) with Adjusted EBITDA, which is a non-GAAP financial measure. We define Adjusted EBITDA as net income (loss) adjusted for interest expense, taxes, depreciation and amortization, stock-based compensation expense, and restructuring costs if any.</w:t>
      </w:r>
    </w:p>
    <w:p>
      <w:pPr>
        <w:pStyle w:val="TextBody"/>
        <w:spacing w:before="0" w:after="240"/>
        <w:ind w:left="0" w:right="0" w:hanging="0"/>
        <w:rPr/>
      </w:pPr>
      <w:r>
        <w:rPr/>
        <w:t>​</w:t>
      </w:r>
    </w:p>
    <w:p>
      <w:pPr>
        <w:pStyle w:val="TextBody"/>
        <w:spacing w:before="0" w:after="240"/>
        <w:ind w:left="0" w:right="0" w:hanging="0"/>
        <w:rPr/>
      </w:pPr>
      <w:r>
        <w:rPr/>
        <w:t>​</w:t>
      </w:r>
    </w:p>
    <w:p>
      <w:pPr>
        <w:pStyle w:val="HorizontalLine"/>
        <w:rPr/>
      </w:pPr>
      <w:r>
        <w:rPr/>
      </w:r>
    </w:p>
    <w:p>
      <w:pPr>
        <w:pStyle w:val="TextBody"/>
        <w:spacing w:before="0" w:after="0"/>
        <w:ind w:left="0" w:right="0" w:hanging="0"/>
        <w:jc w:val="right"/>
        <w:rPr/>
      </w:pPr>
      <w:r>
        <w:rPr/>
        <w:t>​</w:t>
      </w:r>
    </w:p>
    <w:p>
      <w:pPr>
        <w:pStyle w:val="TextBody"/>
        <w:spacing w:before="0" w:after="0"/>
        <w:ind w:left="0" w:right="0" w:hanging="0"/>
        <w:rPr/>
      </w:pPr>
      <w:r>
        <w:rPr/>
        <w:drawing>
          <wp:inline distT="0" distB="0" distL="0" distR="0">
            <wp:extent cx="2286000" cy="47244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286000" cy="472440"/>
                    </a:xfrm>
                    <a:prstGeom prst="rect">
                      <a:avLst/>
                    </a:prstGeom>
                  </pic:spPr>
                </pic:pic>
              </a:graphicData>
            </a:graphic>
          </wp:inline>
        </w:drawing>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18"/>
        </w:rPr>
      </w:pPr>
      <w:r>
        <w:rPr>
          <w:rFonts w:ascii="Arial;Helvetica;sans-serif" w:hAnsi="Arial;Helvetica;sans-serif"/>
          <w:sz w:val="18"/>
        </w:rPr>
        <w:t>Our management and board of directors use Adjusted EBITDA to understand and evaluate our operating performance and trends, to prepare and approve our annual budget and to develop short-term and long-term operating and financing plans. Accordingly, our management believes that this non-GAAP measure provide useful information for investors in understanding and evaluating our operating results in the same manner as our management and our board of directors, as well as facilitating comparisons of our operating performance on a period-to-period basis.</w:t>
      </w:r>
    </w:p>
    <w:p>
      <w:pPr>
        <w:pStyle w:val="TextBody"/>
        <w:spacing w:before="0" w:after="240"/>
        <w:ind w:left="0" w:right="0" w:hanging="0"/>
        <w:jc w:val="both"/>
        <w:rPr>
          <w:rFonts w:ascii="Arial;Helvetica;sans-serif" w:hAnsi="Arial;Helvetica;sans-serif"/>
          <w:sz w:val="18"/>
        </w:rPr>
      </w:pPr>
      <w:r>
        <w:rPr>
          <w:rFonts w:ascii="Arial;Helvetica;sans-serif" w:hAnsi="Arial;Helvetica;sans-serif"/>
          <w:sz w:val="18"/>
        </w:rPr>
        <w:t>Non-GAAP financial measures, including Adjusted EBITDA, should not be considered as a substitute for, or superior to, measures of financial performance prepared in accordance with GAAP. Moreover, other companies may define non-GAAP measures differently, which limits the usefulness of these measures for comparisons with such other companies. We encourage investors to review our financial statements and publicly-filed reports in their entirety and not to rely on any single financial measure.</w:t>
      </w:r>
    </w:p>
    <w:p>
      <w:pPr>
        <w:pStyle w:val="TextBody"/>
        <w:spacing w:before="0" w:after="0"/>
        <w:ind w:left="0" w:right="0" w:hanging="0"/>
        <w:rPr>
          <w:rFonts w:ascii="Arial;Helvetica;sans-serif" w:hAnsi="Arial;Helvetica;sans-serif"/>
          <w:b/>
          <w:sz w:val="18"/>
        </w:rPr>
      </w:pPr>
      <w:r>
        <w:rPr>
          <w:rFonts w:ascii="Arial;Helvetica;sans-serif" w:hAnsi="Arial;Helvetica;sans-serif"/>
          <w:b/>
          <w:sz w:val="18"/>
        </w:rPr>
        <w:t>Conference Call</w:t>
      </w:r>
    </w:p>
    <w:p>
      <w:pPr>
        <w:pStyle w:val="TextBody"/>
        <w:spacing w:before="0" w:after="240"/>
        <w:ind w:left="0" w:right="0" w:hanging="0"/>
        <w:rPr>
          <w:rFonts w:ascii="Arial;Helvetica;sans-serif" w:hAnsi="Arial;Helvetica;sans-serif"/>
          <w:sz w:val="18"/>
        </w:rPr>
      </w:pPr>
      <w:r>
        <w:rPr>
          <w:rFonts w:ascii="Arial;Helvetica;sans-serif" w:hAnsi="Arial;Helvetica;sans-serif"/>
          <w:sz w:val="18"/>
        </w:rPr>
        <w:t xml:space="preserve">Everspin will host a conference call for analysts and investors today at 5:00 p.m. Eastern Time. Interested participants can access the call by dialing 1-844-889-7788 and providing passcode 9886239. International callers may join the call by dialing +1-661-378-9932, using the same code. The call will also be available as a live and archived webcast in the Investor Relations section of the company’s website at </w:t>
      </w:r>
      <w:r>
        <w:rPr>
          <w:rFonts w:ascii="Arial;Helvetica;sans-serif" w:hAnsi="Arial;Helvetica;sans-serif"/>
          <w:sz w:val="18"/>
          <w:u w:val="single"/>
        </w:rPr>
        <w:t>investor.everspin.com</w:t>
      </w:r>
      <w:r>
        <w:rPr>
          <w:rFonts w:ascii="Arial;Helvetica;sans-serif" w:hAnsi="Arial;Helvetica;sans-serif"/>
          <w:sz w:val="18"/>
        </w:rPr>
        <w:t>.</w:t>
      </w:r>
    </w:p>
    <w:p>
      <w:pPr>
        <w:pStyle w:val="TextBody"/>
        <w:spacing w:before="0" w:after="240"/>
        <w:ind w:left="0" w:right="0" w:hanging="0"/>
        <w:jc w:val="both"/>
        <w:rPr>
          <w:rFonts w:ascii="Arial;Helvetica;sans-serif" w:hAnsi="Arial;Helvetica;sans-serif"/>
          <w:sz w:val="18"/>
        </w:rPr>
      </w:pPr>
      <w:r>
        <w:rPr>
          <w:rFonts w:ascii="Arial;Helvetica;sans-serif" w:hAnsi="Arial;Helvetica;sans-serif"/>
          <w:sz w:val="18"/>
        </w:rPr>
        <w:t>A telephone replay of the conference call will be available approximately two hours after the call through August 19, 2021. The replay can be accessed by dialing 1-855-859-2056 and using the passcode 9886239. International callers should dial +1-404-537-3406 and enter the same passcode at the prompt.</w:t>
      </w:r>
    </w:p>
    <w:p>
      <w:pPr>
        <w:pStyle w:val="TextBody"/>
        <w:spacing w:before="0" w:after="0"/>
        <w:ind w:left="0" w:right="0" w:hanging="0"/>
        <w:rPr>
          <w:rFonts w:ascii="Arial;Helvetica;sans-serif" w:hAnsi="Arial;Helvetica;sans-serif"/>
          <w:b/>
          <w:sz w:val="18"/>
        </w:rPr>
      </w:pPr>
      <w:r>
        <w:rPr>
          <w:rFonts w:ascii="Arial;Helvetica;sans-serif" w:hAnsi="Arial;Helvetica;sans-serif"/>
          <w:b/>
          <w:sz w:val="18"/>
        </w:rPr>
        <w:t>About Everspin Technologies</w:t>
      </w:r>
    </w:p>
    <w:p>
      <w:pPr>
        <w:pStyle w:val="TextBody"/>
        <w:spacing w:before="0" w:after="240"/>
        <w:ind w:left="0" w:right="0" w:hanging="0"/>
        <w:rPr>
          <w:rFonts w:ascii="Arial;Helvetica;sans-serif" w:hAnsi="Arial;Helvetica;sans-serif"/>
          <w:sz w:val="18"/>
        </w:rPr>
      </w:pPr>
      <w:r>
        <w:rPr>
          <w:rFonts w:ascii="Arial;Helvetica;sans-serif" w:hAnsi="Arial;Helvetica;sans-serif"/>
          <w:sz w:val="18"/>
        </w:rPr>
        <w:t xml:space="preserve">Everspin Technologies, Inc. is the world’s leading provider of Magnetoresistive RAM (MRAM). Everspin MRAM delivers the industry’s most robust, highest performance non-volatile memory for Industrial IoT, Data Center, and other mission-critical applications where data persistence is paramount. Headquartered in Chandler, Arizona, Everspin provides commercially available MRAM solutions to a large and diverse customer base. For more information, visit </w:t>
      </w:r>
      <w:r>
        <w:rPr>
          <w:rFonts w:ascii="Arial;Helvetica;sans-serif" w:hAnsi="Arial;Helvetica;sans-serif"/>
          <w:sz w:val="18"/>
          <w:u w:val="single"/>
        </w:rPr>
        <w:t>www.everspin.com</w:t>
      </w:r>
      <w:r>
        <w:rPr>
          <w:rFonts w:ascii="Arial;Helvetica;sans-serif" w:hAnsi="Arial;Helvetica;sans-serif"/>
          <w:sz w:val="18"/>
        </w:rPr>
        <w:t>. NASDAQ: MRAM.</w:t>
      </w:r>
    </w:p>
    <w:p>
      <w:pPr>
        <w:pStyle w:val="TextBody"/>
        <w:spacing w:before="0" w:after="0"/>
        <w:ind w:left="0" w:right="0" w:hanging="0"/>
        <w:rPr>
          <w:rFonts w:ascii="Arial;Helvetica;sans-serif" w:hAnsi="Arial;Helvetica;sans-serif"/>
          <w:b/>
          <w:sz w:val="18"/>
        </w:rPr>
      </w:pPr>
      <w:r>
        <w:rPr>
          <w:rFonts w:ascii="Arial;Helvetica;sans-serif" w:hAnsi="Arial;Helvetica;sans-serif"/>
          <w:b/>
          <w:sz w:val="18"/>
        </w:rPr>
        <w:t>Cautionary Statement Regarding Forward-Looking Statements</w:t>
      </w:r>
    </w:p>
    <w:p>
      <w:pPr>
        <w:pStyle w:val="TextBody"/>
        <w:spacing w:before="0" w:after="480"/>
        <w:ind w:left="0" w:right="0" w:hanging="0"/>
        <w:rPr>
          <w:rFonts w:ascii="Arial;Helvetica;sans-serif" w:hAnsi="Arial;Helvetica;sans-serif"/>
          <w:sz w:val="18"/>
        </w:rPr>
      </w:pPr>
      <w:r>
        <w:rPr>
          <w:rFonts w:ascii="Arial;Helvetica;sans-serif" w:hAnsi="Arial;Helvetica;sans-serif"/>
          <w:sz w:val="18"/>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“believe”, “will”, “may”, “estimate”, “continue”, “anticipate”, “intend”, “should”, “plan”, “expect”, “predict”, “could”, “potentially" or the negative of these terms or similar expressions. These include, but are not limited to our future plans, strategies, objectives, expectations, intentions and financial performance and the assumptions that underlie these statements. Actual results could differ materially from these forward-looking statements as a result of certain risks and uncertainties, including, without limitation, the risks set forth under the caption “Risk Factors” in Everspin’s Annual Report on Form 10-K for the year ended December 31, 2020 filed with the SEC on March 4, 2021, and Everspin’s Quarterly Report on Form 10-Q for the quarter ended June 30, 2021 to be filed with the SEC, as well as in our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w:t>
      </w:r>
    </w:p>
    <w:p>
      <w:pPr>
        <w:pStyle w:val="TextBody"/>
        <w:spacing w:before="0" w:after="0"/>
        <w:ind w:left="0" w:right="0" w:hanging="0"/>
        <w:rPr>
          <w:rFonts w:ascii="Arial;Helvetica;sans-serif" w:hAnsi="Arial;Helvetica;sans-serif"/>
          <w:b/>
          <w:sz w:val="18"/>
        </w:rPr>
      </w:pPr>
      <w:r>
        <w:rPr>
          <w:rFonts w:ascii="Arial;Helvetica;sans-serif" w:hAnsi="Arial;Helvetica;sans-serif"/>
          <w:b/>
          <w:sz w:val="18"/>
        </w:rPr>
        <w:t>Company Contact:</w:t>
      </w:r>
    </w:p>
    <w:p>
      <w:pPr>
        <w:pStyle w:val="TextBody"/>
        <w:spacing w:before="0" w:after="0"/>
        <w:ind w:left="0" w:right="0" w:hanging="0"/>
        <w:rPr>
          <w:rFonts w:ascii="Arial;Helvetica;sans-serif" w:hAnsi="Arial;Helvetica;sans-serif"/>
          <w:sz w:val="18"/>
        </w:rPr>
      </w:pPr>
      <w:r>
        <w:rPr>
          <w:rFonts w:ascii="Arial;Helvetica;sans-serif" w:hAnsi="Arial;Helvetica;sans-serif"/>
          <w:sz w:val="18"/>
        </w:rPr>
        <w:t>Darin Billerbeck, Interim CEO</w:t>
      </w:r>
    </w:p>
    <w:p>
      <w:pPr>
        <w:pStyle w:val="TextBody"/>
        <w:spacing w:before="0" w:after="0"/>
        <w:ind w:left="0" w:right="0" w:hanging="0"/>
        <w:jc w:val="left"/>
        <w:rPr>
          <w:rFonts w:ascii="Arial;Helvetica;sans-serif" w:hAnsi="Arial;Helvetica;sans-serif"/>
          <w:sz w:val="18"/>
        </w:rPr>
      </w:pPr>
      <w:r>
        <w:rPr>
          <w:rFonts w:ascii="Arial;Helvetica;sans-serif" w:hAnsi="Arial;Helvetica;sans-serif"/>
          <w:b w:val="false"/>
          <w:i w:val="false"/>
          <w:caps w:val="false"/>
          <w:smallCaps w:val="false"/>
          <w:sz w:val="18"/>
        </w:rPr>
        <w:t>E:</w:t>
      </w:r>
      <w:r>
        <w:rPr>
          <w:rFonts w:ascii="Arial;Helvetica;sans-serif" w:hAnsi="Arial;Helvetica;sans-serif"/>
          <w:sz w:val="18"/>
          <w:u w:val="single"/>
        </w:rPr>
        <w:t>darin.billerbeck@everspin.com</w:t>
      </w:r>
    </w:p>
    <w:p>
      <w:pPr>
        <w:pStyle w:val="TextBody"/>
        <w:spacing w:before="0" w:after="0"/>
        <w:ind w:left="0" w:right="0" w:firstLine="8"/>
        <w:rPr>
          <w:rFonts w:ascii="Arial;Helvetica;sans-serif" w:hAnsi="Arial;Helvetica;sans-serif"/>
          <w:sz w:val="18"/>
        </w:rPr>
      </w:pPr>
      <w:r>
        <w:rPr>
          <w:rFonts w:ascii="Arial;Helvetica;sans-serif" w:hAnsi="Arial;Helvetica;sans-serif"/>
          <w:sz w:val="18"/>
        </w:rPr>
        <w:t>480.347.1101</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right"/>
        <w:rPr/>
      </w:pPr>
      <w:r>
        <w:rPr/>
        <w:t>​</w:t>
      </w:r>
    </w:p>
    <w:p>
      <w:pPr>
        <w:pStyle w:val="TextBody"/>
        <w:spacing w:before="0" w:after="0"/>
        <w:ind w:left="0" w:right="0" w:hanging="0"/>
        <w:rPr/>
      </w:pPr>
      <w:r>
        <w:rPr/>
        <w:drawing>
          <wp:inline distT="0" distB="0" distL="0" distR="0">
            <wp:extent cx="2286000" cy="47244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2286000" cy="472440"/>
                    </a:xfrm>
                    <a:prstGeom prst="rect">
                      <a:avLst/>
                    </a:prstGeom>
                  </pic:spPr>
                </pic:pic>
              </a:graphicData>
            </a:graphic>
          </wp:inline>
        </w:drawing>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EVERSPIN TECHNOLOGIES,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Condensed Balance Sheets</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(In thousands, except share and per share amounts)</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7129"/>
        <w:gridCol w:w="326"/>
        <w:gridCol w:w="211"/>
        <w:gridCol w:w="878"/>
        <w:gridCol w:w="326"/>
        <w:gridCol w:w="214"/>
        <w:gridCol w:w="928"/>
        <w:gridCol w:w="193"/>
      </w:tblGrid>
      <w:tr>
        <w:trPr/>
        <w:tc>
          <w:tcPr>
            <w:tcW w:w="71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526915" cy="175260"/>
                      <wp:effectExtent l="0" t="0" r="0" b="0"/>
                      <wp:wrapNone/>
                      <wp:docPr id="12" name="Frame9"/>
                      <a:graphic xmlns:a="http://schemas.openxmlformats.org/drawingml/2006/main">
                        <a:graphicData uri="http://schemas.microsoft.com/office/word/2010/wordprocessingShape">
                          <wps:wsp>
                            <wps:cNvSpPr txBox="1"/>
                            <wps:spPr>
                              <a:xfrm>
                                <a:off x="0" y="0"/>
                                <a:ext cx="4526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3"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4" name="Frame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57530" cy="175260"/>
                      <wp:effectExtent l="0" t="0" r="0" b="0"/>
                      <wp:wrapNone/>
                      <wp:docPr id="15" name="Frame12"/>
                      <a:graphic xmlns:a="http://schemas.openxmlformats.org/drawingml/2006/main">
                        <a:graphicData uri="http://schemas.microsoft.com/office/word/2010/wordprocessingShape">
                          <wps:wsp>
                            <wps:cNvSpPr txBox="1"/>
                            <wps:spPr>
                              <a:xfrm>
                                <a:off x="0" y="0"/>
                                <a:ext cx="557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6"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5890" cy="175260"/>
                      <wp:effectExtent l="0" t="0" r="0" b="0"/>
                      <wp:wrapNone/>
                      <wp:docPr id="17" name="Frame14"/>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89280" cy="175260"/>
                      <wp:effectExtent l="0" t="0" r="0" b="0"/>
                      <wp:wrapNone/>
                      <wp:docPr id="18" name="Frame15"/>
                      <a:graphic xmlns:a="http://schemas.openxmlformats.org/drawingml/2006/main">
                        <a:graphicData uri="http://schemas.microsoft.com/office/word/2010/wordprocessingShape">
                          <wps:wsp>
                            <wps:cNvSpPr txBox="1"/>
                            <wps:spPr>
                              <a:xfrm>
                                <a:off x="0" y="0"/>
                                <a:ext cx="589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2555" cy="175260"/>
                      <wp:effectExtent l="0" t="0" r="0" b="0"/>
                      <wp:wrapNone/>
                      <wp:docPr id="19" name="Frame16"/>
                      <a:graphic xmlns:a="http://schemas.openxmlformats.org/drawingml/2006/main">
                        <a:graphicData uri="http://schemas.microsoft.com/office/word/2010/wordprocessingShape">
                          <wps:wsp>
                            <wps:cNvSpPr txBox="1"/>
                            <wps:spPr>
                              <a:xfrm>
                                <a:off x="0" y="0"/>
                                <a:ext cx="122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12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89"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June 30,</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w:t>
            </w:r>
          </w:p>
        </w:tc>
        <w:tc>
          <w:tcPr>
            <w:tcW w:w="193" w:type="dxa"/>
            <w:tcBorders/>
            <w:shd w:fill="auto" w:val="clear"/>
            <w:vAlign w:val="center"/>
          </w:tcPr>
          <w:p>
            <w:pPr>
              <w:pStyle w:val="TableContents"/>
              <w:spacing w:before="0" w:after="0"/>
              <w:ind w:left="0" w:right="0" w:hanging="0"/>
              <w:rPr/>
            </w:pPr>
            <w:r>
              <w:rPr/>
              <w:t> </w:t>
            </w:r>
          </w:p>
        </w:tc>
      </w:tr>
      <w:tr>
        <w:trPr/>
        <w:tc>
          <w:tcPr>
            <w:tcW w:w="712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2020</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878"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4"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928"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Current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7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14,219</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2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14,599</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Accounts receivable,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10,383</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7,607</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Inventory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6,571</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5,721</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221</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270</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Total current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31,394</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28,197</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Property and equipment,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1,288</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1,946</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Right-of-use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1,622</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2,313</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Other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313</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73</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Total assets</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7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34,617</w:t>
            </w:r>
          </w:p>
        </w:tc>
        <w:tc>
          <w:tcPr>
            <w:tcW w:w="326" w:type="dxa"/>
            <w:tcBorders/>
            <w:shd w:fill="CCEEFF" w:val="clear"/>
            <w:vAlign w:val="center"/>
          </w:tcPr>
          <w:p>
            <w:pPr>
              <w:pStyle w:val="TableContents"/>
              <w:spacing w:before="0" w:after="0"/>
              <w:ind w:left="0" w:right="0" w:hanging="0"/>
              <w:rPr/>
            </w:pPr>
            <w:r>
              <w:rPr/>
              <w:t>​</w:t>
            </w:r>
          </w:p>
        </w:tc>
        <w:tc>
          <w:tcPr>
            <w:tcW w:w="21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2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32,529</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rPr/>
            </w:pPr>
            <w:r>
              <w:rPr/>
              <w:t>​</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7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2,869</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2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2,224</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Accrued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1,742</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2,232</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Deferred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1,815</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jc w:val="right"/>
              <w:rPr/>
            </w:pPr>
            <w:r>
              <w:rPr/>
              <w:t>—</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Current portion of long-term debt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4,313</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4,242</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Operating lease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1,190</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1,508</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Other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Total current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11,965</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10,237</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Long-term debt, net of current portion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2,645</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3,748</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Operating lease liabilities, net of current portion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466</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903</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Long-term income tax liability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229</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229</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Total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7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15,305</w:t>
            </w:r>
          </w:p>
        </w:tc>
        <w:tc>
          <w:tcPr>
            <w:tcW w:w="326" w:type="dxa"/>
            <w:tcBorders/>
            <w:shd w:fill="CCEEFF" w:val="clear"/>
            <w:vAlign w:val="center"/>
          </w:tcPr>
          <w:p>
            <w:pPr>
              <w:pStyle w:val="TableContents"/>
              <w:spacing w:before="0" w:after="0"/>
              <w:ind w:left="0" w:right="0" w:hanging="0"/>
              <w:rPr/>
            </w:pPr>
            <w:r>
              <w:rPr/>
              <w:t>​</w:t>
            </w:r>
          </w:p>
        </w:tc>
        <w:tc>
          <w:tcPr>
            <w:tcW w:w="21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2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15,117</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Commitments and contingencies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rPr/>
            </w:pPr>
            <w:r>
              <w:rPr/>
              <w:t>​</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Preferred stock, $0.0001 par value per share; 5,000,000 shares authorized; no shares issued and outstanding as of June 30, 2021 and December 31, 2020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Common stock, $0.0001 par value per share; 100,000,000 shares authorized; 19,435,274 and 19,031,556 shares issued and outstanding as of June 30, 2021 and December 31, 2020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Additional paid-in capital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176,688</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2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174,584</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Accumulated deficit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(157,378)</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(157,174)</w:t>
            </w:r>
          </w:p>
        </w:tc>
        <w:tc>
          <w:tcPr>
            <w:tcW w:w="193" w:type="dxa"/>
            <w:tcBorders/>
            <w:shd w:fill="CCEEFF" w:val="clear"/>
            <w:vAlign w:val="center"/>
          </w:tcPr>
          <w:p>
            <w:pPr>
              <w:pStyle w:val="TableContents"/>
              <w:spacing w:before="0" w:after="0"/>
              <w:ind w:left="0" w:right="0" w:hanging="0"/>
              <w:rPr/>
            </w:pPr>
            <w:r>
              <w:rPr/>
              <w:t>​</w:t>
            </w:r>
          </w:p>
        </w:tc>
      </w:tr>
      <w:tr>
        <w:trPr/>
        <w:tc>
          <w:tcPr>
            <w:tcW w:w="7129"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Total stockholders’ equity</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87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19,312</w:t>
            </w:r>
          </w:p>
        </w:tc>
        <w:tc>
          <w:tcPr>
            <w:tcW w:w="326" w:type="dxa"/>
            <w:tcBorders/>
            <w:shd w:fill="auto" w:val="clear"/>
            <w:vAlign w:val="center"/>
          </w:tcPr>
          <w:p>
            <w:pPr>
              <w:pStyle w:val="TableContents"/>
              <w:spacing w:before="0" w:after="0"/>
              <w:ind w:left="0" w:right="0" w:hanging="0"/>
              <w:rPr/>
            </w:pPr>
            <w:r>
              <w:rPr/>
              <w:t>​</w:t>
            </w:r>
          </w:p>
        </w:tc>
        <w:tc>
          <w:tcPr>
            <w:tcW w:w="21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92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17,412</w:t>
            </w:r>
          </w:p>
        </w:tc>
        <w:tc>
          <w:tcPr>
            <w:tcW w:w="193" w:type="dxa"/>
            <w:tcBorders/>
            <w:shd w:fill="auto" w:val="clear"/>
            <w:vAlign w:val="center"/>
          </w:tcPr>
          <w:p>
            <w:pPr>
              <w:pStyle w:val="TableContents"/>
              <w:spacing w:before="0" w:after="0"/>
              <w:ind w:left="0" w:right="0" w:hanging="0"/>
              <w:rPr/>
            </w:pPr>
            <w:r>
              <w:rPr/>
              <w:t>​</w:t>
            </w:r>
          </w:p>
        </w:tc>
      </w:tr>
      <w:tr>
        <w:trPr/>
        <w:tc>
          <w:tcPr>
            <w:tcW w:w="7129"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7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34,617</w:t>
            </w:r>
          </w:p>
        </w:tc>
        <w:tc>
          <w:tcPr>
            <w:tcW w:w="326" w:type="dxa"/>
            <w:tcBorders/>
            <w:shd w:fill="CCEEFF" w:val="clear"/>
            <w:vAlign w:val="center"/>
          </w:tcPr>
          <w:p>
            <w:pPr>
              <w:pStyle w:val="TableContents"/>
              <w:spacing w:before="0" w:after="0"/>
              <w:ind w:left="0" w:right="0" w:hanging="0"/>
              <w:rPr/>
            </w:pPr>
            <w:r>
              <w:rPr/>
              <w:t>​</w:t>
            </w:r>
          </w:p>
        </w:tc>
        <w:tc>
          <w:tcPr>
            <w:tcW w:w="21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2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32,529</w:t>
            </w:r>
          </w:p>
        </w:tc>
        <w:tc>
          <w:tcPr>
            <w:tcW w:w="193"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right"/>
        <w:rPr/>
      </w:pPr>
      <w:r>
        <w:rPr/>
        <w:t>​</w:t>
      </w:r>
    </w:p>
    <w:p>
      <w:pPr>
        <w:pStyle w:val="TextBody"/>
        <w:spacing w:before="0" w:after="0"/>
        <w:ind w:left="0" w:right="0" w:hanging="0"/>
        <w:rPr/>
      </w:pPr>
      <w:r>
        <w:rPr/>
        <w:drawing>
          <wp:inline distT="0" distB="0" distL="0" distR="0">
            <wp:extent cx="2286000" cy="47244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2286000" cy="472440"/>
                    </a:xfrm>
                    <a:prstGeom prst="rect">
                      <a:avLst/>
                    </a:prstGeom>
                  </pic:spPr>
                </pic:pic>
              </a:graphicData>
            </a:graphic>
          </wp:inline>
        </w:drawing>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EVERSPIN TECHNOLOGIES,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Condensed Statements of Operations and Comprehensive Income (Loss)</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(In thousands, except share and per share amounts)</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3602"/>
        <w:gridCol w:w="326"/>
        <w:gridCol w:w="211"/>
        <w:gridCol w:w="1066"/>
        <w:gridCol w:w="326"/>
        <w:gridCol w:w="211"/>
        <w:gridCol w:w="1066"/>
        <w:gridCol w:w="326"/>
        <w:gridCol w:w="211"/>
        <w:gridCol w:w="1066"/>
        <w:gridCol w:w="326"/>
        <w:gridCol w:w="211"/>
        <w:gridCol w:w="1066"/>
        <w:gridCol w:w="191"/>
      </w:tblGrid>
      <w:tr>
        <w:trPr/>
        <w:tc>
          <w:tcPr>
            <w:tcW w:w="36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287270" cy="175260"/>
                      <wp:effectExtent l="0" t="0" r="0" b="0"/>
                      <wp:wrapNone/>
                      <wp:docPr id="21" name="Frame17"/>
                      <a:graphic xmlns:a="http://schemas.openxmlformats.org/drawingml/2006/main">
                        <a:graphicData uri="http://schemas.microsoft.com/office/word/2010/wordprocessingShape">
                          <wps:wsp>
                            <wps:cNvSpPr txBox="1"/>
                            <wps:spPr>
                              <a:xfrm>
                                <a:off x="0" y="0"/>
                                <a:ext cx="2287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2" name="Frame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3" name="Frame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76910" cy="175260"/>
                      <wp:effectExtent l="0" t="0" r="0" b="0"/>
                      <wp:wrapNone/>
                      <wp:docPr id="24" name="Frame20"/>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5" name="Frame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6" name="Frame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76910" cy="175260"/>
                      <wp:effectExtent l="0" t="0" r="0" b="0"/>
                      <wp:wrapNone/>
                      <wp:docPr id="27" name="Frame23"/>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8"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29" name="Frame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76910" cy="175260"/>
                      <wp:effectExtent l="0" t="0" r="0" b="0"/>
                      <wp:wrapNone/>
                      <wp:docPr id="30" name="Frame26"/>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1"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2" name="Frame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76910" cy="175260"/>
                      <wp:effectExtent l="0" t="0" r="0" b="0"/>
                      <wp:wrapNone/>
                      <wp:docPr id="33" name="Frame29"/>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1285" cy="175260"/>
                      <wp:effectExtent l="0" t="0" r="0" b="0"/>
                      <wp:wrapNone/>
                      <wp:docPr id="34" name="Frame30"/>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02" w:type="dxa"/>
            <w:tcBorders/>
            <w:shd w:fill="auto" w:val="clear"/>
            <w:vAlign w:val="center"/>
          </w:tcPr>
          <w:p>
            <w:pPr>
              <w:pStyle w:val="TableContents"/>
              <w:pBdr/>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8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w:t>
            </w:r>
          </w:p>
        </w:tc>
        <w:tc>
          <w:tcPr>
            <w:tcW w:w="326" w:type="dxa"/>
            <w:tcBorders/>
            <w:shd w:fill="auto" w:val="clear"/>
            <w:vAlign w:val="center"/>
          </w:tcPr>
          <w:p>
            <w:pPr>
              <w:pStyle w:val="TableContents"/>
              <w:spacing w:before="0" w:after="0"/>
              <w:ind w:left="0" w:right="0" w:hanging="0"/>
              <w:jc w:val="center"/>
              <w:rPr/>
            </w:pPr>
            <w:r>
              <w:rPr/>
              <w:t>​</w:t>
            </w:r>
          </w:p>
        </w:tc>
        <w:tc>
          <w:tcPr>
            <w:tcW w:w="28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w:t>
            </w:r>
          </w:p>
        </w:tc>
        <w:tc>
          <w:tcPr>
            <w:tcW w:w="191" w:type="dxa"/>
            <w:tcBorders/>
            <w:shd w:fill="auto" w:val="clear"/>
            <w:vAlign w:val="center"/>
          </w:tcPr>
          <w:p>
            <w:pPr>
              <w:pStyle w:val="TableContents"/>
              <w:spacing w:before="0" w:after="0"/>
              <w:ind w:left="0" w:right="0" w:hanging="0"/>
              <w:jc w:val="center"/>
              <w:rPr/>
            </w:pPr>
            <w:r>
              <w:rPr/>
              <w:t>​</w:t>
            </w:r>
          </w:p>
        </w:tc>
      </w:tr>
      <w:tr>
        <w:trPr/>
        <w:tc>
          <w:tcPr>
            <w:tcW w:w="3602" w:type="dxa"/>
            <w:tcBorders/>
            <w:shd w:fill="auto" w:val="clear"/>
            <w:vAlign w:val="center"/>
          </w:tcPr>
          <w:p>
            <w:pPr>
              <w:pStyle w:val="TableContents"/>
              <w:pBdr/>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277"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277"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2020</w:t>
            </w:r>
          </w:p>
        </w:tc>
        <w:tc>
          <w:tcPr>
            <w:tcW w:w="326" w:type="dxa"/>
            <w:tcBorders/>
            <w:shd w:fill="auto" w:val="clear"/>
            <w:vAlign w:val="center"/>
          </w:tcPr>
          <w:p>
            <w:pPr>
              <w:pStyle w:val="TableContents"/>
              <w:spacing w:before="0" w:after="0"/>
              <w:ind w:left="0" w:right="0" w:hanging="0"/>
              <w:rPr/>
            </w:pPr>
            <w:r>
              <w:rPr/>
              <w:t>    </w:t>
            </w:r>
          </w:p>
        </w:tc>
        <w:tc>
          <w:tcPr>
            <w:tcW w:w="1277"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277"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2020</w:t>
            </w:r>
          </w:p>
        </w:tc>
        <w:tc>
          <w:tcPr>
            <w:tcW w:w="191" w:type="dxa"/>
            <w:tcBorders/>
            <w:shd w:fill="auto" w:val="clear"/>
            <w:vAlign w:val="center"/>
          </w:tcPr>
          <w:p>
            <w:pPr>
              <w:pStyle w:val="TableContents"/>
              <w:spacing w:before="0" w:after="0"/>
              <w:ind w:left="0" w:right="0" w:hanging="0"/>
              <w:rPr/>
            </w:pPr>
            <w:r>
              <w:rPr/>
              <w:t> </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Product sales</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10,187</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10,927</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19,255</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20,562</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Licensing, royalty, and other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1,661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899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2,873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1,372</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11,848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11,826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22,128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21,934</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Cost of product sales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4,329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6,521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8,586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11,246</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Cost of licensing, royalty, and other revenue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146</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Total cost of sales</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6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4,652</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6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6,635</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6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8,947</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6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11,392</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7,196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5,191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13,181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10,542</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Operating expenses:</w:t>
            </w:r>
            <w:r>
              <w:rPr>
                <w:rFonts w:ascii="Arial;Helvetica;sans-serif" w:hAnsi="Arial;Helvetica;sans-serif"/>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3,357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2,774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5,796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5,804</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2,448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5,181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5,248</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Sales and marketing</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1,045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1,056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2,032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2,159</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6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6,740</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6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6,278</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6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13,009</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6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13,211</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Gain (loss)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456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(1,087)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(2,669)</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(344)</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Other (expense) income,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63</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Net income (loss) before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(1,244)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(2,950)</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Income tax expense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(76)</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Net income (loss) and comprehensive income (loss)</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256</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(1,294)</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(204)</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(3,026)</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Net income (loss) per share attributable to common stockholders: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Basic</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0.01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(0.07)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(0.01)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(0.16)</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0.01</w:t>
            </w:r>
          </w:p>
        </w:tc>
        <w:tc>
          <w:tcPr>
            <w:tcW w:w="326" w:type="dxa"/>
            <w:tcBorders/>
            <w:shd w:fill="CCEEFF" w:val="clear"/>
            <w:vAlign w:val="center"/>
          </w:tcPr>
          <w:p>
            <w:pPr>
              <w:pStyle w:val="TableContents"/>
              <w:spacing w:before="0" w:after="0"/>
              <w:ind w:left="0" w:right="0" w:hanging="0"/>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(0.07)</w:t>
            </w:r>
          </w:p>
        </w:tc>
        <w:tc>
          <w:tcPr>
            <w:tcW w:w="326" w:type="dxa"/>
            <w:tcBorders/>
            <w:shd w:fill="CCEEFF" w:val="clear"/>
            <w:vAlign w:val="center"/>
          </w:tcPr>
          <w:p>
            <w:pPr>
              <w:pStyle w:val="TableContents"/>
              <w:spacing w:before="0" w:after="0"/>
              <w:ind w:left="0" w:right="0" w:hanging="0"/>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(0.01)</w:t>
            </w:r>
          </w:p>
        </w:tc>
        <w:tc>
          <w:tcPr>
            <w:tcW w:w="326" w:type="dxa"/>
            <w:tcBorders/>
            <w:shd w:fill="CCEEFF" w:val="clear"/>
            <w:vAlign w:val="center"/>
          </w:tcPr>
          <w:p>
            <w:pPr>
              <w:pStyle w:val="TableContents"/>
              <w:spacing w:before="0" w:after="0"/>
              <w:ind w:left="0" w:right="0" w:hanging="0"/>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(0.16)</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Weighted average common shares used to compute net income (loss) per common share attributable to common stockholders: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Basic</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19,313,162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18,747,124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19,203,374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18,585,339</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Diluted</w:t>
            </w:r>
          </w:p>
        </w:tc>
        <w:tc>
          <w:tcPr>
            <w:tcW w:w="326" w:type="dxa"/>
            <w:tcBorders/>
            <w:shd w:fill="auto" w:val="clear"/>
            <w:vAlign w:val="center"/>
          </w:tcPr>
          <w:p>
            <w:pPr>
              <w:pStyle w:val="TableContents"/>
              <w:spacing w:before="0" w:after="0"/>
              <w:ind w:left="0" w:right="0" w:hanging="0"/>
              <w:rPr/>
            </w:pPr>
            <w:r>
              <w:rPr/>
              <w:t>​</w:t>
            </w:r>
          </w:p>
        </w:tc>
        <w:tc>
          <w:tcPr>
            <w:tcW w:w="21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66"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19,726,064</w:t>
            </w:r>
          </w:p>
        </w:tc>
        <w:tc>
          <w:tcPr>
            <w:tcW w:w="326" w:type="dxa"/>
            <w:tcBorders/>
            <w:shd w:fill="auto" w:val="clear"/>
            <w:vAlign w:val="center"/>
          </w:tcPr>
          <w:p>
            <w:pPr>
              <w:pStyle w:val="TableContents"/>
              <w:spacing w:before="0" w:after="0"/>
              <w:ind w:left="0" w:right="0" w:hanging="0"/>
              <w:rPr/>
            </w:pPr>
            <w:r>
              <w:rPr/>
              <w:t>​</w:t>
            </w:r>
          </w:p>
        </w:tc>
        <w:tc>
          <w:tcPr>
            <w:tcW w:w="21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66"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18,747,124</w:t>
            </w:r>
          </w:p>
        </w:tc>
        <w:tc>
          <w:tcPr>
            <w:tcW w:w="326" w:type="dxa"/>
            <w:tcBorders/>
            <w:shd w:fill="auto" w:val="clear"/>
            <w:vAlign w:val="center"/>
          </w:tcPr>
          <w:p>
            <w:pPr>
              <w:pStyle w:val="TableContents"/>
              <w:spacing w:before="0" w:after="0"/>
              <w:ind w:left="0" w:right="0" w:hanging="0"/>
              <w:rPr/>
            </w:pPr>
            <w:r>
              <w:rPr/>
              <w:t>​</w:t>
            </w:r>
          </w:p>
        </w:tc>
        <w:tc>
          <w:tcPr>
            <w:tcW w:w="21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66"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19,203,374</w:t>
            </w:r>
          </w:p>
        </w:tc>
        <w:tc>
          <w:tcPr>
            <w:tcW w:w="326" w:type="dxa"/>
            <w:tcBorders/>
            <w:shd w:fill="auto" w:val="clear"/>
            <w:vAlign w:val="center"/>
          </w:tcPr>
          <w:p>
            <w:pPr>
              <w:pStyle w:val="TableContents"/>
              <w:spacing w:before="0" w:after="0"/>
              <w:ind w:left="0" w:right="0" w:hanging="0"/>
              <w:rPr/>
            </w:pPr>
            <w:r>
              <w:rPr/>
              <w:t>​</w:t>
            </w:r>
          </w:p>
        </w:tc>
        <w:tc>
          <w:tcPr>
            <w:tcW w:w="21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pPr>
            <w:r>
              <w:rPr/>
              <w:t>​</w:t>
            </w:r>
          </w:p>
        </w:tc>
        <w:tc>
          <w:tcPr>
            <w:tcW w:w="1066"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18,585,339</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1066"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1066" w:type="dxa"/>
            <w:tcBorders>
              <w:top w:val="double" w:sz="6" w:space="0" w:color="000000"/>
            </w:tcBorders>
            <w:shd w:fill="CCEEFF" w:val="clear"/>
            <w:tcMar>
              <w:top w:w="28" w:type="dxa"/>
            </w:tcMar>
            <w:vAlign w:val="center"/>
          </w:tcPr>
          <w:p>
            <w:pPr>
              <w:pStyle w:val="TableContents"/>
              <w:spacing w:before="0" w:after="0"/>
              <w:ind w:left="0" w:right="0" w:hanging="0"/>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10014" w:type="dxa"/>
            <w:gridSpan w:val="13"/>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15"/>
              </w:rPr>
              <w:t>1</w:t>
            </w:r>
            <w:r>
              <w:rPr>
                <w:rFonts w:ascii="Arial;Helvetica;sans-serif" w:hAnsi="Arial;Helvetica;sans-serif"/>
                <w:sz w:val="20"/>
              </w:rPr>
              <w:t>Operating expenses include stock-based compensation as follows:</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446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356</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646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790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1,231</w:t>
            </w:r>
          </w:p>
        </w:tc>
        <w:tc>
          <w:tcPr>
            <w:tcW w:w="191" w:type="dxa"/>
            <w:tcBorders/>
            <w:shd w:fill="auto" w:val="clear"/>
            <w:vAlign w:val="center"/>
          </w:tcPr>
          <w:p>
            <w:pPr>
              <w:pStyle w:val="TableContents"/>
              <w:spacing w:before="0" w:after="0"/>
              <w:ind w:left="0" w:right="0" w:hanging="0"/>
              <w:rPr/>
            </w:pPr>
            <w:r>
              <w:rPr/>
              <w:t>​</w:t>
            </w:r>
          </w:p>
        </w:tc>
      </w:tr>
      <w:tr>
        <w:trPr/>
        <w:tc>
          <w:tcPr>
            <w:tcW w:w="3602"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Sales and marketing</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136</w:t>
            </w:r>
          </w:p>
        </w:tc>
        <w:tc>
          <w:tcPr>
            <w:tcW w:w="191" w:type="dxa"/>
            <w:tcBorders/>
            <w:shd w:fill="CCEEFF" w:val="clear"/>
            <w:vAlign w:val="center"/>
          </w:tcPr>
          <w:p>
            <w:pPr>
              <w:pStyle w:val="TableContents"/>
              <w:spacing w:before="0" w:after="0"/>
              <w:ind w:left="0" w:right="0" w:hanging="0"/>
              <w:rPr/>
            </w:pPr>
            <w:r>
              <w:rPr/>
              <w:t>​</w:t>
            </w:r>
          </w:p>
        </w:tc>
      </w:tr>
      <w:tr>
        <w:trPr/>
        <w:tc>
          <w:tcPr>
            <w:tcW w:w="3602"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Total stock-based compensation</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704</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918</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1,447</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1,723</w:t>
            </w:r>
          </w:p>
        </w:tc>
        <w:tc>
          <w:tcPr>
            <w:tcW w:w="1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right"/>
        <w:rPr/>
      </w:pPr>
      <w:r>
        <w:rPr/>
        <w:t>​</w:t>
      </w:r>
    </w:p>
    <w:p>
      <w:pPr>
        <w:pStyle w:val="TextBody"/>
        <w:spacing w:before="0" w:after="0"/>
        <w:ind w:left="0" w:right="0" w:hanging="0"/>
        <w:rPr/>
      </w:pPr>
      <w:r>
        <w:rPr/>
        <w:drawing>
          <wp:inline distT="0" distB="0" distL="0" distR="0">
            <wp:extent cx="2286000" cy="472440"/>
            <wp:effectExtent l="0" t="0" r="0" b="0"/>
            <wp:docPr id="3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5" descr=""/>
                    <pic:cNvPicPr>
                      <a:picLocks noChangeAspect="1" noChangeArrowheads="1"/>
                    </pic:cNvPicPr>
                  </pic:nvPicPr>
                  <pic:blipFill>
                    <a:blip r:embed="rId6"/>
                    <a:stretch>
                      <a:fillRect/>
                    </a:stretch>
                  </pic:blipFill>
                  <pic:spPr bwMode="auto">
                    <a:xfrm>
                      <a:off x="0" y="0"/>
                      <a:ext cx="2286000" cy="472440"/>
                    </a:xfrm>
                    <a:prstGeom prst="rect">
                      <a:avLst/>
                    </a:prstGeom>
                  </pic:spPr>
                </pic:pic>
              </a:graphicData>
            </a:graphic>
          </wp:inline>
        </w:drawing>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EVERSPIN TECHNOLOGIES,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Reconciliation of Adjusted EBITDA</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(In thousands)</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0"/>
        <w:ind w:left="0" w:right="0" w:hanging="0"/>
        <w:rPr/>
      </w:pPr>
      <w:r>
        <w:rPr/>
        <w:t>​</w:t>
      </w:r>
    </w:p>
    <w:tbl>
      <w:tblPr>
        <w:tblW w:w="7909" w:type="dxa"/>
        <w:jc w:val="center"/>
        <w:tblInd w:w="0" w:type="dxa"/>
        <w:tblCellMar>
          <w:top w:w="0" w:type="dxa"/>
          <w:left w:w="0" w:type="dxa"/>
          <w:bottom w:w="0" w:type="dxa"/>
          <w:right w:w="0" w:type="dxa"/>
        </w:tblCellMar>
      </w:tblPr>
      <w:tblGrid>
        <w:gridCol w:w="3286"/>
        <w:gridCol w:w="326"/>
        <w:gridCol w:w="310"/>
        <w:gridCol w:w="860"/>
        <w:gridCol w:w="326"/>
        <w:gridCol w:w="353"/>
        <w:gridCol w:w="907"/>
        <w:gridCol w:w="326"/>
        <w:gridCol w:w="266"/>
        <w:gridCol w:w="949"/>
      </w:tblGrid>
      <w:tr>
        <w:trPr/>
        <w:tc>
          <w:tcPr>
            <w:tcW w:w="32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297"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w:t>
            </w:r>
          </w:p>
        </w:tc>
      </w:tr>
      <w:tr>
        <w:trPr/>
        <w:tc>
          <w:tcPr>
            <w:tcW w:w="32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70"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June 30, 2021</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260"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March 31, 2021</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215"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June 30, 2020</w:t>
            </w:r>
          </w:p>
        </w:tc>
      </w:tr>
      <w:tr>
        <w:trPr/>
        <w:tc>
          <w:tcPr>
            <w:tcW w:w="3286" w:type="dxa"/>
            <w:tcBorders/>
            <w:shd w:fill="CCEEFF" w:val="cle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Adjusted EBITDA reconciliation:</w:t>
            </w:r>
          </w:p>
        </w:tc>
        <w:tc>
          <w:tcPr>
            <w:tcW w:w="326" w:type="dxa"/>
            <w:tcBorders/>
            <w:shd w:fill="CCEEFF" w:val="clear"/>
            <w:vAlign w:val="center"/>
          </w:tcPr>
          <w:p>
            <w:pPr>
              <w:pStyle w:val="TableContents"/>
              <w:spacing w:before="0" w:after="0"/>
              <w:ind w:left="0" w:right="0" w:hanging="0"/>
              <w:rPr/>
            </w:pPr>
            <w:r>
              <w:rPr/>
              <w:t>​</w:t>
            </w:r>
          </w:p>
        </w:tc>
        <w:tc>
          <w:tcPr>
            <w:tcW w:w="310"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860"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53"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907"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66"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949"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r>
      <w:tr>
        <w:trPr/>
        <w:tc>
          <w:tcPr>
            <w:tcW w:w="3286"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Net income (loss)</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0"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256</w:t>
            </w:r>
          </w:p>
        </w:tc>
        <w:tc>
          <w:tcPr>
            <w:tcW w:w="326" w:type="dxa"/>
            <w:tcBorders/>
            <w:shd w:fill="auto" w:val="clear"/>
            <w:vAlign w:val="center"/>
          </w:tcPr>
          <w:p>
            <w:pPr>
              <w:pStyle w:val="TableContents"/>
              <w:spacing w:before="0" w:after="0"/>
              <w:ind w:left="0" w:right="0" w:hanging="0"/>
              <w:rPr/>
            </w:pPr>
            <w:r>
              <w:rPr/>
              <w:t>​</w:t>
            </w:r>
          </w:p>
        </w:tc>
        <w:tc>
          <w:tcPr>
            <w:tcW w:w="353"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07"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(460)</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49"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(1,294)</w:t>
            </w:r>
          </w:p>
        </w:tc>
      </w:tr>
      <w:tr>
        <w:trPr/>
        <w:tc>
          <w:tcPr>
            <w:tcW w:w="3286"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w:t>
            </w:r>
          </w:p>
        </w:tc>
        <w:tc>
          <w:tcPr>
            <w:tcW w:w="860"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373</w:t>
            </w:r>
          </w:p>
        </w:tc>
        <w:tc>
          <w:tcPr>
            <w:tcW w:w="326" w:type="dxa"/>
            <w:tcBorders/>
            <w:shd w:fill="CCEEFF" w:val="clear"/>
            <w:vAlign w:val="center"/>
          </w:tcPr>
          <w:p>
            <w:pPr>
              <w:pStyle w:val="TableContents"/>
              <w:spacing w:before="0" w:after="0"/>
              <w:ind w:left="0" w:right="0" w:hanging="0"/>
              <w:rPr/>
            </w:pPr>
            <w:r>
              <w:rPr/>
              <w:t>​</w:t>
            </w:r>
          </w:p>
        </w:tc>
        <w:tc>
          <w:tcPr>
            <w:tcW w:w="353" w:type="dxa"/>
            <w:tcBorders/>
            <w:shd w:fill="CCEEFF" w:val="clear"/>
            <w:vAlign w:val="center"/>
          </w:tcPr>
          <w:p>
            <w:pPr>
              <w:pStyle w:val="TableContents"/>
              <w:spacing w:before="0" w:after="0"/>
              <w:ind w:left="0" w:right="0" w:hanging="0"/>
              <w:rPr/>
            </w:pPr>
            <w:r>
              <w:rPr/>
              <w:t>​</w:t>
            </w:r>
          </w:p>
        </w:tc>
        <w:tc>
          <w:tcPr>
            <w:tcW w:w="90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383</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404</w:t>
            </w:r>
          </w:p>
        </w:tc>
      </w:tr>
      <w:tr>
        <w:trPr/>
        <w:tc>
          <w:tcPr>
            <w:tcW w:w="3286"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860"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704</w:t>
            </w:r>
          </w:p>
        </w:tc>
        <w:tc>
          <w:tcPr>
            <w:tcW w:w="326" w:type="dxa"/>
            <w:tcBorders/>
            <w:shd w:fill="auto" w:val="clear"/>
            <w:vAlign w:val="center"/>
          </w:tcPr>
          <w:p>
            <w:pPr>
              <w:pStyle w:val="TableContents"/>
              <w:spacing w:before="0" w:after="0"/>
              <w:ind w:left="0" w:right="0" w:hanging="0"/>
              <w:rPr/>
            </w:pPr>
            <w:r>
              <w:rPr/>
              <w:t>​</w:t>
            </w:r>
          </w:p>
        </w:tc>
        <w:tc>
          <w:tcPr>
            <w:tcW w:w="353" w:type="dxa"/>
            <w:tcBorders/>
            <w:shd w:fill="auto" w:val="clear"/>
            <w:vAlign w:val="center"/>
          </w:tcPr>
          <w:p>
            <w:pPr>
              <w:pStyle w:val="TableContents"/>
              <w:spacing w:before="0" w:after="0"/>
              <w:ind w:left="0" w:right="0" w:hanging="0"/>
              <w:rPr/>
            </w:pPr>
            <w:r>
              <w:rPr/>
              <w:t>​</w:t>
            </w:r>
          </w:p>
        </w:tc>
        <w:tc>
          <w:tcPr>
            <w:tcW w:w="907"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743</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918</w:t>
            </w:r>
          </w:p>
        </w:tc>
      </w:tr>
      <w:tr>
        <w:trPr/>
        <w:tc>
          <w:tcPr>
            <w:tcW w:w="3286"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w:t>
            </w:r>
          </w:p>
        </w:tc>
        <w:tc>
          <w:tcPr>
            <w:tcW w:w="860"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144</w:t>
            </w:r>
          </w:p>
        </w:tc>
        <w:tc>
          <w:tcPr>
            <w:tcW w:w="326" w:type="dxa"/>
            <w:tcBorders/>
            <w:shd w:fill="CCEEFF" w:val="clear"/>
            <w:vAlign w:val="center"/>
          </w:tcPr>
          <w:p>
            <w:pPr>
              <w:pStyle w:val="TableContents"/>
              <w:spacing w:before="0" w:after="0"/>
              <w:ind w:left="0" w:right="0" w:hanging="0"/>
              <w:rPr/>
            </w:pPr>
            <w:r>
              <w:rPr/>
              <w:t>​</w:t>
            </w:r>
          </w:p>
        </w:tc>
        <w:tc>
          <w:tcPr>
            <w:tcW w:w="353" w:type="dxa"/>
            <w:tcBorders/>
            <w:shd w:fill="CCEEFF" w:val="clear"/>
            <w:vAlign w:val="center"/>
          </w:tcPr>
          <w:p>
            <w:pPr>
              <w:pStyle w:val="TableContents"/>
              <w:spacing w:before="0" w:after="0"/>
              <w:ind w:left="0" w:right="0" w:hanging="0"/>
              <w:rPr/>
            </w:pPr>
            <w:r>
              <w:rPr/>
              <w:t>​</w:t>
            </w:r>
          </w:p>
        </w:tc>
        <w:tc>
          <w:tcPr>
            <w:tcW w:w="90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152</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172</w:t>
            </w:r>
          </w:p>
        </w:tc>
      </w:tr>
      <w:tr>
        <w:trPr/>
        <w:tc>
          <w:tcPr>
            <w:tcW w:w="3286"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Income tax expense</w:t>
            </w:r>
          </w:p>
        </w:tc>
        <w:tc>
          <w:tcPr>
            <w:tcW w:w="326" w:type="dxa"/>
            <w:tcBorders/>
            <w:shd w:fill="auto" w:val="clear"/>
            <w:vAlign w:val="center"/>
          </w:tcPr>
          <w:p>
            <w:pPr>
              <w:pStyle w:val="TableContents"/>
              <w:spacing w:before="0" w:after="0"/>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44</w:t>
            </w:r>
          </w:p>
        </w:tc>
        <w:tc>
          <w:tcPr>
            <w:tcW w:w="326" w:type="dxa"/>
            <w:tcBorders/>
            <w:shd w:fill="auto" w:val="clear"/>
            <w:vAlign w:val="center"/>
          </w:tcPr>
          <w:p>
            <w:pPr>
              <w:pStyle w:val="TableContents"/>
              <w:spacing w:before="0" w:after="0"/>
              <w:ind w:left="0" w:right="0" w:hanging="0"/>
              <w:rPr/>
            </w:pPr>
            <w:r>
              <w:rPr/>
              <w:t>​</w:t>
            </w:r>
          </w:p>
        </w:tc>
        <w:tc>
          <w:tcPr>
            <w:tcW w:w="35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26" w:type="dxa"/>
            <w:tcBorders/>
            <w:shd w:fill="auto" w:val="clear"/>
            <w:vAlign w:val="center"/>
          </w:tcPr>
          <w:p>
            <w:pPr>
              <w:pStyle w:val="TableContents"/>
              <w:spacing w:before="0" w:after="0"/>
              <w:ind w:left="0" w:right="0" w:hanging="0"/>
              <w:rPr/>
            </w:pPr>
            <w:r>
              <w:rPr/>
              <w:t>​</w:t>
            </w:r>
          </w:p>
        </w:tc>
        <w:tc>
          <w:tcPr>
            <w:tcW w:w="26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51</w:t>
            </w:r>
          </w:p>
        </w:tc>
      </w:tr>
      <w:tr>
        <w:trPr/>
        <w:tc>
          <w:tcPr>
            <w:tcW w:w="328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Adjusted EBITDA</w:t>
            </w:r>
          </w:p>
        </w:tc>
        <w:tc>
          <w:tcPr>
            <w:tcW w:w="326" w:type="dxa"/>
            <w:tcBorders/>
            <w:shd w:fill="CCEEFF" w:val="clear"/>
            <w:vAlign w:val="center"/>
          </w:tcPr>
          <w:p>
            <w:pPr>
              <w:pStyle w:val="TableContents"/>
              <w:spacing w:before="0" w:after="0"/>
              <w:ind w:left="0" w:right="0" w:hanging="0"/>
              <w:rPr/>
            </w:pPr>
            <w:r>
              <w:rPr/>
              <w:t>​</w:t>
            </w:r>
          </w:p>
        </w:tc>
        <w:tc>
          <w:tcPr>
            <w:tcW w:w="3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1,521</w:t>
            </w:r>
          </w:p>
        </w:tc>
        <w:tc>
          <w:tcPr>
            <w:tcW w:w="326" w:type="dxa"/>
            <w:tcBorders/>
            <w:shd w:fill="CCEEFF" w:val="clear"/>
            <w:vAlign w:val="center"/>
          </w:tcPr>
          <w:p>
            <w:pPr>
              <w:pStyle w:val="TableContents"/>
              <w:spacing w:before="0" w:after="0"/>
              <w:ind w:left="0" w:right="0" w:hanging="0"/>
              <w:rPr/>
            </w:pPr>
            <w:r>
              <w:rPr/>
              <w:t>​</w:t>
            </w:r>
          </w:p>
        </w:tc>
        <w:tc>
          <w:tcPr>
            <w:tcW w:w="35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0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827</w:t>
            </w:r>
          </w:p>
        </w:tc>
        <w:tc>
          <w:tcPr>
            <w:tcW w:w="326" w:type="dxa"/>
            <w:tcBorders/>
            <w:shd w:fill="CCEEFF" w:val="clear"/>
            <w:vAlign w:val="center"/>
          </w:tcPr>
          <w:p>
            <w:pPr>
              <w:pStyle w:val="TableContents"/>
              <w:spacing w:before="0" w:after="0"/>
              <w:ind w:left="0" w:right="0" w:hanging="0"/>
              <w:rPr/>
            </w:pPr>
            <w:r>
              <w:rPr/>
              <w:t>​</w:t>
            </w:r>
          </w:p>
        </w:tc>
        <w:tc>
          <w:tcPr>
            <w:tcW w:w="26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4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251</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right"/>
        <w:rPr/>
      </w:pPr>
      <w:r>
        <w:rPr/>
        <w:t>​</w:t>
      </w:r>
    </w:p>
    <w:p>
      <w:pPr>
        <w:pStyle w:val="TextBody"/>
        <w:spacing w:before="0" w:after="0"/>
        <w:ind w:left="0" w:right="0" w:hanging="0"/>
        <w:rPr/>
      </w:pPr>
      <w:r>
        <w:rPr/>
        <w:drawing>
          <wp:inline distT="0" distB="0" distL="0" distR="0">
            <wp:extent cx="2286000" cy="472440"/>
            <wp:effectExtent l="0" t="0" r="0" b="0"/>
            <wp:docPr id="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 descr=""/>
                    <pic:cNvPicPr>
                      <a:picLocks noChangeAspect="1" noChangeArrowheads="1"/>
                    </pic:cNvPicPr>
                  </pic:nvPicPr>
                  <pic:blipFill>
                    <a:blip r:embed="rId7"/>
                    <a:stretch>
                      <a:fillRect/>
                    </a:stretch>
                  </pic:blipFill>
                  <pic:spPr bwMode="auto">
                    <a:xfrm>
                      <a:off x="0" y="0"/>
                      <a:ext cx="2286000" cy="472440"/>
                    </a:xfrm>
                    <a:prstGeom prst="rect">
                      <a:avLst/>
                    </a:prstGeom>
                  </pic:spPr>
                </pic:pic>
              </a:graphicData>
            </a:graphic>
          </wp:inline>
        </w:drawing>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EVERSPIN TECHNOLOGIES,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Condensed Statement of Cash Flows</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(In thousands)</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7447"/>
        <w:gridCol w:w="326"/>
        <w:gridCol w:w="221"/>
        <w:gridCol w:w="726"/>
        <w:gridCol w:w="341"/>
        <w:gridCol w:w="221"/>
        <w:gridCol w:w="729"/>
        <w:gridCol w:w="194"/>
      </w:tblGrid>
      <w:tr>
        <w:trPr/>
        <w:tc>
          <w:tcPr>
            <w:tcW w:w="74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728845" cy="175260"/>
                      <wp:effectExtent l="0" t="0" r="0" b="0"/>
                      <wp:wrapNone/>
                      <wp:docPr id="37" name="Frame31"/>
                      <a:graphic xmlns:a="http://schemas.openxmlformats.org/drawingml/2006/main">
                        <a:graphicData uri="http://schemas.microsoft.com/office/word/2010/wordprocessingShape">
                          <wps:wsp>
                            <wps:cNvSpPr txBox="1"/>
                            <wps:spPr>
                              <a:xfrm>
                                <a:off x="0" y="0"/>
                                <a:ext cx="47288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0335" cy="175260"/>
                      <wp:effectExtent l="0" t="0" r="0" b="0"/>
                      <wp:wrapNone/>
                      <wp:docPr id="39" name="Frame33"/>
                      <a:graphic xmlns:a="http://schemas.openxmlformats.org/drawingml/2006/main">
                        <a:graphicData uri="http://schemas.microsoft.com/office/word/2010/wordprocessingShape">
                          <wps:wsp>
                            <wps:cNvSpPr txBox="1"/>
                            <wps:spPr>
                              <a:xfrm>
                                <a:off x="0" y="0"/>
                                <a:ext cx="140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61010" cy="175260"/>
                      <wp:effectExtent l="0" t="0" r="0" b="0"/>
                      <wp:wrapNone/>
                      <wp:docPr id="40" name="Frame34"/>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6535" cy="175260"/>
                      <wp:effectExtent l="0" t="0" r="0" b="0"/>
                      <wp:wrapNone/>
                      <wp:docPr id="41" name="Frame35"/>
                      <a:graphic xmlns:a="http://schemas.openxmlformats.org/drawingml/2006/main">
                        <a:graphicData uri="http://schemas.microsoft.com/office/word/2010/wordprocessingShape">
                          <wps:wsp>
                            <wps:cNvSpPr txBox="1"/>
                            <wps:spPr>
                              <a:xfrm>
                                <a:off x="0" y="0"/>
                                <a:ext cx="216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0335" cy="175260"/>
                      <wp:effectExtent l="0" t="0" r="0" b="0"/>
                      <wp:wrapNone/>
                      <wp:docPr id="42" name="Frame36"/>
                      <a:graphic xmlns:a="http://schemas.openxmlformats.org/drawingml/2006/main">
                        <a:graphicData uri="http://schemas.microsoft.com/office/word/2010/wordprocessingShape">
                          <wps:wsp>
                            <wps:cNvSpPr txBox="1"/>
                            <wps:spPr>
                              <a:xfrm>
                                <a:off x="0" y="0"/>
                                <a:ext cx="140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62915" cy="175260"/>
                      <wp:effectExtent l="0" t="0" r="0" b="0"/>
                      <wp:wrapNone/>
                      <wp:docPr id="43" name="Frame37"/>
                      <a:graphic xmlns:a="http://schemas.openxmlformats.org/drawingml/2006/main">
                        <a:graphicData uri="http://schemas.microsoft.com/office/word/2010/wordprocessingShape">
                          <wps:wsp>
                            <wps:cNvSpPr txBox="1"/>
                            <wps:spPr>
                              <a:xfrm>
                                <a:off x="0" y="0"/>
                                <a:ext cx="462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3190" cy="175260"/>
                      <wp:effectExtent l="0" t="0" r="0" b="0"/>
                      <wp:wrapNone/>
                      <wp:docPr id="44" name="Frame38"/>
                      <a:graphic xmlns:a="http://schemas.openxmlformats.org/drawingml/2006/main">
                        <a:graphicData uri="http://schemas.microsoft.com/office/word/2010/wordprocessingShape">
                          <wps:wsp>
                            <wps:cNvSpPr txBox="1"/>
                            <wps:spPr>
                              <a:xfrm>
                                <a:off x="0" y="0"/>
                                <a:ext cx="123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44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3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w:t>
            </w:r>
          </w:p>
        </w:tc>
        <w:tc>
          <w:tcPr>
            <w:tcW w:w="194" w:type="dxa"/>
            <w:tcBorders/>
            <w:shd w:fill="auto" w:val="clear"/>
            <w:vAlign w:val="center"/>
          </w:tcPr>
          <w:p>
            <w:pPr>
              <w:pStyle w:val="TableContents"/>
              <w:spacing w:before="0" w:after="0"/>
              <w:ind w:left="0" w:right="0" w:hanging="0"/>
              <w:jc w:val="center"/>
              <w:rPr/>
            </w:pPr>
            <w:r>
              <w:rPr/>
              <w:t>​</w:t>
            </w:r>
          </w:p>
        </w:tc>
      </w:tr>
      <w:tr>
        <w:trPr/>
        <w:tc>
          <w:tcPr>
            <w:tcW w:w="744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47"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341"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950"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2020</w:t>
            </w:r>
          </w:p>
        </w:tc>
        <w:tc>
          <w:tcPr>
            <w:tcW w:w="194" w:type="dxa"/>
            <w:tcBorders/>
            <w:shd w:fill="auto" w:val="clear"/>
            <w:vAlign w:val="center"/>
          </w:tcPr>
          <w:p>
            <w:pPr>
              <w:pStyle w:val="TableContents"/>
              <w:spacing w:before="0" w:after="0"/>
              <w:ind w:left="0" w:right="0" w:hanging="0"/>
              <w:rPr/>
            </w:pPr>
            <w:r>
              <w:rPr/>
              <w:t> </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Cash flows from operating activities</w:t>
            </w:r>
          </w:p>
        </w:tc>
        <w:tc>
          <w:tcPr>
            <w:tcW w:w="326" w:type="dxa"/>
            <w:tcBorders/>
            <w:shd w:fill="CCEEFF" w:val="clear"/>
            <w:vAlign w:val="center"/>
          </w:tcPr>
          <w:p>
            <w:pPr>
              <w:pStyle w:val="TableContents"/>
              <w:spacing w:before="0" w:after="0"/>
              <w:ind w:left="0" w:right="0" w:hanging="0"/>
              <w:rPr/>
            </w:pPr>
            <w:r>
              <w:rPr/>
              <w:t>​</w:t>
            </w:r>
          </w:p>
        </w:tc>
        <w:tc>
          <w:tcPr>
            <w:tcW w:w="22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726"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22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729"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Net loss</w:t>
            </w:r>
          </w:p>
        </w:tc>
        <w:tc>
          <w:tcPr>
            <w:tcW w:w="32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(204)</w:t>
            </w:r>
          </w:p>
        </w:tc>
        <w:tc>
          <w:tcPr>
            <w:tcW w:w="341"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9"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(3,026)</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Adjustments to reconcile net loss to net cash provided by (used in) operating activities:</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756</w:t>
            </w:r>
          </w:p>
        </w:tc>
        <w:tc>
          <w:tcPr>
            <w:tcW w:w="341"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813</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Stock-based compensation</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1,447</w:t>
            </w:r>
          </w:p>
        </w:tc>
        <w:tc>
          <w:tcPr>
            <w:tcW w:w="341"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1,723</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Non-cash warrant revaluation</w:t>
            </w:r>
          </w:p>
        </w:tc>
        <w:tc>
          <w:tcPr>
            <w:tcW w:w="32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41"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Non-cash interest expense</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168</w:t>
            </w:r>
          </w:p>
        </w:tc>
        <w:tc>
          <w:tcPr>
            <w:tcW w:w="341"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147</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Changes in operating assets and liabilities:</w:t>
            </w:r>
          </w:p>
        </w:tc>
        <w:tc>
          <w:tcPr>
            <w:tcW w:w="32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rPr/>
            </w:pPr>
            <w:r>
              <w:rPr/>
              <w:t>​</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Accounts receivable</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(2,776)</w:t>
            </w:r>
          </w:p>
        </w:tc>
        <w:tc>
          <w:tcPr>
            <w:tcW w:w="341"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(1,540)</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Inventory</w:t>
            </w:r>
          </w:p>
        </w:tc>
        <w:tc>
          <w:tcPr>
            <w:tcW w:w="32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(850)</w:t>
            </w:r>
          </w:p>
        </w:tc>
        <w:tc>
          <w:tcPr>
            <w:tcW w:w="341"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(505)</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49</w:t>
            </w:r>
          </w:p>
        </w:tc>
        <w:tc>
          <w:tcPr>
            <w:tcW w:w="341"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Accounts payable</w:t>
            </w:r>
          </w:p>
        </w:tc>
        <w:tc>
          <w:tcPr>
            <w:tcW w:w="32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861</w:t>
            </w:r>
          </w:p>
        </w:tc>
        <w:tc>
          <w:tcPr>
            <w:tcW w:w="341"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(776)</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Accrued liabilities</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(126)</w:t>
            </w:r>
          </w:p>
        </w:tc>
        <w:tc>
          <w:tcPr>
            <w:tcW w:w="341"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(1,008)</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Deferred revenue</w:t>
            </w:r>
          </w:p>
        </w:tc>
        <w:tc>
          <w:tcPr>
            <w:tcW w:w="32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1,815</w:t>
            </w:r>
          </w:p>
        </w:tc>
        <w:tc>
          <w:tcPr>
            <w:tcW w:w="341"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jc w:val="right"/>
              <w:rPr/>
            </w:pPr>
            <w:r>
              <w:rPr/>
              <w:t>—</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Lease liabilities</w:t>
            </w:r>
          </w:p>
        </w:tc>
        <w:tc>
          <w:tcPr>
            <w:tcW w:w="326" w:type="dxa"/>
            <w:tcBorders/>
            <w:shd w:fill="CCEEFF" w:val="clear"/>
            <w:vAlign w:val="center"/>
          </w:tcPr>
          <w:p>
            <w:pPr>
              <w:pStyle w:val="TableContents"/>
              <w:spacing w:before="0" w:after="0"/>
              <w:ind w:left="0" w:right="0" w:hanging="0"/>
              <w:rPr/>
            </w:pPr>
            <w:r>
              <w:rPr/>
              <w:t>​</w:t>
            </w:r>
          </w:p>
        </w:tc>
        <w:tc>
          <w:tcPr>
            <w:tcW w:w="22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(64)</w:t>
            </w:r>
          </w:p>
        </w:tc>
        <w:tc>
          <w:tcPr>
            <w:tcW w:w="341" w:type="dxa"/>
            <w:tcBorders/>
            <w:shd w:fill="CCEEFF" w:val="clear"/>
            <w:vAlign w:val="center"/>
          </w:tcPr>
          <w:p>
            <w:pPr>
              <w:pStyle w:val="TableContents"/>
              <w:spacing w:before="0" w:after="0"/>
              <w:ind w:left="0" w:right="0" w:hanging="0"/>
              <w:rPr/>
            </w:pPr>
            <w:r>
              <w:rPr/>
              <w:t>​</w:t>
            </w:r>
          </w:p>
        </w:tc>
        <w:tc>
          <w:tcPr>
            <w:tcW w:w="22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(73)</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Net cash provided by (used in) operating activities</w:t>
            </w:r>
          </w:p>
        </w:tc>
        <w:tc>
          <w:tcPr>
            <w:tcW w:w="326" w:type="dxa"/>
            <w:tcBorders/>
            <w:shd w:fill="auto" w:val="clear"/>
            <w:vAlign w:val="center"/>
          </w:tcPr>
          <w:p>
            <w:pPr>
              <w:pStyle w:val="TableContents"/>
              <w:spacing w:before="0" w:after="0"/>
              <w:ind w:left="0" w:right="0" w:hanging="0"/>
              <w:rPr/>
            </w:pPr>
            <w:r>
              <w:rPr/>
              <w:t>​</w:t>
            </w:r>
          </w:p>
        </w:tc>
        <w:tc>
          <w:tcPr>
            <w:tcW w:w="22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7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1,081</w:t>
            </w:r>
          </w:p>
        </w:tc>
        <w:tc>
          <w:tcPr>
            <w:tcW w:w="341" w:type="dxa"/>
            <w:tcBorders/>
            <w:shd w:fill="auto" w:val="clear"/>
            <w:vAlign w:val="center"/>
          </w:tcPr>
          <w:p>
            <w:pPr>
              <w:pStyle w:val="TableContents"/>
              <w:spacing w:before="0" w:after="0"/>
              <w:ind w:left="0" w:right="0" w:hanging="0"/>
              <w:rPr/>
            </w:pPr>
            <w:r>
              <w:rPr/>
              <w:t>​</w:t>
            </w:r>
          </w:p>
        </w:tc>
        <w:tc>
          <w:tcPr>
            <w:tcW w:w="22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72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(4,200)</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Cash flows from investing activities</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Purchases of property and equipment</w:t>
            </w:r>
          </w:p>
        </w:tc>
        <w:tc>
          <w:tcPr>
            <w:tcW w:w="326" w:type="dxa"/>
            <w:tcBorders/>
            <w:shd w:fill="auto" w:val="clear"/>
            <w:vAlign w:val="center"/>
          </w:tcPr>
          <w:p>
            <w:pPr>
              <w:pStyle w:val="TableContents"/>
              <w:spacing w:before="0" w:after="0"/>
              <w:ind w:left="0" w:right="0" w:hanging="0"/>
              <w:rPr/>
            </w:pPr>
            <w:r>
              <w:rPr/>
              <w:t>​</w:t>
            </w:r>
          </w:p>
        </w:tc>
        <w:tc>
          <w:tcPr>
            <w:tcW w:w="22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(554)</w:t>
            </w:r>
          </w:p>
        </w:tc>
        <w:tc>
          <w:tcPr>
            <w:tcW w:w="341" w:type="dxa"/>
            <w:tcBorders/>
            <w:shd w:fill="auto" w:val="clear"/>
            <w:vAlign w:val="center"/>
          </w:tcPr>
          <w:p>
            <w:pPr>
              <w:pStyle w:val="TableContents"/>
              <w:spacing w:before="0" w:after="0"/>
              <w:ind w:left="0" w:right="0" w:hanging="0"/>
              <w:rPr/>
            </w:pPr>
            <w:r>
              <w:rPr/>
              <w:t>​</w:t>
            </w:r>
          </w:p>
        </w:tc>
        <w:tc>
          <w:tcPr>
            <w:tcW w:w="22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(277)</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Net cash used in investing activities</w:t>
            </w:r>
          </w:p>
        </w:tc>
        <w:tc>
          <w:tcPr>
            <w:tcW w:w="326" w:type="dxa"/>
            <w:tcBorders/>
            <w:shd w:fill="CCEEFF" w:val="clear"/>
            <w:vAlign w:val="center"/>
          </w:tcPr>
          <w:p>
            <w:pPr>
              <w:pStyle w:val="TableContents"/>
              <w:spacing w:before="0" w:after="0"/>
              <w:ind w:left="0" w:right="0" w:hanging="0"/>
              <w:rPr/>
            </w:pPr>
            <w:r>
              <w:rPr/>
              <w:t>​</w:t>
            </w:r>
          </w:p>
        </w:tc>
        <w:tc>
          <w:tcPr>
            <w:tcW w:w="22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pPr>
            <w:r>
              <w:rPr/>
              <w:t>​</w:t>
            </w:r>
          </w:p>
        </w:tc>
        <w:tc>
          <w:tcPr>
            <w:tcW w:w="72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(554)</w:t>
            </w:r>
          </w:p>
        </w:tc>
        <w:tc>
          <w:tcPr>
            <w:tcW w:w="341" w:type="dxa"/>
            <w:tcBorders/>
            <w:shd w:fill="CCEEFF" w:val="clear"/>
            <w:vAlign w:val="center"/>
          </w:tcPr>
          <w:p>
            <w:pPr>
              <w:pStyle w:val="TableContents"/>
              <w:spacing w:before="0" w:after="0"/>
              <w:ind w:left="0" w:right="0" w:hanging="0"/>
              <w:rPr/>
            </w:pPr>
            <w:r>
              <w:rPr/>
              <w:t>​</w:t>
            </w:r>
          </w:p>
        </w:tc>
        <w:tc>
          <w:tcPr>
            <w:tcW w:w="22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pPr>
            <w:r>
              <w:rPr/>
              <w:t>​</w:t>
            </w:r>
          </w:p>
        </w:tc>
        <w:tc>
          <w:tcPr>
            <w:tcW w:w="72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(277)</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Cash flows from financing activities</w:t>
            </w:r>
          </w:p>
        </w:tc>
        <w:tc>
          <w:tcPr>
            <w:tcW w:w="32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rPr/>
            </w:pPr>
            <w:r>
              <w:rPr/>
              <w:t>​</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Payments on long-term debt</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(1,200)</w:t>
            </w:r>
          </w:p>
        </w:tc>
        <w:tc>
          <w:tcPr>
            <w:tcW w:w="341"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jc w:val="right"/>
              <w:rPr/>
            </w:pPr>
            <w:r>
              <w:rPr/>
              <w:t>—</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Payments on finance lease obligation</w:t>
            </w:r>
          </w:p>
        </w:tc>
        <w:tc>
          <w:tcPr>
            <w:tcW w:w="32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pPr>
            <w:r>
              <w:rPr/>
              <w:t>—</w:t>
            </w:r>
          </w:p>
        </w:tc>
        <w:tc>
          <w:tcPr>
            <w:tcW w:w="341"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Proceeds from exercise of stock options and purchase of shares in employee stock purchase plan</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293</w:t>
            </w:r>
          </w:p>
        </w:tc>
        <w:tc>
          <w:tcPr>
            <w:tcW w:w="341"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827</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Proceeds from issuance of common stock in at-the-market offering, net of issuance costs</w:t>
            </w:r>
          </w:p>
        </w:tc>
        <w:tc>
          <w:tcPr>
            <w:tcW w:w="326" w:type="dxa"/>
            <w:tcBorders/>
            <w:shd w:fill="auto" w:val="clear"/>
            <w:vAlign w:val="center"/>
          </w:tcPr>
          <w:p>
            <w:pPr>
              <w:pStyle w:val="TableContents"/>
              <w:spacing w:before="0" w:after="0"/>
              <w:ind w:left="0" w:right="0" w:hanging="0"/>
              <w:rPr/>
            </w:pPr>
            <w:r>
              <w:rPr/>
              <w:t>​</w:t>
            </w:r>
          </w:p>
        </w:tc>
        <w:tc>
          <w:tcPr>
            <w:tcW w:w="22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41" w:type="dxa"/>
            <w:tcBorders/>
            <w:shd w:fill="auto" w:val="clear"/>
            <w:vAlign w:val="center"/>
          </w:tcPr>
          <w:p>
            <w:pPr>
              <w:pStyle w:val="TableContents"/>
              <w:spacing w:before="0" w:after="0"/>
              <w:ind w:left="0" w:right="0" w:hanging="0"/>
              <w:rPr/>
            </w:pPr>
            <w:r>
              <w:rPr/>
              <w:t>​</w:t>
            </w:r>
          </w:p>
        </w:tc>
        <w:tc>
          <w:tcPr>
            <w:tcW w:w="22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2,084</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Net cash (used in)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2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pPr>
            <w:r>
              <w:rPr/>
              <w:t>​</w:t>
            </w:r>
          </w:p>
        </w:tc>
        <w:tc>
          <w:tcPr>
            <w:tcW w:w="72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(907)</w:t>
            </w:r>
          </w:p>
        </w:tc>
        <w:tc>
          <w:tcPr>
            <w:tcW w:w="341" w:type="dxa"/>
            <w:tcBorders/>
            <w:shd w:fill="CCEEFF" w:val="clear"/>
            <w:vAlign w:val="center"/>
          </w:tcPr>
          <w:p>
            <w:pPr>
              <w:pStyle w:val="TableContents"/>
              <w:spacing w:before="0" w:after="0"/>
              <w:ind w:left="0" w:right="0" w:hanging="0"/>
              <w:rPr/>
            </w:pPr>
            <w:r>
              <w:rPr/>
              <w:t>​</w:t>
            </w:r>
          </w:p>
        </w:tc>
        <w:tc>
          <w:tcPr>
            <w:tcW w:w="22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pPr>
            <w:r>
              <w:rPr/>
              <w:t>​</w:t>
            </w:r>
          </w:p>
        </w:tc>
        <w:tc>
          <w:tcPr>
            <w:tcW w:w="72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2,906</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Net decrease in cash and cash equivalents</w:t>
            </w:r>
          </w:p>
        </w:tc>
        <w:tc>
          <w:tcPr>
            <w:tcW w:w="32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(380)</w:t>
            </w:r>
          </w:p>
        </w:tc>
        <w:tc>
          <w:tcPr>
            <w:tcW w:w="341"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(1,571)</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Cash and cash equivalents at beginning of period</w:t>
            </w:r>
          </w:p>
        </w:tc>
        <w:tc>
          <w:tcPr>
            <w:tcW w:w="326" w:type="dxa"/>
            <w:tcBorders/>
            <w:shd w:fill="CCEEFF" w:val="clear"/>
            <w:vAlign w:val="center"/>
          </w:tcPr>
          <w:p>
            <w:pPr>
              <w:pStyle w:val="TableContents"/>
              <w:spacing w:before="0" w:after="0"/>
              <w:ind w:left="0" w:right="0" w:hanging="0"/>
              <w:rPr/>
            </w:pPr>
            <w:r>
              <w:rPr/>
              <w:t>​</w:t>
            </w:r>
          </w:p>
        </w:tc>
        <w:tc>
          <w:tcPr>
            <w:tcW w:w="22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14,599</w:t>
            </w:r>
          </w:p>
        </w:tc>
        <w:tc>
          <w:tcPr>
            <w:tcW w:w="341" w:type="dxa"/>
            <w:tcBorders/>
            <w:shd w:fill="CCEEFF" w:val="clear"/>
            <w:vAlign w:val="center"/>
          </w:tcPr>
          <w:p>
            <w:pPr>
              <w:pStyle w:val="TableContents"/>
              <w:spacing w:before="0" w:after="0"/>
              <w:ind w:left="0" w:right="0" w:hanging="0"/>
              <w:rPr/>
            </w:pPr>
            <w:r>
              <w:rPr/>
              <w:t>​</w:t>
            </w:r>
          </w:p>
        </w:tc>
        <w:tc>
          <w:tcPr>
            <w:tcW w:w="22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14,487</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Cash and cash equivalents at end of period</w:t>
            </w:r>
          </w:p>
        </w:tc>
        <w:tc>
          <w:tcPr>
            <w:tcW w:w="326" w:type="dxa"/>
            <w:tcBorders/>
            <w:shd w:fill="auto" w:val="clear"/>
            <w:vAlign w:val="center"/>
          </w:tcPr>
          <w:p>
            <w:pPr>
              <w:pStyle w:val="TableContents"/>
              <w:spacing w:before="0" w:after="0"/>
              <w:ind w:left="0" w:right="0" w:hanging="0"/>
              <w:rPr/>
            </w:pPr>
            <w:r>
              <w:rPr/>
              <w:t>​</w:t>
            </w:r>
          </w:p>
        </w:tc>
        <w:tc>
          <w:tcPr>
            <w:tcW w:w="22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14,219</w:t>
            </w:r>
          </w:p>
        </w:tc>
        <w:tc>
          <w:tcPr>
            <w:tcW w:w="341" w:type="dxa"/>
            <w:tcBorders/>
            <w:shd w:fill="auto" w:val="clear"/>
            <w:vAlign w:val="center"/>
          </w:tcPr>
          <w:p>
            <w:pPr>
              <w:pStyle w:val="TableContents"/>
              <w:spacing w:before="0" w:after="0"/>
              <w:ind w:left="0" w:right="0" w:hanging="0"/>
              <w:rPr/>
            </w:pPr>
            <w:r>
              <w:rPr/>
              <w:t>​</w:t>
            </w:r>
          </w:p>
        </w:tc>
        <w:tc>
          <w:tcPr>
            <w:tcW w:w="22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12,916</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Supplementary cash flow information:</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Interest paid</w:t>
            </w:r>
          </w:p>
        </w:tc>
        <w:tc>
          <w:tcPr>
            <w:tcW w:w="326" w:type="dxa"/>
            <w:tcBorders/>
            <w:shd w:fill="auto" w:val="clear"/>
            <w:vAlign w:val="center"/>
          </w:tcPr>
          <w:p>
            <w:pPr>
              <w:pStyle w:val="TableContents"/>
              <w:spacing w:before="0" w:after="0"/>
              <w:ind w:left="0" w:right="0" w:hanging="0"/>
              <w:rPr/>
            </w:pPr>
            <w:r>
              <w:rPr/>
              <w:t>​</w:t>
            </w:r>
          </w:p>
        </w:tc>
        <w:tc>
          <w:tcPr>
            <w:tcW w:w="22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128</w:t>
            </w:r>
          </w:p>
        </w:tc>
        <w:tc>
          <w:tcPr>
            <w:tcW w:w="341" w:type="dxa"/>
            <w:tcBorders/>
            <w:shd w:fill="auto" w:val="clear"/>
            <w:vAlign w:val="center"/>
          </w:tcPr>
          <w:p>
            <w:pPr>
              <w:pStyle w:val="TableContents"/>
              <w:spacing w:before="0" w:after="0"/>
              <w:ind w:left="0" w:right="0" w:hanging="0"/>
              <w:rPr/>
            </w:pPr>
            <w:r>
              <w:rPr/>
              <w:t>​</w:t>
            </w:r>
          </w:p>
        </w:tc>
        <w:tc>
          <w:tcPr>
            <w:tcW w:w="22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197</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Operating cash flows paid for operating leases</w:t>
            </w:r>
          </w:p>
        </w:tc>
        <w:tc>
          <w:tcPr>
            <w:tcW w:w="326" w:type="dxa"/>
            <w:tcBorders/>
            <w:shd w:fill="CCEEFF" w:val="clear"/>
            <w:vAlign w:val="center"/>
          </w:tcPr>
          <w:p>
            <w:pPr>
              <w:pStyle w:val="TableContents"/>
              <w:spacing w:before="0" w:after="0"/>
              <w:ind w:left="0" w:right="0" w:hanging="0"/>
              <w:rPr/>
            </w:pPr>
            <w:r>
              <w:rPr/>
              <w:t>​</w:t>
            </w:r>
          </w:p>
        </w:tc>
        <w:tc>
          <w:tcPr>
            <w:tcW w:w="22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814</w:t>
            </w:r>
          </w:p>
        </w:tc>
        <w:tc>
          <w:tcPr>
            <w:tcW w:w="341" w:type="dxa"/>
            <w:tcBorders/>
            <w:shd w:fill="CCEEFF" w:val="clear"/>
            <w:vAlign w:val="center"/>
          </w:tcPr>
          <w:p>
            <w:pPr>
              <w:pStyle w:val="TableContents"/>
              <w:spacing w:before="0" w:after="0"/>
              <w:ind w:left="0" w:right="0" w:hanging="0"/>
              <w:rPr/>
            </w:pPr>
            <w:r>
              <w:rPr/>
              <w:t>​</w:t>
            </w:r>
          </w:p>
        </w:tc>
        <w:tc>
          <w:tcPr>
            <w:tcW w:w="22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9"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862</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Financing cash flows paid for finance leases</w:t>
            </w:r>
          </w:p>
        </w:tc>
        <w:tc>
          <w:tcPr>
            <w:tcW w:w="326" w:type="dxa"/>
            <w:tcBorders/>
            <w:shd w:fill="auto" w:val="clear"/>
            <w:vAlign w:val="center"/>
          </w:tcPr>
          <w:p>
            <w:pPr>
              <w:pStyle w:val="TableContents"/>
              <w:spacing w:before="0" w:after="0"/>
              <w:ind w:left="0" w:right="0" w:hanging="0"/>
              <w:rPr/>
            </w:pPr>
            <w:r>
              <w:rPr/>
              <w:t>​</w:t>
            </w:r>
          </w:p>
        </w:tc>
        <w:tc>
          <w:tcPr>
            <w:tcW w:w="22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6"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pPr>
            <w:r>
              <w:rPr/>
              <w:t>—</w:t>
            </w:r>
          </w:p>
        </w:tc>
        <w:tc>
          <w:tcPr>
            <w:tcW w:w="341" w:type="dxa"/>
            <w:tcBorders/>
            <w:shd w:fill="auto" w:val="clear"/>
            <w:vAlign w:val="center"/>
          </w:tcPr>
          <w:p>
            <w:pPr>
              <w:pStyle w:val="TableContents"/>
              <w:spacing w:before="0" w:after="0"/>
              <w:ind w:left="0" w:right="0" w:hanging="0"/>
              <w:rPr/>
            </w:pPr>
            <w:r>
              <w:rPr/>
              <w:t>​</w:t>
            </w:r>
          </w:p>
        </w:tc>
        <w:tc>
          <w:tcPr>
            <w:tcW w:w="22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9"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Non-cash investing and financing activities:</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Increase of right-of-use asset and lease liability due to lease modification</w:t>
            </w:r>
          </w:p>
        </w:tc>
        <w:tc>
          <w:tcPr>
            <w:tcW w:w="326" w:type="dxa"/>
            <w:tcBorders/>
            <w:shd w:fill="auto" w:val="clear"/>
            <w:vAlign w:val="center"/>
          </w:tcPr>
          <w:p>
            <w:pPr>
              <w:pStyle w:val="TableContents"/>
              <w:spacing w:before="0" w:after="0"/>
              <w:ind w:left="0" w:right="0" w:hanging="0"/>
              <w:rPr/>
            </w:pPr>
            <w:r>
              <w:rPr/>
              <w:t>​</w:t>
            </w:r>
          </w:p>
        </w:tc>
        <w:tc>
          <w:tcPr>
            <w:tcW w:w="22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41" w:type="dxa"/>
            <w:tcBorders/>
            <w:shd w:fill="auto" w:val="clear"/>
            <w:vAlign w:val="center"/>
          </w:tcPr>
          <w:p>
            <w:pPr>
              <w:pStyle w:val="TableContents"/>
              <w:spacing w:before="0" w:after="0"/>
              <w:ind w:left="0" w:right="0" w:hanging="0"/>
              <w:rPr/>
            </w:pPr>
            <w:r>
              <w:rPr/>
              <w:t>​</w:t>
            </w:r>
          </w:p>
        </w:tc>
        <w:tc>
          <w:tcPr>
            <w:tcW w:w="22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545</w:t>
            </w:r>
          </w:p>
        </w:tc>
        <w:tc>
          <w:tcPr>
            <w:tcW w:w="194" w:type="dxa"/>
            <w:tcBorders/>
            <w:shd w:fill="auto" w:val="clear"/>
            <w:vAlign w:val="center"/>
          </w:tcPr>
          <w:p>
            <w:pPr>
              <w:pStyle w:val="TableContents"/>
              <w:spacing w:before="0" w:after="0"/>
              <w:ind w:left="0" w:right="0" w:hanging="0"/>
              <w:jc w:val="both"/>
              <w:rPr/>
            </w:pPr>
            <w:r>
              <w:rPr/>
              <w:t>​</w:t>
            </w:r>
          </w:p>
        </w:tc>
      </w:tr>
      <w:tr>
        <w:trPr/>
        <w:tc>
          <w:tcPr>
            <w:tcW w:w="7447"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Purchases of property and equipment in accounts payable and accrued liabilities</w:t>
            </w:r>
          </w:p>
        </w:tc>
        <w:tc>
          <w:tcPr>
            <w:tcW w:w="326" w:type="dxa"/>
            <w:tcBorders/>
            <w:shd w:fill="CCEEFF" w:val="clear"/>
            <w:vAlign w:val="center"/>
          </w:tcPr>
          <w:p>
            <w:pPr>
              <w:pStyle w:val="TableContents"/>
              <w:spacing w:before="0" w:after="0"/>
              <w:ind w:left="0" w:right="0" w:hanging="0"/>
              <w:rPr/>
            </w:pPr>
            <w:r>
              <w:rPr/>
              <w:t>​</w:t>
            </w:r>
          </w:p>
        </w:tc>
        <w:tc>
          <w:tcPr>
            <w:tcW w:w="22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pPr>
            <w:r>
              <w:rPr/>
              <w:t>—</w:t>
            </w:r>
          </w:p>
        </w:tc>
        <w:tc>
          <w:tcPr>
            <w:tcW w:w="341" w:type="dxa"/>
            <w:tcBorders/>
            <w:shd w:fill="CCEEFF" w:val="clear"/>
            <w:vAlign w:val="center"/>
          </w:tcPr>
          <w:p>
            <w:pPr>
              <w:pStyle w:val="TableContents"/>
              <w:spacing w:before="0" w:after="0"/>
              <w:ind w:left="0" w:right="0" w:hanging="0"/>
              <w:rPr/>
            </w:pPr>
            <w:r>
              <w:rPr/>
              <w:t>​</w:t>
            </w:r>
          </w:p>
        </w:tc>
        <w:tc>
          <w:tcPr>
            <w:tcW w:w="22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9"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w:t>
            </w:r>
          </w:p>
        </w:tc>
        <w:tc>
          <w:tcPr>
            <w:tcW w:w="194" w:type="dxa"/>
            <w:tcBorders/>
            <w:shd w:fill="CCEEFF" w:val="clear"/>
            <w:vAlign w:val="center"/>
          </w:tcPr>
          <w:p>
            <w:pPr>
              <w:pStyle w:val="TableContents"/>
              <w:spacing w:before="0" w:after="0"/>
              <w:ind w:left="0" w:right="0" w:hanging="0"/>
              <w:jc w:val="both"/>
              <w:rPr/>
            </w:pPr>
            <w:r>
              <w:rPr/>
              <w:t>​</w:t>
            </w:r>
          </w:p>
        </w:tc>
      </w:tr>
      <w:tr>
        <w:trPr/>
        <w:tc>
          <w:tcPr>
            <w:tcW w:w="744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Bonus settled in shares of common stock</w:t>
            </w:r>
          </w:p>
        </w:tc>
        <w:tc>
          <w:tcPr>
            <w:tcW w:w="326" w:type="dxa"/>
            <w:tcBorders/>
            <w:shd w:fill="auto" w:val="clear"/>
            <w:vAlign w:val="center"/>
          </w:tcPr>
          <w:p>
            <w:pPr>
              <w:pStyle w:val="TableContents"/>
              <w:spacing w:before="0" w:after="0"/>
              <w:ind w:left="0" w:right="0" w:hanging="0"/>
              <w:rPr/>
            </w:pPr>
            <w:r>
              <w:rPr/>
              <w:t>​</w:t>
            </w:r>
          </w:p>
        </w:tc>
        <w:tc>
          <w:tcPr>
            <w:tcW w:w="22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6"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364</w:t>
            </w:r>
          </w:p>
        </w:tc>
        <w:tc>
          <w:tcPr>
            <w:tcW w:w="341" w:type="dxa"/>
            <w:tcBorders/>
            <w:shd w:fill="auto" w:val="clear"/>
            <w:vAlign w:val="center"/>
          </w:tcPr>
          <w:p>
            <w:pPr>
              <w:pStyle w:val="TableContents"/>
              <w:spacing w:before="0" w:after="0"/>
              <w:ind w:left="0" w:right="0" w:hanging="0"/>
              <w:rPr/>
            </w:pPr>
            <w:r>
              <w:rPr/>
              <w:t>​</w:t>
            </w:r>
          </w:p>
        </w:tc>
        <w:tc>
          <w:tcPr>
            <w:tcW w:w="22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29"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315</w:t>
            </w:r>
          </w:p>
        </w:tc>
        <w:tc>
          <w:tcPr>
            <w:tcW w:w="194" w:type="dxa"/>
            <w:tcBorders/>
            <w:shd w:fill="auto" w:val="clear"/>
            <w:vAlign w:val="center"/>
          </w:tcPr>
          <w:p>
            <w:pPr>
              <w:pStyle w:val="TableContents"/>
              <w:spacing w:before="0" w:after="0"/>
              <w:ind w:left="0" w:right="0" w:hanging="0"/>
              <w:jc w:val="both"/>
              <w:rPr/>
            </w:pPr>
            <w:r>
              <w:rPr/>
              <w:t>​</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2566</Words>
  <CharactersWithSpaces>17169</CharactersWithSpaces>
  <Paragraphs>1339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