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314960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64770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2"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2510155</wp:posOffset>
            </wp:positionH>
            <wp:positionV relativeFrom="paragraph">
              <wp:posOffset>92710</wp:posOffset>
            </wp:positionV>
            <wp:extent cx="1586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9" w:lineRule="exact"/>
        <w:rPr>
          <w:sz w:val="24"/>
          <w:szCs w:val="24"/>
          <w:color w:val="auto"/>
        </w:rPr>
      </w:pPr>
    </w:p>
    <w:p>
      <w:pPr>
        <w:ind w:left="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49" w:right="180" w:hanging="449"/>
        <w:spacing w:after="0" w:line="243" w:lineRule="auto"/>
        <w:tabs>
          <w:tab w:leader="none" w:pos="6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31"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49" w:right="160" w:hanging="449"/>
        <w:spacing w:after="0" w:line="256" w:lineRule="auto"/>
        <w:tabs>
          <w:tab w:leader="none" w:pos="6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349"/>
        <w:spacing w:after="0"/>
        <w:tabs>
          <w:tab w:leader="none" w:pos="628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3637280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15" w:lineRule="exact"/>
        <w:rPr>
          <w:sz w:val="24"/>
          <w:szCs w:val="24"/>
          <w:color w:val="auto"/>
        </w:rPr>
      </w:pPr>
    </w:p>
    <w:p>
      <w:pPr>
        <w:jc w:val="center"/>
        <w:ind w:right="11"/>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88900</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9" w:lineRule="exact"/>
        <w:rPr>
          <w:sz w:val="24"/>
          <w:szCs w:val="24"/>
          <w:color w:val="auto"/>
        </w:rPr>
      </w:pPr>
    </w:p>
    <w:p>
      <w:pPr>
        <w:jc w:val="center"/>
        <w:ind w:right="11"/>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73025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20" w:lineRule="exact"/>
        <w:rPr>
          <w:sz w:val="24"/>
          <w:szCs w:val="24"/>
          <w:color w:val="auto"/>
        </w:rPr>
      </w:pPr>
    </w:p>
    <w:tbl>
      <w:tblPr>
        <w:tblLayout w:type="fixed"/>
        <w:tblInd w:w="1269" w:type="dxa"/>
        <w:tblCellMar>
          <w:top w:w="0" w:type="dxa"/>
          <w:left w:w="0" w:type="dxa"/>
          <w:bottom w:w="0" w:type="dxa"/>
          <w:right w:w="0" w:type="dxa"/>
        </w:tblCellMar>
      </w:tblPr>
      <w:tr>
        <w:trPr>
          <w:trHeight w:val="216"/>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(State or other jurisdiction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of incorporation or organization)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03"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5670 W. Chandler Boulevard, Suite 100</w:t>
      </w:r>
    </w:p>
    <w:p>
      <w:pPr>
        <w:spacing w:after="0" w:line="2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12" w:lineRule="exact"/>
        <w:rPr>
          <w:sz w:val="24"/>
          <w:szCs w:val="24"/>
          <w:color w:val="auto"/>
        </w:rPr>
      </w:pPr>
    </w:p>
    <w:p>
      <w:pPr>
        <w:ind w:left="2629"/>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85725</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36" w:lineRule="exact"/>
        <w:rPr>
          <w:sz w:val="24"/>
          <w:szCs w:val="24"/>
          <w:color w:val="auto"/>
        </w:rPr>
      </w:pPr>
    </w:p>
    <w:p>
      <w:pPr>
        <w:ind w:left="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9" w:type="dxa"/>
        <w:tblCellMar>
          <w:top w:w="0" w:type="dxa"/>
          <w:left w:w="0" w:type="dxa"/>
          <w:bottom w:w="0" w:type="dxa"/>
          <w:right w:w="0" w:type="dxa"/>
        </w:tblCellMar>
      </w:tblPr>
      <w:tr>
        <w:trPr>
          <w:trHeight w:val="223"/>
        </w:trPr>
        <w:tc>
          <w:tcPr>
            <w:tcW w:w="34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4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Trading Symbol(s)</w:t>
            </w:r>
          </w:p>
        </w:tc>
        <w:tc>
          <w:tcPr>
            <w:tcW w:w="34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3"/>
              </w:rPr>
              <w:t>Name of each exchange on which registered</w:t>
            </w:r>
          </w:p>
        </w:tc>
      </w:tr>
      <w:tr>
        <w:trPr>
          <w:trHeight w:val="210"/>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par value $0.0001</w:t>
            </w:r>
          </w:p>
        </w:tc>
        <w:tc>
          <w:tcPr>
            <w:tcW w:w="3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MRAM</w:t>
            </w:r>
          </w:p>
        </w:tc>
        <w:tc>
          <w:tcPr>
            <w:tcW w:w="3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Nasdaq Stock Market</w:t>
            </w:r>
          </w:p>
        </w:tc>
      </w:tr>
    </w:tbl>
    <w:p>
      <w:pPr>
        <w:spacing w:after="0" w:line="107" w:lineRule="exact"/>
        <w:rPr>
          <w:sz w:val="24"/>
          <w:szCs w:val="24"/>
          <w:color w:val="auto"/>
        </w:rPr>
      </w:pPr>
    </w:p>
    <w:p>
      <w:pPr>
        <w:jc w:val="both"/>
        <w:ind w:left="9"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9"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9" w:right="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 w:type="dxa"/>
        <w:tblCellMar>
          <w:top w:w="0" w:type="dxa"/>
          <w:left w:w="0" w:type="dxa"/>
          <w:bottom w:w="0" w:type="dxa"/>
          <w:right w:w="0" w:type="dxa"/>
        </w:tblCellMar>
      </w:tblPr>
      <w:tr>
        <w:trPr>
          <w:trHeight w:val="183"/>
        </w:trPr>
        <w:tc>
          <w:tcPr>
            <w:tcW w:w="1700" w:type="dxa"/>
            <w:vAlign w:val="bottom"/>
          </w:tcPr>
          <w:p>
            <w:pPr>
              <w:spacing w:after="0" w:line="182" w:lineRule="exact"/>
              <w:rPr>
                <w:sz w:val="20"/>
                <w:szCs w:val="20"/>
                <w:color w:val="auto"/>
              </w:rPr>
            </w:pPr>
            <w:r>
              <w:rPr>
                <w:rFonts w:ascii="Arial" w:cs="Arial" w:eastAsia="Arial" w:hAnsi="Arial"/>
                <w:sz w:val="18"/>
                <w:szCs w:val="18"/>
                <w:color w:val="auto"/>
                <w:w w:val="94"/>
              </w:rPr>
              <w:t>Large accelerated filer</w:t>
            </w:r>
          </w:p>
        </w:tc>
        <w:tc>
          <w:tcPr>
            <w:tcW w:w="29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500" w:type="dxa"/>
            <w:vAlign w:val="bottom"/>
          </w:tcPr>
          <w:p>
            <w:pPr>
              <w:ind w:left="2700"/>
              <w:spacing w:after="0" w:line="182" w:lineRule="exact"/>
              <w:rPr>
                <w:sz w:val="20"/>
                <w:szCs w:val="20"/>
                <w:color w:val="auto"/>
              </w:rPr>
            </w:pPr>
            <w:r>
              <w:rPr>
                <w:rFonts w:ascii="Arial" w:cs="Arial" w:eastAsia="Arial" w:hAnsi="Arial"/>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500" w:type="dxa"/>
            <w:vAlign w:val="bottom"/>
          </w:tcPr>
          <w:p>
            <w:pPr>
              <w:ind w:left="2700"/>
              <w:spacing w:after="0"/>
              <w:rPr>
                <w:sz w:val="20"/>
                <w:szCs w:val="20"/>
                <w:color w:val="auto"/>
              </w:rPr>
            </w:pPr>
            <w:r>
              <w:rPr>
                <w:rFonts w:ascii="Arial" w:cs="Arial" w:eastAsia="Arial" w:hAnsi="Arial"/>
                <w:sz w:val="18"/>
                <w:szCs w:val="18"/>
                <w:color w:val="auto"/>
              </w:rPr>
              <w:t>Small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50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9"/>
        </w:trPr>
        <w:tc>
          <w:tcPr>
            <w:tcW w:w="10140" w:type="dxa"/>
            <w:vAlign w:val="bottom"/>
            <w:gridSpan w:val="3"/>
          </w:tcPr>
          <w:p>
            <w:pPr>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0140" w:type="dxa"/>
            <w:vAlign w:val="bottom"/>
            <w:gridSpan w:val="3"/>
          </w:tcPr>
          <w:p>
            <w:pPr>
              <w:spacing w:after="0"/>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p>
        </w:tc>
        <w:tc>
          <w:tcPr>
            <w:tcW w:w="260" w:type="dxa"/>
            <w:vAlign w:val="bottom"/>
          </w:tcPr>
          <w:p>
            <w:pPr>
              <w:spacing w:after="0"/>
              <w:rPr>
                <w:sz w:val="20"/>
                <w:szCs w:val="20"/>
                <w:color w:val="auto"/>
              </w:rPr>
            </w:pPr>
          </w:p>
        </w:tc>
      </w:tr>
    </w:tbl>
    <w:p>
      <w:pPr>
        <w:spacing w:after="0" w:line="34" w:lineRule="exact"/>
        <w:rPr>
          <w:sz w:val="24"/>
          <w:szCs w:val="24"/>
          <w:color w:val="auto"/>
        </w:rPr>
      </w:pPr>
    </w:p>
    <w:p>
      <w:pPr>
        <w:ind w:left="9" w:right="74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Registrant’s Common Stock outstanding as of July 31, 2019 was 17,151,478.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86360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575310</wp:posOffset>
            </wp:positionV>
            <wp:extent cx="6612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29"/>
          </w:cols>
          <w:pgMar w:left="751" w:top="233" w:right="71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14"/>
            <w:vMerge w:val="restart"/>
          </w:tcPr>
          <w:p>
            <w:pPr>
              <w:jc w:val="center"/>
              <w:ind w:right="22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80" w:type="dxa"/>
            <w:vAlign w:val="bottom"/>
            <w:gridSpan w:val="1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80" w:type="dxa"/>
            <w:vAlign w:val="bottom"/>
            <w:gridSpan w:val="2"/>
          </w:tcPr>
          <w:p>
            <w:pPr>
              <w:spacing w:after="0"/>
              <w:rPr>
                <w:sz w:val="18"/>
                <w:szCs w:val="18"/>
                <w:color w:val="auto"/>
              </w:rPr>
            </w:pPr>
          </w:p>
        </w:tc>
        <w:tc>
          <w:tcPr>
            <w:tcW w:w="22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140" w:type="dxa"/>
            <w:vAlign w:val="bottom"/>
            <w:tcBorders>
              <w:top w:val="single" w:sz="8" w:color="0000EE"/>
            </w:tcBorders>
            <w:gridSpan w:val="8"/>
          </w:tcPr>
          <w:p>
            <w:pPr>
              <w:spacing w:after="0"/>
              <w:rPr>
                <w:sz w:val="18"/>
                <w:szCs w:val="18"/>
                <w:color w:val="auto"/>
              </w:rPr>
            </w:pPr>
          </w:p>
        </w:tc>
        <w:tc>
          <w:tcPr>
            <w:tcW w:w="2240" w:type="dxa"/>
            <w:vAlign w:val="bottom"/>
            <w:gridSpan w:val="6"/>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June 30, 2019 (unaudited)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6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Statements of Operations and Comprehensive Loss for the three and six months ended</w:t>
              </w:r>
            </w:hyperlink>
          </w:p>
        </w:tc>
        <w:tc>
          <w:tcPr>
            <w:tcW w:w="2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June 30, 2019 and 2018 (unaudited)</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Stockholders’ Equity for the three and six months ended June 30, 2019</w:t>
              </w:r>
            </w:hyperlink>
          </w:p>
        </w:tc>
        <w:tc>
          <w:tcPr>
            <w:tcW w:w="30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and 2018 (unaudited)</w:t>
              </w:r>
            </w:hyperlink>
          </w:p>
        </w:tc>
        <w:tc>
          <w:tcPr>
            <w:tcW w:w="550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80" w:type="dxa"/>
            <w:vAlign w:val="bottom"/>
            <w:gridSpan w:val="2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Statements of Cash Flows for the six months ended June 30, 2019 and 2018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60" w:type="dxa"/>
            <w:vAlign w:val="bottom"/>
            <w:tcBorders>
              <w:top w:val="single" w:sz="8" w:color="0000EE"/>
            </w:tcBorders>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 (unaudited)</w:t>
              </w:r>
            </w:hyperlink>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480" w:type="dxa"/>
            <w:vAlign w:val="bottom"/>
            <w:gridSpan w:val="2"/>
          </w:tcPr>
          <w:p>
            <w:pPr>
              <w:spacing w:after="0"/>
              <w:rPr>
                <w:sz w:val="18"/>
                <w:szCs w:val="18"/>
                <w:color w:val="auto"/>
              </w:rPr>
            </w:pPr>
          </w:p>
        </w:tc>
        <w:tc>
          <w:tcPr>
            <w:tcW w:w="7600" w:type="dxa"/>
            <w:vAlign w:val="bottom"/>
            <w:gridSpan w:val="2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480" w:type="dxa"/>
            <w:vAlign w:val="bottom"/>
            <w:gridSpan w:val="2"/>
          </w:tcPr>
          <w:p>
            <w:pPr>
              <w:spacing w:after="0"/>
              <w:rPr>
                <w:sz w:val="18"/>
                <w:szCs w:val="18"/>
                <w:color w:val="auto"/>
              </w:rPr>
            </w:pPr>
          </w:p>
        </w:tc>
        <w:tc>
          <w:tcPr>
            <w:tcW w:w="43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8"/>
                <w:szCs w:val="18"/>
                <w:color w:val="auto"/>
              </w:rPr>
            </w:pPr>
          </w:p>
        </w:tc>
        <w:tc>
          <w:tcPr>
            <w:tcW w:w="114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100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760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II—OTHER INFORMATION</w:t>
              </w:r>
            </w:hyperlink>
          </w:p>
        </w:tc>
        <w:tc>
          <w:tcPr>
            <w:tcW w:w="238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480" w:type="dxa"/>
            <w:vAlign w:val="bottom"/>
            <w:gridSpan w:val="2"/>
          </w:tcPr>
          <w:p>
            <w:pPr>
              <w:spacing w:after="0"/>
              <w:rPr>
                <w:sz w:val="18"/>
                <w:szCs w:val="18"/>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260" w:type="dxa"/>
            <w:vAlign w:val="bottom"/>
            <w:gridSpan w:val="18"/>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100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760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2.</w:t>
              </w:r>
            </w:hyperlink>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Unregistered Sales of Equity Securities and Use of Proceeds</w:t>
              </w:r>
            </w:hyperlink>
          </w:p>
        </w:tc>
        <w:tc>
          <w:tcPr>
            <w:tcW w:w="324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3.</w:t>
              </w:r>
            </w:hyperlink>
          </w:p>
        </w:tc>
        <w:tc>
          <w:tcPr>
            <w:tcW w:w="480" w:type="dxa"/>
            <w:vAlign w:val="bottom"/>
            <w:gridSpan w:val="2"/>
          </w:tcPr>
          <w:p>
            <w:pPr>
              <w:spacing w:after="0"/>
              <w:rPr>
                <w:sz w:val="18"/>
                <w:szCs w:val="18"/>
                <w:color w:val="auto"/>
              </w:rPr>
            </w:pPr>
          </w:p>
        </w:tc>
        <w:tc>
          <w:tcPr>
            <w:tcW w:w="7600" w:type="dxa"/>
            <w:vAlign w:val="bottom"/>
            <w:gridSpan w:val="2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4.</w:t>
              </w:r>
            </w:hyperlink>
          </w:p>
        </w:tc>
        <w:tc>
          <w:tcPr>
            <w:tcW w:w="480" w:type="dxa"/>
            <w:vAlign w:val="bottom"/>
            <w:gridSpan w:val="2"/>
          </w:tcPr>
          <w:p>
            <w:pPr>
              <w:spacing w:after="0"/>
              <w:rPr>
                <w:sz w:val="18"/>
                <w:szCs w:val="18"/>
                <w:color w:val="auto"/>
              </w:rPr>
            </w:pP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18"/>
                <w:szCs w:val="18"/>
                <w:color w:val="auto"/>
              </w:rPr>
            </w:pPr>
          </w:p>
        </w:tc>
        <w:tc>
          <w:tcPr>
            <w:tcW w:w="5280" w:type="dxa"/>
            <w:vAlign w:val="bottom"/>
            <w:gridSpan w:val="13"/>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5.</w:t>
              </w:r>
            </w:hyperlink>
          </w:p>
        </w:tc>
        <w:tc>
          <w:tcPr>
            <w:tcW w:w="480" w:type="dxa"/>
            <w:vAlign w:val="bottom"/>
            <w:gridSpan w:val="2"/>
          </w:tcPr>
          <w:p>
            <w:pPr>
              <w:spacing w:after="0"/>
              <w:rPr>
                <w:sz w:val="18"/>
                <w:szCs w:val="18"/>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6280" w:type="dxa"/>
            <w:vAlign w:val="bottom"/>
            <w:gridSpan w:val="19"/>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6.</w:t>
              </w:r>
            </w:hyperlink>
          </w:p>
        </w:tc>
        <w:tc>
          <w:tcPr>
            <w:tcW w:w="480" w:type="dxa"/>
            <w:vAlign w:val="bottom"/>
            <w:gridSpan w:val="2"/>
          </w:tcPr>
          <w:p>
            <w:pPr>
              <w:spacing w:after="0"/>
              <w:rPr>
                <w:sz w:val="18"/>
                <w:szCs w:val="18"/>
                <w:color w:val="auto"/>
              </w:rPr>
            </w:pPr>
          </w:p>
        </w:tc>
        <w:tc>
          <w:tcPr>
            <w:tcW w:w="7600" w:type="dxa"/>
            <w:vAlign w:val="bottom"/>
            <w:gridSpan w:val="2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7000" w:type="dxa"/>
            <w:vAlign w:val="bottom"/>
            <w:gridSpan w:val="2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 INDEX</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7280" w:type="dxa"/>
            <w:vAlign w:val="bottom"/>
            <w:gridSpan w:val="2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1"/>
              </w:rPr>
              <w:t>(See 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15,273</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Lease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net of current portion</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89"/>
              </w:rPr>
              <w:t>Preferred stock, $0.0001 par value per share; 5,000,000 shares authorized; no shares issued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outstanding as of June 30, 2019 and December 31, 2018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tcPr>
          <w:p>
            <w:pPr>
              <w:ind w:left="100"/>
              <w:spacing w:after="0" w:line="201" w:lineRule="exact"/>
              <w:rPr>
                <w:sz w:val="20"/>
                <w:szCs w:val="20"/>
                <w:color w:val="auto"/>
              </w:rPr>
            </w:pPr>
            <w:r>
              <w:rPr>
                <w:rFonts w:ascii="Arial" w:cs="Arial" w:eastAsia="Arial" w:hAnsi="Arial"/>
                <w:sz w:val="18"/>
                <w:szCs w:val="18"/>
                <w:color w:val="auto"/>
                <w:w w:val="93"/>
              </w:rPr>
              <w:t>Common stock, $0.0001 par value per share; 100,000,000 shares authorized; 17,151,290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w w:val="90"/>
              </w:rPr>
              <w:t>and 17,095,456 shares issued and outstanding as of June 30, 2019 and December 31, 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(141,919)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Loss (In thousands, except share and per share amounts)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18,814</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25,618</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22,880</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175"/>
        </w:trPr>
        <w:tc>
          <w:tcPr>
            <w:tcW w:w="4480" w:type="dxa"/>
            <w:vAlign w:val="bottom"/>
          </w:tcPr>
          <w:p>
            <w:pPr>
              <w:spacing w:after="0" w:line="176" w:lineRule="exact"/>
              <w:rPr>
                <w:sz w:val="20"/>
                <w:szCs w:val="20"/>
                <w:color w:val="auto"/>
              </w:rPr>
            </w:pPr>
            <w:r>
              <w:rPr>
                <w:rFonts w:ascii="Arial" w:cs="Arial" w:eastAsia="Arial" w:hAnsi="Arial"/>
                <w:sz w:val="18"/>
                <w:szCs w:val="18"/>
                <w:color w:val="auto"/>
              </w:rPr>
              <w:t>Weighted-average shares used to compute net loss per</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17,137,338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8"/>
              </w:rPr>
              <w:t>16,635,261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17,117,777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8"/>
              </w:rPr>
              <w:t>15,717,248</w:t>
            </w:r>
          </w:p>
        </w:tc>
        <w:tc>
          <w:tcPr>
            <w:tcW w:w="0" w:type="dxa"/>
            <w:vAlign w:val="bottom"/>
          </w:tcPr>
          <w:p>
            <w:pPr>
              <w:spacing w:after="0"/>
              <w:rPr>
                <w:sz w:val="1"/>
                <w:szCs w:val="1"/>
                <w:color w:val="auto"/>
              </w:rPr>
            </w:pP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common share, basic and diluted</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rPr>
              <w:t>Three and Six Months Ended June 30, 2019</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222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0"/>
                <w:szCs w:val="10"/>
                <w:color w:val="auto"/>
              </w:rPr>
            </w:pPr>
          </w:p>
        </w:tc>
        <w:tc>
          <w:tcPr>
            <w:tcW w:w="1000" w:type="dxa"/>
            <w:vAlign w:val="bottom"/>
          </w:tcPr>
          <w:p>
            <w:pPr>
              <w:jc w:val="center"/>
              <w:ind w:right="88"/>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22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10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2018</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17,095,456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158,912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(133,993)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4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100" w:type="dxa"/>
            <w:vAlign w:val="bottom"/>
          </w:tcPr>
          <w:p>
            <w:pPr>
              <w:jc w:val="right"/>
              <w:spacing w:after="0"/>
              <w:rPr>
                <w:sz w:val="20"/>
                <w:szCs w:val="20"/>
                <w:color w:val="auto"/>
              </w:rPr>
            </w:pPr>
            <w:r>
              <w:rPr>
                <w:rFonts w:ascii="Arial" w:cs="Arial" w:eastAsia="Arial" w:hAnsi="Arial"/>
                <w:sz w:val="14"/>
                <w:szCs w:val="14"/>
                <w:color w:val="auto"/>
              </w:rPr>
              <w:t>12,607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Net loss</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March 31, 2019</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17,108,063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159,629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(138,249)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4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100" w:type="dxa"/>
            <w:vAlign w:val="bottom"/>
          </w:tcPr>
          <w:p>
            <w:pPr>
              <w:jc w:val="right"/>
              <w:spacing w:after="0"/>
              <w:rPr>
                <w:sz w:val="20"/>
                <w:szCs w:val="20"/>
                <w:color w:val="auto"/>
              </w:rPr>
            </w:pPr>
            <w:r>
              <w:rPr>
                <w:rFonts w:ascii="Arial" w:cs="Arial" w:eastAsia="Arial" w:hAnsi="Arial"/>
                <w:sz w:val="14"/>
                <w:szCs w:val="14"/>
                <w:color w:val="auto"/>
              </w:rPr>
              <w:t>43,227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Net loss</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2019</w:t>
            </w: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17,151,290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160,564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(141,919)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1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rPr>
              <w:t>Three and Six Months Ended June 30, 2018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222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0"/>
                <w:szCs w:val="10"/>
                <w:color w:val="auto"/>
              </w:rPr>
            </w:pPr>
          </w:p>
        </w:tc>
        <w:tc>
          <w:tcPr>
            <w:tcW w:w="1000" w:type="dxa"/>
            <w:vAlign w:val="bottom"/>
          </w:tcPr>
          <w:p>
            <w:pPr>
              <w:jc w:val="center"/>
              <w:ind w:right="88"/>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22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10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2017</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12,817,201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128,422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(117,539)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40" w:type="dxa"/>
            <w:vAlign w:val="bottom"/>
          </w:tcPr>
          <w:p>
            <w:pPr>
              <w:ind w:left="220"/>
              <w:spacing w:after="0" w:line="130" w:lineRule="exact"/>
              <w:rPr>
                <w:sz w:val="20"/>
                <w:szCs w:val="20"/>
                <w:color w:val="auto"/>
              </w:rPr>
            </w:pPr>
            <w:r>
              <w:rPr>
                <w:rFonts w:ascii="Arial" w:cs="Arial" w:eastAsia="Arial" w:hAnsi="Arial"/>
                <w:sz w:val="14"/>
                <w:szCs w:val="14"/>
                <w:color w:val="auto"/>
              </w:rPr>
              <w:t>Adjustment to opening balance for adoption of</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220"/>
              <w:spacing w:after="0"/>
              <w:rPr>
                <w:sz w:val="20"/>
                <w:szCs w:val="20"/>
                <w:color w:val="auto"/>
              </w:rPr>
            </w:pPr>
            <w:r>
              <w:rPr>
                <w:rFonts w:ascii="Arial" w:cs="Arial" w:eastAsia="Arial" w:hAnsi="Arial"/>
                <w:sz w:val="14"/>
                <w:szCs w:val="14"/>
                <w:color w:val="auto"/>
              </w:rPr>
              <w:t>new accounting standard</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in secondary</w:t>
            </w:r>
          </w:p>
        </w:tc>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offering, net of issuance costs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3,772,447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4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100" w:type="dxa"/>
            <w:vAlign w:val="bottom"/>
          </w:tcPr>
          <w:p>
            <w:pPr>
              <w:jc w:val="right"/>
              <w:spacing w:after="0"/>
              <w:rPr>
                <w:sz w:val="20"/>
                <w:szCs w:val="20"/>
                <w:color w:val="auto"/>
              </w:rPr>
            </w:pPr>
            <w:r>
              <w:rPr>
                <w:rFonts w:ascii="Arial" w:cs="Arial" w:eastAsia="Arial" w:hAnsi="Arial"/>
                <w:sz w:val="14"/>
                <w:szCs w:val="14"/>
                <w:color w:val="auto"/>
              </w:rPr>
              <w:t>58,229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Compensation expense related to vesting of</w:t>
            </w:r>
          </w:p>
        </w:tc>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common stock issued to</w:t>
            </w: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GLOBALFOUNDRIES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line="142" w:lineRule="exact"/>
              <w:rPr>
                <w:sz w:val="20"/>
                <w:szCs w:val="20"/>
                <w:color w:val="auto"/>
              </w:rPr>
            </w:pPr>
            <w:r>
              <w:rPr>
                <w:rFonts w:ascii="Arial" w:cs="Arial" w:eastAsia="Arial" w:hAnsi="Arial"/>
                <w:sz w:val="14"/>
                <w:szCs w:val="14"/>
                <w:color w:val="auto"/>
              </w:rPr>
              <w:t>Balance at March 31, 2018</w:t>
            </w: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16,647,877</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154,201</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(117,516)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36,687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incentive plans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152,628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40" w:type="dxa"/>
            <w:vAlign w:val="bottom"/>
          </w:tcPr>
          <w:p>
            <w:pPr>
              <w:ind w:left="220"/>
              <w:spacing w:after="0" w:line="130" w:lineRule="exact"/>
              <w:rPr>
                <w:sz w:val="20"/>
                <w:szCs w:val="20"/>
                <w:color w:val="auto"/>
              </w:rPr>
            </w:pPr>
            <w:r>
              <w:rPr>
                <w:rFonts w:ascii="Arial" w:cs="Arial" w:eastAsia="Arial" w:hAnsi="Arial"/>
                <w:sz w:val="14"/>
                <w:szCs w:val="14"/>
                <w:color w:val="auto"/>
              </w:rPr>
              <w:t>Compensation expense related to vesting of</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common stock issued to</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220"/>
              <w:spacing w:after="0"/>
              <w:rPr>
                <w:sz w:val="20"/>
                <w:szCs w:val="20"/>
                <w:color w:val="auto"/>
              </w:rPr>
            </w:pPr>
            <w:r>
              <w:rPr>
                <w:rFonts w:ascii="Arial" w:cs="Arial" w:eastAsia="Arial" w:hAnsi="Arial"/>
                <w:sz w:val="14"/>
                <w:szCs w:val="14"/>
                <w:color w:val="auto"/>
              </w:rPr>
              <w:t>GLOBALFOUNDRIES</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Net loss</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(7,369)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2018</w:t>
            </w: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16,800,505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155,866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(124,885)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30,983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Six Months Ended</w:t>
      </w:r>
    </w:p>
    <w:p>
      <w:pPr>
        <w:ind w:left="73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r>
      <w:tr>
        <w:trPr>
          <w:trHeight w:val="156"/>
        </w:trPr>
        <w:tc>
          <w:tcPr>
            <w:tcW w:w="64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220" w:type="dxa"/>
            <w:vAlign w:val="bottom"/>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(7,926)</w:t>
            </w:r>
          </w:p>
        </w:tc>
        <w:tc>
          <w:tcPr>
            <w:tcW w:w="240" w:type="dxa"/>
            <w:vAlign w:val="bottom"/>
          </w:tcPr>
          <w:p>
            <w:pPr>
              <w:jc w:val="right"/>
              <w:ind w:right="83"/>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(8,646)</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876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729</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1,502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1,342</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interest expense</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200</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Compensation expense related to vesting of common stock to GLOBALFOUNDRIES</w:t>
            </w:r>
          </w:p>
        </w:tc>
        <w:tc>
          <w:tcPr>
            <w:tcW w:w="220" w:type="dxa"/>
            <w:vAlign w:val="bottom"/>
          </w:tcPr>
          <w:p>
            <w:pPr>
              <w:spacing w:after="0"/>
              <w:rPr>
                <w:sz w:val="14"/>
                <w:szCs w:val="14"/>
                <w:color w:val="auto"/>
              </w:rPr>
            </w:pPr>
          </w:p>
        </w:tc>
        <w:tc>
          <w:tcPr>
            <w:tcW w:w="106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462</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1,658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(1,391)</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Inventory</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940</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(635)</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assets</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(136)</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220" w:type="dxa"/>
            <w:vAlign w:val="bottom"/>
          </w:tcPr>
          <w:p>
            <w:pPr>
              <w:spacing w:after="0"/>
              <w:rPr>
                <w:sz w:val="14"/>
                <w:szCs w:val="14"/>
                <w:color w:val="auto"/>
              </w:rPr>
            </w:pPr>
          </w:p>
        </w:tc>
        <w:tc>
          <w:tcPr>
            <w:tcW w:w="10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(456)</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51</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Accrued liabilities</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(907)</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2,591</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Lease liabilities</w:t>
            </w:r>
          </w:p>
        </w:tc>
        <w:tc>
          <w:tcPr>
            <w:tcW w:w="220" w:type="dxa"/>
            <w:vAlign w:val="bottom"/>
          </w:tcPr>
          <w:p>
            <w:pPr>
              <w:spacing w:after="0"/>
              <w:rPr>
                <w:sz w:val="14"/>
                <w:szCs w:val="14"/>
                <w:color w:val="auto"/>
              </w:rPr>
            </w:pPr>
          </w:p>
        </w:tc>
        <w:tc>
          <w:tcPr>
            <w:tcW w:w="10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(43)</w:t>
            </w:r>
          </w:p>
        </w:tc>
        <w:tc>
          <w:tcPr>
            <w:tcW w:w="240" w:type="dxa"/>
            <w:vAlign w:val="bottom"/>
          </w:tcPr>
          <w:p>
            <w:pPr>
              <w:spacing w:after="0"/>
              <w:rPr>
                <w:sz w:val="14"/>
                <w:szCs w:val="14"/>
                <w:color w:val="auto"/>
              </w:rPr>
            </w:pPr>
          </w:p>
        </w:tc>
        <w:tc>
          <w:tcPr>
            <w:tcW w:w="106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Shipping term reversal</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(39)</w:t>
            </w:r>
          </w:p>
        </w:tc>
      </w:tr>
      <w:tr>
        <w:trPr>
          <w:trHeight w:val="156"/>
        </w:trPr>
        <w:tc>
          <w:tcPr>
            <w:tcW w:w="648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used in operating activities</w:t>
            </w: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(4,790)</w:t>
            </w:r>
          </w:p>
        </w:tc>
        <w:tc>
          <w:tcPr>
            <w:tcW w:w="2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(4,513)</w:t>
            </w:r>
          </w:p>
        </w:tc>
        <w:tc>
          <w:tcPr>
            <w:tcW w:w="260" w:type="dxa"/>
            <w:vAlign w:val="bottom"/>
            <w:tcBorders>
              <w:bottom w:val="single" w:sz="8" w:color="CCEEFF"/>
            </w:tcBorders>
          </w:tcPr>
          <w:p>
            <w:pPr>
              <w:spacing w:after="0"/>
              <w:rPr>
                <w:sz w:val="13"/>
                <w:szCs w:val="13"/>
                <w:color w:val="auto"/>
              </w:rPr>
            </w:pPr>
          </w:p>
        </w:tc>
      </w:tr>
      <w:tr>
        <w:trPr>
          <w:trHeight w:val="156"/>
        </w:trPr>
        <w:tc>
          <w:tcPr>
            <w:tcW w:w="64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220" w:type="dxa"/>
            <w:vAlign w:val="bottom"/>
          </w:tcPr>
          <w:p>
            <w:pPr>
              <w:spacing w:after="0"/>
              <w:rPr>
                <w:sz w:val="14"/>
                <w:szCs w:val="14"/>
                <w:color w:val="auto"/>
              </w:rPr>
            </w:pPr>
          </w:p>
        </w:tc>
        <w:tc>
          <w:tcPr>
            <w:tcW w:w="10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(461)</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(347)</w:t>
            </w:r>
          </w:p>
        </w:tc>
        <w:tc>
          <w:tcPr>
            <w:tcW w:w="260" w:type="dxa"/>
            <w:vAlign w:val="bottom"/>
          </w:tcPr>
          <w:p>
            <w:pPr>
              <w:spacing w:after="0"/>
              <w:rPr>
                <w:sz w:val="14"/>
                <w:szCs w:val="14"/>
                <w:color w:val="auto"/>
              </w:rPr>
            </w:pPr>
          </w:p>
        </w:tc>
      </w:tr>
      <w:tr>
        <w:trPr>
          <w:trHeight w:val="156"/>
        </w:trPr>
        <w:tc>
          <w:tcPr>
            <w:tcW w:w="648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(461)</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(347)</w:t>
            </w:r>
          </w:p>
        </w:tc>
        <w:tc>
          <w:tcPr>
            <w:tcW w:w="260" w:type="dxa"/>
            <w:vAlign w:val="bottom"/>
            <w:tcBorders>
              <w:top w:val="single" w:sz="8" w:color="CCEEFF"/>
            </w:tcBorders>
            <w:shd w:val="clear" w:color="auto" w:fill="CCEEFF"/>
          </w:tcPr>
          <w:p>
            <w:pPr>
              <w:spacing w:after="0"/>
              <w:rPr>
                <w:sz w:val="13"/>
                <w:szCs w:val="13"/>
                <w:color w:val="auto"/>
              </w:rPr>
            </w:pPr>
          </w:p>
        </w:tc>
      </w:tr>
      <w:tr>
        <w:trPr>
          <w:trHeight w:val="156"/>
        </w:trPr>
        <w:tc>
          <w:tcPr>
            <w:tcW w:w="648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the issuance of common stock, net of offering costs</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24,609</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Payments on debt</w:t>
            </w:r>
          </w:p>
        </w:tc>
        <w:tc>
          <w:tcPr>
            <w:tcW w:w="220" w:type="dxa"/>
            <w:vAlign w:val="bottom"/>
          </w:tcPr>
          <w:p>
            <w:pPr>
              <w:spacing w:after="0"/>
              <w:rPr>
                <w:sz w:val="14"/>
                <w:szCs w:val="14"/>
                <w:color w:val="auto"/>
              </w:rPr>
            </w:pPr>
          </w:p>
        </w:tc>
        <w:tc>
          <w:tcPr>
            <w:tcW w:w="10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(3,000)</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(1,000)</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finance lease obligation</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(5)</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w w:val="99"/>
              </w:rPr>
              <w:t>Proceeds from exercise of stock options and purchase of shares in employee stock purchase plan</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150</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1,032</w:t>
            </w:r>
          </w:p>
        </w:tc>
        <w:tc>
          <w:tcPr>
            <w:tcW w:w="260" w:type="dxa"/>
            <w:vAlign w:val="bottom"/>
            <w:tcBorders>
              <w:bottom w:val="single" w:sz="8" w:color="CCEEFF"/>
            </w:tcBorders>
          </w:tcPr>
          <w:p>
            <w:pPr>
              <w:spacing w:after="0"/>
              <w:rPr>
                <w:sz w:val="14"/>
                <w:szCs w:val="14"/>
                <w:color w:val="auto"/>
              </w:rPr>
            </w:pPr>
          </w:p>
        </w:tc>
      </w:tr>
      <w:tr>
        <w:trPr>
          <w:trHeight w:val="156"/>
        </w:trPr>
        <w:tc>
          <w:tcPr>
            <w:tcW w:w="648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provided by financing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(2,855)</w:t>
            </w:r>
          </w:p>
        </w:tc>
        <w:tc>
          <w:tcPr>
            <w:tcW w:w="2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24,635</w:t>
            </w:r>
          </w:p>
        </w:tc>
        <w:tc>
          <w:tcPr>
            <w:tcW w:w="260" w:type="dxa"/>
            <w:vAlign w:val="bottom"/>
            <w:shd w:val="clear" w:color="auto" w:fill="CCEEFF"/>
          </w:tcPr>
          <w:p>
            <w:pPr>
              <w:spacing w:after="0"/>
              <w:rPr>
                <w:sz w:val="13"/>
                <w:szCs w:val="13"/>
                <w:color w:val="auto"/>
              </w:rPr>
            </w:pPr>
          </w:p>
        </w:tc>
      </w:tr>
      <w:tr>
        <w:trPr>
          <w:trHeight w:val="156"/>
        </w:trPr>
        <w:tc>
          <w:tcPr>
            <w:tcW w:w="6480" w:type="dxa"/>
            <w:vAlign w:val="bottom"/>
          </w:tcPr>
          <w:p>
            <w:pPr>
              <w:spacing w:after="0" w:line="156" w:lineRule="exact"/>
              <w:rPr>
                <w:sz w:val="20"/>
                <w:szCs w:val="20"/>
                <w:color w:val="auto"/>
              </w:rPr>
            </w:pPr>
            <w:r>
              <w:rPr>
                <w:rFonts w:ascii="Arial" w:cs="Arial" w:eastAsia="Arial" w:hAnsi="Arial"/>
                <w:sz w:val="15"/>
                <w:szCs w:val="15"/>
                <w:color w:val="auto"/>
              </w:rPr>
              <w:t>Net (decrease) increase in cash and cash equivalents</w:t>
            </w:r>
          </w:p>
        </w:tc>
        <w:tc>
          <w:tcPr>
            <w:tcW w:w="22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5"/>
                <w:szCs w:val="15"/>
                <w:color w:val="auto"/>
              </w:rPr>
              <w:t>(8,106)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Arial" w:cs="Arial" w:eastAsia="Arial" w:hAnsi="Arial"/>
                <w:sz w:val="15"/>
                <w:szCs w:val="15"/>
                <w:color w:val="auto"/>
              </w:rPr>
              <w:t>19,775</w:t>
            </w:r>
          </w:p>
        </w:tc>
        <w:tc>
          <w:tcPr>
            <w:tcW w:w="260" w:type="dxa"/>
            <w:vAlign w:val="bottom"/>
          </w:tcPr>
          <w:p>
            <w:pPr>
              <w:spacing w:after="0"/>
              <w:rPr>
                <w:sz w:val="13"/>
                <w:szCs w:val="13"/>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23,379</w:t>
            </w:r>
          </w:p>
        </w:tc>
        <w:tc>
          <w:tcPr>
            <w:tcW w:w="2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12,950</w:t>
            </w:r>
          </w:p>
        </w:tc>
        <w:tc>
          <w:tcPr>
            <w:tcW w:w="260" w:type="dxa"/>
            <w:vAlign w:val="bottom"/>
            <w:shd w:val="clear" w:color="auto" w:fill="CCEEFF"/>
          </w:tcPr>
          <w:p>
            <w:pPr>
              <w:spacing w:after="0"/>
              <w:rPr>
                <w:sz w:val="14"/>
                <w:szCs w:val="14"/>
                <w:color w:val="auto"/>
              </w:rPr>
            </w:pPr>
          </w:p>
        </w:tc>
      </w:tr>
      <w:tr>
        <w:trPr>
          <w:trHeight w:val="163"/>
        </w:trPr>
        <w:tc>
          <w:tcPr>
            <w:tcW w:w="64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22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15,273</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32,725</w:t>
            </w:r>
          </w:p>
        </w:tc>
        <w:tc>
          <w:tcPr>
            <w:tcW w:w="260" w:type="dxa"/>
            <w:vAlign w:val="bottom"/>
            <w:tcBorders>
              <w:bottom w:val="single" w:sz="8" w:color="CCEEFF"/>
            </w:tcBorders>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Supplementary cash flow information:</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9"/>
        </w:trPr>
        <w:tc>
          <w:tcPr>
            <w:tcW w:w="64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Interest paid</w:t>
            </w:r>
          </w:p>
        </w:tc>
        <w:tc>
          <w:tcPr>
            <w:tcW w:w="2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257</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233</w:t>
            </w:r>
          </w:p>
        </w:tc>
        <w:tc>
          <w:tcPr>
            <w:tcW w:w="260" w:type="dxa"/>
            <w:vAlign w:val="bottom"/>
            <w:tcBorders>
              <w:bottom w:val="single" w:sz="8" w:color="CCEEFF"/>
            </w:tcBorders>
          </w:tcPr>
          <w:p>
            <w:pPr>
              <w:spacing w:after="0"/>
              <w:rPr>
                <w:sz w:val="14"/>
                <w:szCs w:val="14"/>
                <w:color w:val="auto"/>
              </w:rPr>
            </w:pPr>
          </w:p>
        </w:tc>
      </w:tr>
      <w:tr>
        <w:trPr>
          <w:trHeight w:val="182"/>
        </w:trPr>
        <w:tc>
          <w:tcPr>
            <w:tcW w:w="648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Operating cash flows paid for operating leases</w:t>
            </w:r>
          </w:p>
        </w:tc>
        <w:tc>
          <w:tcPr>
            <w:tcW w:w="2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837</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r>
      <w:tr>
        <w:trPr>
          <w:trHeight w:val="156"/>
        </w:trPr>
        <w:tc>
          <w:tcPr>
            <w:tcW w:w="6480" w:type="dxa"/>
            <w:vAlign w:val="bottom"/>
            <w:tcBorders>
              <w:bottom w:val="single" w:sz="8" w:color="CCEEFF"/>
            </w:tcBorders>
          </w:tcPr>
          <w:p>
            <w:pPr>
              <w:spacing w:after="0" w:line="149" w:lineRule="exact"/>
              <w:rPr>
                <w:sz w:val="20"/>
                <w:szCs w:val="20"/>
                <w:color w:val="auto"/>
              </w:rPr>
            </w:pPr>
            <w:r>
              <w:rPr>
                <w:rFonts w:ascii="Arial" w:cs="Arial" w:eastAsia="Arial" w:hAnsi="Arial"/>
                <w:sz w:val="15"/>
                <w:szCs w:val="15"/>
                <w:color w:val="auto"/>
              </w:rPr>
              <w:t>Financing cash flows paid for finance leases</w:t>
            </w:r>
          </w:p>
        </w:tc>
        <w:tc>
          <w:tcPr>
            <w:tcW w:w="220" w:type="dxa"/>
            <w:vAlign w:val="bottom"/>
            <w:tcBorders>
              <w:bottom w:val="single" w:sz="8" w:color="auto"/>
            </w:tcBorders>
          </w:tcPr>
          <w:p>
            <w:pPr>
              <w:jc w:val="right"/>
              <w:ind w:right="63"/>
              <w:spacing w:after="0" w:line="14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5</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83"/>
              <w:spacing w:after="0" w:line="14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tcPr>
          <w:p>
            <w:pPr>
              <w:spacing w:after="0"/>
              <w:rPr>
                <w:sz w:val="13"/>
                <w:szCs w:val="13"/>
                <w:color w:val="auto"/>
              </w:rPr>
            </w:pPr>
          </w:p>
        </w:tc>
      </w:tr>
      <w:tr>
        <w:trPr>
          <w:trHeight w:val="182"/>
        </w:trPr>
        <w:tc>
          <w:tcPr>
            <w:tcW w:w="648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Right-of-use assets obtained in exchange for new operating leases</w:t>
            </w:r>
          </w:p>
        </w:tc>
        <w:tc>
          <w:tcPr>
            <w:tcW w:w="2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23</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5"/>
                <w:szCs w:val="15"/>
                <w:b w:val="1"/>
                <w:bCs w:val="1"/>
                <w:color w:val="auto"/>
              </w:rPr>
              <w:t>Non-cash investing and financing activities: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9"/>
        </w:trPr>
        <w:tc>
          <w:tcPr>
            <w:tcW w:w="648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Purchases of property and equipment in accounts payable</w:t>
            </w:r>
          </w:p>
        </w:tc>
        <w:tc>
          <w:tcPr>
            <w:tcW w:w="2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27</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27</w:t>
            </w:r>
          </w:p>
        </w:tc>
        <w:tc>
          <w:tcPr>
            <w:tcW w:w="260" w:type="dxa"/>
            <w:vAlign w:val="bottom"/>
            <w:tcBorders>
              <w:bottom w:val="single" w:sz="8" w:color="CCEEFF"/>
            </w:tcBorders>
            <w:shd w:val="clear" w:color="auto" w:fill="CCEEFF"/>
          </w:tcPr>
          <w:p>
            <w:pPr>
              <w:spacing w:after="0"/>
              <w:rPr>
                <w:sz w:val="14"/>
                <w:szCs w:val="1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the industrial, automotive, transportation, and enterprise storage markets to design high performance, power efficient and reliable systems without the need for bulky batteries or capacitors.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320" w:lineRule="exact"/>
        <w:rPr>
          <w:sz w:val="20"/>
          <w:szCs w:val="20"/>
          <w:color w:val="auto"/>
        </w:rPr>
      </w:pPr>
    </w:p>
    <w:p>
      <w:pPr>
        <w:ind w:right="20" w:firstLine="401"/>
        <w:spacing w:after="0" w:line="270" w:lineRule="auto"/>
        <w:rPr>
          <w:sz w:val="20"/>
          <w:szCs w:val="20"/>
          <w:color w:val="auto"/>
        </w:rPr>
      </w:pPr>
      <w:r>
        <w:rPr>
          <w:rFonts w:ascii="Arial" w:cs="Arial" w:eastAsia="Arial" w:hAnsi="Arial"/>
          <w:sz w:val="17"/>
          <w:szCs w:val="17"/>
          <w:color w:val="auto"/>
        </w:rPr>
        <w:t>The Company believes that its existing cash and cash equivalents as of June 30, 2019, coupled with its anticipated growth and sales levels will be sufficient to meet its anticipated cash requirements for at least the next twelve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2018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six months ended June 30, 2019 are not necessarily indicative of the results to be expected for the year ending December 31, 2019 or for any other interim period or for any other future year.</w:t>
      </w:r>
    </w:p>
    <w:p>
      <w:pPr>
        <w:spacing w:after="0" w:line="18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2018, included in the Company’s Annual Report on Form 10-K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product warranty reserves, income taxes, and stock-based compensation. The Company believes its estimates and assumptions are reasonable; however, actual results may differ from the Company’s estimates.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estimates credits to distributors based on the historical rate of credits provided to distributors relative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sales. At June 30, 2019, the allowance for product returns and the allowance for price concessions were $212,000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respectively. At December 31, 2018, the allowance for product returns and the allowance for price concessions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$144,000 and $569,000, respectively.</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5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accounts receivable</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17"/>
        </w:trPr>
        <w:tc>
          <w:tcPr>
            <w:tcW w:w="54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5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Revenue</w:t>
            </w:r>
          </w:p>
        </w:tc>
        <w:tc>
          <w:tcPr>
            <w:tcW w:w="14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Revenue</w:t>
            </w:r>
          </w:p>
        </w:tc>
        <w:tc>
          <w:tcPr>
            <w:tcW w:w="18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1"/>
              </w:rPr>
              <w:t>Accounts Receivable, net</w:t>
            </w: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tcBorders>
              <w:top w:val="single" w:sz="8" w:color="auto"/>
            </w:tcBorders>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rPr>
              <w:t>Three Months Ended</w:t>
            </w:r>
          </w:p>
        </w:tc>
        <w:tc>
          <w:tcPr>
            <w:tcW w:w="11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Six Months Ended</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40" w:type="dxa"/>
            <w:vAlign w:val="bottom"/>
            <w:gridSpan w:val="3"/>
          </w:tcPr>
          <w:p>
            <w:pPr>
              <w:jc w:val="right"/>
              <w:ind w:right="750"/>
              <w:spacing w:after="0" w:line="119" w:lineRule="exact"/>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71"/>
        </w:trPr>
        <w:tc>
          <w:tcPr>
            <w:tcW w:w="342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rPr>
              <w:t>Customers</w:t>
            </w:r>
          </w:p>
        </w:tc>
        <w:tc>
          <w:tcPr>
            <w:tcW w:w="15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14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w w:val="85"/>
              </w:rPr>
              <w:t>June 30,</w:t>
            </w:r>
          </w:p>
        </w:tc>
        <w:tc>
          <w:tcPr>
            <w:tcW w:w="10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342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Customer B</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Customer 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Customer F</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19 %</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Customer H</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I</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Less than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3" w:lineRule="exact"/>
        <w:rPr>
          <w:sz w:val="20"/>
          <w:szCs w:val="20"/>
          <w:color w:val="auto"/>
        </w:rPr>
      </w:pPr>
    </w:p>
    <w:p>
      <w:pPr>
        <w:ind w:left="320" w:right="40"/>
        <w:spacing w:after="0" w:line="261" w:lineRule="auto"/>
        <w:rPr>
          <w:sz w:val="20"/>
          <w:szCs w:val="20"/>
          <w:color w:val="auto"/>
        </w:rPr>
      </w:pPr>
      <w:r>
        <w:rPr>
          <w:rFonts w:ascii="Arial" w:cs="Arial" w:eastAsia="Arial" w:hAnsi="Arial"/>
          <w:sz w:val="18"/>
          <w:szCs w:val="18"/>
          <w:color w:val="auto"/>
        </w:rPr>
        <w:t>Level 2— Inputs, other than quoted prices for identical assets or liabilities in active markets, which are observable either directly or indirectly;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320" w:right="60"/>
        <w:spacing w:after="0" w:line="277" w:lineRule="auto"/>
        <w:rPr>
          <w:sz w:val="20"/>
          <w:szCs w:val="20"/>
          <w:color w:val="auto"/>
        </w:rPr>
      </w:pPr>
      <w:r>
        <w:rPr>
          <w:rFonts w:ascii="Arial" w:cs="Arial" w:eastAsia="Arial" w:hAnsi="Arial"/>
          <w:sz w:val="18"/>
          <w:szCs w:val="18"/>
          <w:color w:val="auto"/>
        </w:rPr>
        <w:t>Level 3— Unobservable inputs in which there is little or no market data requiring the reporting entity to develop its own assumptions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carrying value of accounts receivable, accounts payable, and other accruals readily convertible into cash approximate fair value because of the short-term nature of the instruments. As of June 30, 2019,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Where quoted prices are available in an active market, securities are classified as Level 1. Level 1 assets consist of highly liquid money market funds that are included in cash equivalents.</w:t>
      </w:r>
    </w:p>
    <w:p>
      <w:pPr>
        <w:spacing w:after="0" w:line="18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measured at fair value on a recurring basis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42"/>
        </w:trPr>
        <w:tc>
          <w:tcPr>
            <w:tcW w:w="32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Money market funds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15,417</w:t>
            </w:r>
          </w:p>
        </w:tc>
        <w:tc>
          <w:tcPr>
            <w:tcW w:w="2320" w:type="dxa"/>
            <w:vAlign w:val="bottom"/>
            <w:gridSpan w:val="6"/>
          </w:tcPr>
          <w:p>
            <w:pPr>
              <w:jc w:val="right"/>
              <w:spacing w:after="0"/>
              <w:rPr>
                <w:sz w:val="20"/>
                <w:szCs w:val="20"/>
                <w:color w:val="auto"/>
              </w:rPr>
            </w:pPr>
            <w:r>
              <w:rPr>
                <w:rFonts w:ascii="Arial" w:cs="Arial" w:eastAsia="Arial" w:hAnsi="Arial"/>
                <w:sz w:val="18"/>
                <w:szCs w:val="18"/>
                <w:color w:val="auto"/>
              </w:rPr>
              <w:t>$  —  $  —  $  15,417</w:t>
            </w:r>
          </w:p>
        </w:tc>
      </w:tr>
      <w:tr>
        <w:trPr>
          <w:trHeight w:val="217"/>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15,417</w:t>
            </w:r>
          </w:p>
        </w:tc>
      </w:tr>
      <w:tr>
        <w:trPr>
          <w:trHeight w:val="378"/>
        </w:trPr>
        <w:tc>
          <w:tcPr>
            <w:tcW w:w="3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42"/>
        </w:trPr>
        <w:tc>
          <w:tcPr>
            <w:tcW w:w="32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Money market funds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23,478</w:t>
            </w:r>
          </w:p>
        </w:tc>
        <w:tc>
          <w:tcPr>
            <w:tcW w:w="2320" w:type="dxa"/>
            <w:vAlign w:val="bottom"/>
            <w:gridSpan w:val="6"/>
          </w:tcPr>
          <w:p>
            <w:pPr>
              <w:jc w:val="right"/>
              <w:spacing w:after="0"/>
              <w:rPr>
                <w:sz w:val="20"/>
                <w:szCs w:val="20"/>
                <w:color w:val="auto"/>
              </w:rPr>
            </w:pPr>
            <w:r>
              <w:rPr>
                <w:rFonts w:ascii="Arial" w:cs="Arial" w:eastAsia="Arial" w:hAnsi="Arial"/>
                <w:sz w:val="18"/>
                <w:szCs w:val="18"/>
                <w:color w:val="auto"/>
              </w:rPr>
              <w:t>$  —  $  —  $  23,478</w:t>
            </w:r>
          </w:p>
        </w:tc>
      </w:tr>
      <w:tr>
        <w:trPr>
          <w:trHeight w:val="217"/>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23,478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leases office, lab, manufacturing space and equipment in various locations with initial lease terms of up to five years. These leases require monthly lease payments that may be subject to annual increases throughout the lease</w:t>
      </w:r>
    </w:p>
    <w:p>
      <w:pPr>
        <w:jc w:val="both"/>
        <w:ind w:right="120"/>
        <w:spacing w:after="0" w:line="254" w:lineRule="auto"/>
        <w:rPr>
          <w:sz w:val="20"/>
          <w:szCs w:val="20"/>
          <w:color w:val="auto"/>
        </w:rPr>
      </w:pPr>
      <w:r>
        <w:rPr>
          <w:rFonts w:ascii="Arial" w:cs="Arial" w:eastAsia="Arial" w:hAnsi="Arial"/>
          <w:sz w:val="18"/>
          <w:szCs w:val="18"/>
          <w:color w:val="auto"/>
        </w:rPr>
        <w:t>term. The terms of these leases also include renewal options at the election of the Company to renew or extend the lease for a range of an additional two to five years. These optional periods have not been considered in the determination of the right-of-use-assets (ROU) or lease liabilities associated with these leases as the Company did not consider it reasonably certain it would exercise the options.</w:t>
      </w:r>
    </w:p>
    <w:p>
      <w:pPr>
        <w:spacing w:after="0" w:line="19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Company determines if an arrangement is a lease at inception.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Company’s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excludes lease incentives and initial direct costs incurred, as applicable. Lease expense for the Company’s operating leases is recognized on a straight-line basis over the lease term. Amortization expense for ROU assets associated with finance leases is recognized on a straight-line basis over the shorter of the useful life of the asset or the lease term and interest expense associated with finance leases is recognized on the balance of the lease liability using the effective interest method based on the estimated incremental borrowing rate.</w:t>
      </w:r>
    </w:p>
    <w:p>
      <w:pPr>
        <w:spacing w:after="0" w:line="175"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The Company has lease agreements with lease and non-lease components. The Company has elected to not separate lease and non-lease components for any leases involving real estate and office equipment classes of assets and, as a result, accounts for the lease and non-lease components as a single lease component. The Company will separate lease and non-lease components for any leases involving manufacturing facility classes of assets. Further, the Company elected the short-term lease exception policy, permitting it to not apply the recognition requirements of this standard to</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leases with terms of 12 months or less (short-term leases) for all classes of assets. As of June 30, 2019, the Company did not have any short-term leases.</w:t>
      </w:r>
    </w:p>
    <w:p>
      <w:pPr>
        <w:spacing w:after="0" w:line="170"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Operating leases are included in right-of-use assets, lease liabilities, and lease liabilities, net of current portion in the Company’s balance sheet. Finance leases are included in property and equipment, other current liabilities, and other long-term liabilities in the Company’s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Stock-based compensation arrangements include stock option grants and restricted stock unit (RSU) awards under the Company’s equity incentive plans, as well as shares issued under the Company’s Employee Stock Purchase Plan (ESPP), through which employees may purchase the Company’s common stock at a discount to the market price.</w:t>
      </w:r>
    </w:p>
    <w:p>
      <w:pPr>
        <w:spacing w:after="0" w:line="147"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Company measures its stock option grants made to employees based on the estimated fair value of the options as of the grant date using the Black-Scholes option-pricing model. Stock-based compensation expense is recognized over the requisite service period using the straight-line method. The Company has made an accounting policy election to account for forfeitures as they occur, rather than estimating expected forfeitures at the time of the grant.</w:t>
      </w:r>
    </w:p>
    <w:p>
      <w:pPr>
        <w:spacing w:after="0" w:line="15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Stock-based compensation expense for options granted to non-employees as consideration for services received is measured on the date of performance at the fair value of the consideration received or the fair value of the equity instruments issued, using the Black-Scholes option-pricing model, whichever can be more reliably measured. Compensation expense for options granted to non-employees is recognized as the underlying options vest. The Company has made an accounting policy election to account for forfeitures as they occur, rather than estimating expected forfeitures at the time of the grant. In addition, the Company made an accounting policy election to use the contractual term as the expected term rather than estimating the expected term.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 02, Leases (Topic 842), which establishes a comprehensive new lease accounting model. The new standard: (a) clarifies the definition of a lease; (b) requires a dual approach to lease classification similar to current lease classifications; and (c) causes lessees to recognize leases on the balance sheet as a lease liability with a corresponding ROU asset for leases with a lease-term of more than 12 months. This ASU is effective for fiscal years and interim periods within those years beginning after December 15, 2018. In July 2018, the FASB issued ASU 2018-10, Codification Improvements to Topic 842 Leases and ASU No. 2018-11, Leases (Topic 842) Targeted Improvements. ASU 2018-10 clarifies how to apply certain aspects of ASU 2016-02. The Company adopted this standard on January 1, 2019, using the modified retrospective method. The comparative information has not been restated and continues to be reported under the accounting standards in effect for those periods.</w:t>
      </w:r>
    </w:p>
    <w:p>
      <w:pPr>
        <w:spacing w:after="0" w:line="16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Topic 842 permits the application of certain practical expedients, of which the Company elected the “package of three” expedient, that eliminated the requirements to reassess prior conclusions about lease identification, lease classification, and initial direct costs. Further, the Company elected the short-term lease exception policy, permitting it to not apply the recognition requirements of this standard to short-term leases.</w:t>
      </w:r>
    </w:p>
    <w:p>
      <w:pPr>
        <w:spacing w:after="0" w:line="18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Upon adoption of Topic 842, on January 1, 2019, the Company recorded an operating lease ROU asset of $3.6 million, operating lease liabilities of $4.0 million, and derecognized the deferred rent liability of $390,000. The accounting for the Company’s finance leases remained substantially unchanged.</w:t>
      </w:r>
    </w:p>
    <w:p>
      <w:pPr>
        <w:spacing w:after="0" w:line="18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June 2018, the FASB issued ASU No. 2018-07, Compensation-Stock Compensation (Topic 718): Improvements to Nonemployee Share-Based Payment Accounting. ASU 2018-07 is intended to reduce the cost and complexity and to improve financial reporting for nonemployee share-based payments. The ASU expands the scope of Topic 718, (which currently only includes share-based payments to employees) to include share-based payments issued to nonemployees for goods or services. Consequently, the accounting for share-based payments to nonemployees and employees will be substantially aligned. The standard is effective for fiscal years beginning after December 15, 2018, including interim periods within that fiscal year. Early adoption is permitted, but no earlier than a company’s adoption date of Topic 606. The Company adopted this standard on January 1, 2019 and the impact of its adoption on the Company’s financial statements was not material.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which amends the incurred loss impairment methodology in current GAAP with a methodology that reflects expected credit losses and requires consideration of a broader range of reasonable and supportable information to inform credit loss estimates. ASU 2016-13 is effective for annual reporting periods, and interim periods within those years, beginning after December 15, 2019, and requires a cumulative effect adjustment to the balance sheet as of the beginning of the first reporting period in which the guidance is effective. In April 2019, the FASB issued ASU No. 2019-04, Codification Improvements Financial Instruments-Credit Losses (Topic 326). The new ASU provides narrow-scope amendments to help apply ASU No. 2016-13. The Company is evaluating the impact of the adoption of ASU 2016-13 on its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Company sells the majority of its products to its distributors, but also recognizes revenue under licensing and royalty agreements. The following table presents the Company’s revenues disaggregated by sales channel (in thousands):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19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8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16,531</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9,087</w:t>
            </w:r>
          </w:p>
        </w:tc>
        <w:tc>
          <w:tcPr>
            <w:tcW w:w="80" w:type="dxa"/>
            <w:vAlign w:val="bottom"/>
            <w:tcBorders>
              <w:bottom w:val="single" w:sz="8" w:color="CCEEFF"/>
            </w:tcBorders>
          </w:tcPr>
          <w:p>
            <w:pPr>
              <w:spacing w:after="0"/>
              <w:rPr>
                <w:sz w:val="18"/>
                <w:szCs w:val="18"/>
                <w:color w:val="auto"/>
              </w:rPr>
            </w:pPr>
          </w:p>
        </w:tc>
      </w:tr>
      <w:tr>
        <w:trPr>
          <w:trHeight w:val="217"/>
        </w:trPr>
        <w:tc>
          <w:tcPr>
            <w:tcW w:w="2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25,618</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revenues disaggregated by timing of recognition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19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8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24,116</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80" w:type="dxa"/>
            <w:vAlign w:val="bottom"/>
            <w:tcBorders>
              <w:bottom w:val="single" w:sz="8" w:color="CCEEFF"/>
            </w:tcBorders>
          </w:tcPr>
          <w:p>
            <w:pPr>
              <w:spacing w:after="0"/>
              <w:rPr>
                <w:sz w:val="18"/>
                <w:szCs w:val="18"/>
                <w:color w:val="auto"/>
              </w:rPr>
            </w:pPr>
          </w:p>
        </w:tc>
      </w:tr>
      <w:tr>
        <w:trPr>
          <w:trHeight w:val="217"/>
        </w:trPr>
        <w:tc>
          <w:tcPr>
            <w:tcW w:w="2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25,618</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04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8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18,814</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License fees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80" w:type="dxa"/>
            <w:vAlign w:val="bottom"/>
            <w:tcBorders>
              <w:bottom w:val="single" w:sz="8" w:color="CCEEFF"/>
            </w:tcBorders>
          </w:tcPr>
          <w:p>
            <w:pPr>
              <w:spacing w:after="0"/>
              <w:rPr>
                <w:sz w:val="18"/>
                <w:szCs w:val="18"/>
                <w:color w:val="auto"/>
              </w:rPr>
            </w:pPr>
          </w:p>
        </w:tc>
      </w:tr>
      <w:tr>
        <w:trPr>
          <w:trHeight w:val="217"/>
        </w:trPr>
        <w:tc>
          <w:tcPr>
            <w:tcW w:w="2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25,618</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recognizes revenue in three primary geographic regions: North America; Europe, Middle East and Africa (EMEA); and Asia-Pacific and Japan (APJ). The following table presents the Company’s revenues disaggregated by the geographic region to which the product is delivered or licensee is located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920" w:type="dxa"/>
            <w:vAlign w:val="bottom"/>
          </w:tcPr>
          <w:p>
            <w:pPr>
              <w:spacing w:after="0"/>
              <w:rPr>
                <w:sz w:val="14"/>
                <w:szCs w:val="14"/>
                <w:color w:val="auto"/>
              </w:rPr>
            </w:pPr>
          </w:p>
        </w:tc>
      </w:tr>
      <w:tr>
        <w:trPr>
          <w:trHeight w:val="142"/>
        </w:trPr>
        <w:tc>
          <w:tcPr>
            <w:tcW w:w="940" w:type="dxa"/>
            <w:vAlign w:val="bottom"/>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920" w:type="dxa"/>
            <w:vAlign w:val="bottom"/>
          </w:tcPr>
          <w:p>
            <w:pPr>
              <w:spacing w:after="0"/>
              <w:rPr>
                <w:sz w:val="12"/>
                <w:szCs w:val="12"/>
                <w:color w:val="auto"/>
              </w:rPr>
            </w:pPr>
          </w:p>
        </w:tc>
      </w:tr>
      <w:tr>
        <w:trPr>
          <w:trHeight w:val="210"/>
        </w:trPr>
        <w:tc>
          <w:tcPr>
            <w:tcW w:w="94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4,728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16,361</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94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18,672</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648"/>
        </w:trPr>
        <w:tc>
          <w:tcPr>
            <w:tcW w:w="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47"/>
        </w:trPr>
        <w:tc>
          <w:tcPr>
            <w:tcW w:w="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Inventory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96"/>
        </w:trPr>
        <w:tc>
          <w:tcPr>
            <w:tcW w:w="900" w:type="dxa"/>
            <w:vAlign w:val="bottom"/>
          </w:tcPr>
          <w:p>
            <w:pPr>
              <w:spacing w:after="0"/>
              <w:rPr>
                <w:sz w:val="17"/>
                <w:szCs w:val="17"/>
                <w:color w:val="auto"/>
              </w:rPr>
            </w:pPr>
          </w:p>
        </w:tc>
        <w:tc>
          <w:tcPr>
            <w:tcW w:w="46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r>
      <w:tr>
        <w:trPr>
          <w:trHeight w:val="210"/>
        </w:trPr>
        <w:tc>
          <w:tcPr>
            <w:tcW w:w="9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9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Work-in-process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6,759</w:t>
            </w:r>
          </w:p>
        </w:tc>
      </w:tr>
      <w:tr>
        <w:trPr>
          <w:trHeight w:val="216"/>
        </w:trPr>
        <w:tc>
          <w:tcPr>
            <w:tcW w:w="9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r>
      <w:tr>
        <w:trPr>
          <w:trHeight w:val="217"/>
        </w:trPr>
        <w:tc>
          <w:tcPr>
            <w:tcW w:w="90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Total inventory</w:t>
            </w:r>
          </w:p>
        </w:tc>
        <w:tc>
          <w:tcPr>
            <w:tcW w:w="880" w:type="dxa"/>
            <w:vAlign w:val="bottom"/>
          </w:tcPr>
          <w:p>
            <w:pPr>
              <w:spacing w:after="0"/>
              <w:rPr>
                <w:sz w:val="18"/>
                <w:szCs w:val="18"/>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w:t>
            </w: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5560" w:type="dxa"/>
            <w:vAlign w:val="bottom"/>
            <w:gridSpan w:val="2"/>
          </w:tcPr>
          <w:p>
            <w:pPr>
              <w:ind w:left="320"/>
              <w:spacing w:after="0"/>
              <w:rPr>
                <w:sz w:val="20"/>
                <w:szCs w:val="20"/>
                <w:color w:val="auto"/>
              </w:rPr>
            </w:pPr>
            <w:r>
              <w:rPr>
                <w:rFonts w:ascii="Arial" w:cs="Arial" w:eastAsia="Arial" w:hAnsi="Arial"/>
                <w:sz w:val="18"/>
                <w:szCs w:val="18"/>
                <w:color w:val="auto"/>
              </w:rPr>
              <w:t>Accrued liabilities consisted of the following (in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6"/>
        </w:trPr>
        <w:tc>
          <w:tcPr>
            <w:tcW w:w="9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96"/>
        </w:trPr>
        <w:tc>
          <w:tcPr>
            <w:tcW w:w="900" w:type="dxa"/>
            <w:vAlign w:val="bottom"/>
          </w:tcPr>
          <w:p>
            <w:pPr>
              <w:spacing w:after="0"/>
              <w:rPr>
                <w:sz w:val="17"/>
                <w:szCs w:val="17"/>
                <w:color w:val="auto"/>
              </w:rPr>
            </w:pPr>
          </w:p>
        </w:tc>
        <w:tc>
          <w:tcPr>
            <w:tcW w:w="46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r>
      <w:tr>
        <w:trPr>
          <w:trHeight w:val="210"/>
        </w:trPr>
        <w:tc>
          <w:tcPr>
            <w:tcW w:w="9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payroll-related expenses</w:t>
            </w:r>
          </w:p>
        </w:tc>
        <w:tc>
          <w:tcPr>
            <w:tcW w:w="9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r>
      <w:tr>
        <w:trPr>
          <w:trHeight w:val="216"/>
        </w:trPr>
        <w:tc>
          <w:tcPr>
            <w:tcW w:w="9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Accrued joint development agreement expenses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16"/>
        </w:trPr>
        <w:tc>
          <w:tcPr>
            <w:tcW w:w="9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16"/>
        </w:trPr>
        <w:tc>
          <w:tcPr>
            <w:tcW w:w="9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Deferred rent</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9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17"/>
        </w:trPr>
        <w:tc>
          <w:tcPr>
            <w:tcW w:w="90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Total accrued liabilities</w:t>
            </w:r>
          </w:p>
        </w:tc>
        <w:tc>
          <w:tcPr>
            <w:tcW w:w="90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color w:val="auto"/>
        </w:rPr>
        <w:t>During 2017, the Company entered into an operating lease for 27,974 square feet of office space for its corporate headquarters located in Chandler, Arizona, that expires in January 2022. The Company has the option to renew the lease through August 2024; however, the Company does not consider it reasonably certain it will exercise the renewal option.</w:t>
      </w:r>
    </w:p>
    <w:p>
      <w:pPr>
        <w:spacing w:after="0" w:line="14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leases office and lab space for its design facility located in Austin, Texas, under an operating lease that expires in January 2022. The Company has the option to renew the lease for an additional five years; however, the Company does not consider it reasonably certain it will exercise the renewal option.</w:t>
      </w:r>
    </w:p>
    <w:p>
      <w:pPr>
        <w:spacing w:after="0" w:line="181"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Company has another operating lease for its Arizona manufacturing facility, which includes office and fabrication space. This lease is cancellable upon 24 months’ notice by either of the parties and expires in January 2021.</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undiscounted future non-cancellable lease payments under the Company’s leases were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As of June 30, 2019</w:t>
            </w:r>
          </w:p>
        </w:tc>
        <w:tc>
          <w:tcPr>
            <w:tcW w:w="9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6"/>
              </w:rPr>
              <w:t>Operating Leases</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Finance Lease</w:t>
            </w:r>
          </w:p>
        </w:tc>
        <w:tc>
          <w:tcPr>
            <w:tcW w:w="12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90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(remaining six months)</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8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2020</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1,746</w:t>
            </w:r>
          </w:p>
        </w:tc>
        <w:tc>
          <w:tcPr>
            <w:tcW w:w="8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8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88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undiscounted lease payments</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8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Less: Present value adjustment</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w:t>
            </w:r>
          </w:p>
        </w:tc>
        <w:tc>
          <w:tcPr>
            <w:tcW w:w="88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liability</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8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Less: Current portion of lease liability</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(1,583)</w:t>
            </w:r>
          </w:p>
        </w:tc>
        <w:tc>
          <w:tcPr>
            <w:tcW w:w="880" w:type="dxa"/>
            <w:vAlign w:val="bottom"/>
          </w:tcPr>
          <w:p>
            <w:pPr>
              <w:spacing w:after="0"/>
              <w:rPr>
                <w:sz w:val="18"/>
                <w:szCs w:val="18"/>
                <w:color w:val="auto"/>
              </w:rPr>
            </w:pPr>
          </w:p>
        </w:tc>
      </w:tr>
      <w:tr>
        <w:trPr>
          <w:trHeight w:val="230"/>
        </w:trPr>
        <w:tc>
          <w:tcPr>
            <w:tcW w:w="900" w:type="dxa"/>
            <w:vAlign w:val="bottom"/>
          </w:tcPr>
          <w:p>
            <w:pPr>
              <w:spacing w:after="0"/>
              <w:rPr>
                <w:sz w:val="19"/>
                <w:szCs w:val="19"/>
                <w:color w:val="auto"/>
              </w:rPr>
            </w:pPr>
          </w:p>
        </w:tc>
        <w:tc>
          <w:tcPr>
            <w:tcW w:w="33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Total lease liability, net of current portion</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880" w:type="dxa"/>
            <w:vAlign w:val="bottom"/>
          </w:tcPr>
          <w:p>
            <w:pPr>
              <w:spacing w:after="0"/>
              <w:rPr>
                <w:sz w:val="19"/>
                <w:szCs w:val="19"/>
                <w:color w:val="auto"/>
              </w:rPr>
            </w:pPr>
          </w:p>
        </w:tc>
      </w:tr>
      <w:tr>
        <w:trPr>
          <w:trHeight w:val="851"/>
        </w:trPr>
        <w:tc>
          <w:tcPr>
            <w:tcW w:w="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61"/>
        </w:trPr>
        <w:tc>
          <w:tcPr>
            <w:tcW w:w="9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determined under ASC 840, the future minimum rental commitments under the Company’s operating leases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were as follows (in thousands):</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440" w:type="dxa"/>
            <w:vAlign w:val="bottom"/>
            <w:gridSpan w:val="2"/>
          </w:tcPr>
          <w:p>
            <w:pPr>
              <w:ind w:left="600"/>
              <w:spacing w:after="0"/>
              <w:rPr>
                <w:sz w:val="20"/>
                <w:szCs w:val="20"/>
                <w:color w:val="auto"/>
              </w:rPr>
            </w:pPr>
            <w:r>
              <w:rPr>
                <w:rFonts w:ascii="Arial" w:cs="Arial" w:eastAsia="Arial" w:hAnsi="Arial"/>
                <w:sz w:val="18"/>
                <w:szCs w:val="18"/>
                <w:color w:val="auto"/>
              </w:rPr>
              <w:t>Year Ending December 31,</w:t>
            </w: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Amount</w:t>
            </w:r>
          </w:p>
        </w:tc>
      </w:tr>
      <w:tr>
        <w:trPr>
          <w:trHeight w:val="210"/>
        </w:trPr>
        <w:tc>
          <w:tcPr>
            <w:tcW w:w="60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16"/>
        </w:trPr>
        <w:tc>
          <w:tcPr>
            <w:tcW w:w="6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1,701</w:t>
            </w:r>
          </w:p>
        </w:tc>
      </w:tr>
      <w:tr>
        <w:trPr>
          <w:trHeight w:val="216"/>
        </w:trPr>
        <w:tc>
          <w:tcPr>
            <w:tcW w:w="6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16"/>
        </w:trPr>
        <w:tc>
          <w:tcPr>
            <w:tcW w:w="60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0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r>
      <w:tr>
        <w:trPr>
          <w:trHeight w:val="419"/>
        </w:trPr>
        <w:tc>
          <w:tcPr>
            <w:tcW w:w="5440" w:type="dxa"/>
            <w:vAlign w:val="bottom"/>
            <w:gridSpan w:val="2"/>
          </w:tcPr>
          <w:p>
            <w:pPr>
              <w:spacing w:after="0"/>
              <w:rPr>
                <w:sz w:val="20"/>
                <w:szCs w:val="20"/>
                <w:color w:val="auto"/>
              </w:rPr>
            </w:pPr>
            <w:r>
              <w:rPr>
                <w:rFonts w:ascii="Arial" w:cs="Arial" w:eastAsia="Arial" w:hAnsi="Arial"/>
                <w:sz w:val="18"/>
                <w:szCs w:val="18"/>
                <w:color w:val="auto"/>
                <w:w w:val="91"/>
              </w:rPr>
              <w:t>Other information related to the Company's lease liabilities was as follows:</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78"/>
        </w:trPr>
        <w:tc>
          <w:tcPr>
            <w:tcW w:w="5440" w:type="dxa"/>
            <w:vAlign w:val="bottom"/>
            <w:gridSpan w:val="2"/>
          </w:tcPr>
          <w:p>
            <w:pPr>
              <w:ind w:left="600"/>
              <w:spacing w:after="0"/>
              <w:rPr>
                <w:sz w:val="20"/>
                <w:szCs w:val="20"/>
                <w:color w:val="auto"/>
              </w:rPr>
            </w:pPr>
            <w:r>
              <w:rPr>
                <w:rFonts w:ascii="Arial" w:cs="Arial" w:eastAsia="Arial" w:hAnsi="Arial"/>
                <w:sz w:val="14"/>
                <w:szCs w:val="14"/>
                <w:b w:val="1"/>
                <w:bCs w:val="1"/>
                <w:color w:val="auto"/>
              </w:rPr>
              <w:t>As of June 30, 2019</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114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Finance lease</w:t>
            </w:r>
          </w:p>
        </w:tc>
      </w:tr>
      <w:tr>
        <w:trPr>
          <w:trHeight w:val="210"/>
        </w:trPr>
        <w:tc>
          <w:tcPr>
            <w:tcW w:w="60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2.12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1.42</w:t>
            </w:r>
          </w:p>
        </w:tc>
      </w:tr>
      <w:tr>
        <w:trPr>
          <w:trHeight w:val="230"/>
        </w:trPr>
        <w:tc>
          <w:tcPr>
            <w:tcW w:w="60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w w:val="92"/>
              </w:rPr>
              <w:t>6.01 %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w w:val="92"/>
              </w:rPr>
              <w:t>3.50 %</w:t>
            </w:r>
          </w:p>
        </w:tc>
      </w:tr>
    </w:tbl>
    <w:p>
      <w:pPr>
        <w:spacing w:after="0" w:line="187"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Lease costs for the Company’s operating leases were $401,000 and $420,000 for the three months ended June 30, 2019 and 2018 respectively, and $800,000 and $851,000, for the six months ended June 30, 2019 and 2018 respectively. Variable lease payments for operating leases were immaterial for the three and six months ended June 30, 2019 and 2018. Lease costs for the Company’s finance lease were immaterial for the three and six months ended June 30, 2019 and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225" w:lineRule="exact"/>
        <w:rPr>
          <w:sz w:val="20"/>
          <w:szCs w:val="20"/>
          <w:color w:val="auto"/>
        </w:rPr>
      </w:pPr>
    </w:p>
    <w:p>
      <w:pPr>
        <w:ind w:right="340" w:firstLine="324"/>
        <w:spacing w:after="0" w:line="291" w:lineRule="auto"/>
        <w:rPr>
          <w:sz w:val="20"/>
          <w:szCs w:val="20"/>
          <w:color w:val="auto"/>
        </w:rPr>
      </w:pPr>
      <w:r>
        <w:rPr>
          <w:rFonts w:ascii="Arial" w:cs="Arial" w:eastAsia="Arial" w:hAnsi="Arial"/>
          <w:sz w:val="16"/>
          <w:szCs w:val="16"/>
          <w:color w:val="auto"/>
        </w:rPr>
        <w:t>On May 4, 2017, the Company entered into a Loan and Security Agreement with Silicon Valley Bank (2017 Credit Facility) for a $12.0 million term loan. The term loan provided for interest at a floating rate equal to the prime rate minus</w:t>
      </w:r>
    </w:p>
    <w:p>
      <w:pPr>
        <w:jc w:val="both"/>
        <w:ind w:right="200"/>
        <w:spacing w:after="0" w:line="302" w:lineRule="auto"/>
        <w:rPr>
          <w:sz w:val="20"/>
          <w:szCs w:val="20"/>
          <w:color w:val="auto"/>
        </w:rPr>
      </w:pPr>
      <w:r>
        <w:rPr>
          <w:rFonts w:ascii="Arial" w:cs="Arial" w:eastAsia="Arial" w:hAnsi="Arial"/>
          <w:sz w:val="16"/>
          <w:szCs w:val="16"/>
          <w:color w:val="auto"/>
        </w:rPr>
        <w:t>0.75%. The term loan provided for a period of interest-only payments through April 30, 2018, followed by fixed principal and interest payments based on a 24-month amortization schedule. An end of term fee of 6% of the amount borrowed must be made when the loan is prepaid or repaid, whether at maturity or as a result of a prepayment or acceleration or otherwise.</w:t>
      </w:r>
    </w:p>
    <w:p>
      <w:pPr>
        <w:spacing w:after="0" w:line="15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On July 6, 2018, the Company entered into the First Amendment to the 2017 Credit Facility (the First Amendment). The First Amendment extended the period of interest-only payments through December 31, 2018, followed by fixed principal and interest payments based on either a 24-month or a 36-month amortization schedule if the Company achieves certain milestones. The Company determined it would not meet the milestones, therefore, the 2017 Credit Facility is based on a 24-month amortization schedule and matures in December 2020. The 2017 Credit Facility provides for interest at a floating rate equal to the prime rate minus 0.75%. As of June 30, 2019, the interest rate was 4.75%. The terms of the First Amendment included the refund of $1.0 million in principal payments previously made by the Company. An end of term fee of 7% of the amount borrowed must be made when the loan is prepaid or repaid, whether at maturity or as a result of a prepayment or acceleration or otherwise. The additional payment is being accreted using the effective interest method. As of June 30, 2019, the effective interest rate under the 2017 Credit Facility was 7.77%.</w:t>
      </w:r>
    </w:p>
    <w:p>
      <w:pPr>
        <w:spacing w:after="0" w:line="169"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In January 2019 and June 2019, the Company entered into the Second Amendment and the Third Amendment to the 2017 Credit Facility, respectively, which primarily modified the financial covenants under the 2017 Credit Facility.</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is permitted to make voluntary prepayments of the 2017 Credit Facility with a prepayment fee, calculated as of the effective date of the First Amendment, equal to (i) $240,000 during the first 12 months and (ii) $120,000 if prepaid in months 13-24. The Company is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conjunction with the First Amendment, outstanding warrants held by SVB to purchase 9,229 shares of the Company’s common stock at $26.00 per share were cancelled. The Company subsequently issued a warrant to SVB for the purchase of 9,375 shares of the Company’s common stock at an exercise price of $8.91 per share. The warrant can be exercised at any time and expires five years after the date of issuance. The Company estimated the fair value of the warrant as $43,000 on the date of issuance using the Black-Scholes option pricing model. The warrant was recorded as a discount to the debt and will be amortized into interest expense over the remaining term of the loan using the effective interest method.</w:t>
      </w:r>
    </w:p>
    <w:p>
      <w:pPr>
        <w:spacing w:after="0" w:line="16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Security for the 2017 Credit Facility includes all of the Company’s assets except for intellectual property. The Company is required to comply with certain covenants under the 2017 Credit Facility, including requirements to maintain a minimum liquidity ratio, meet certain revenue targets, and restrictions on certain actions without the consent of the lender, such as limitations on its ability to engage in mergers or acquisitions, sell assets, enter into transactions involving related parties, incur indebtedness or grant liens or negative pledges on its assets, make loans or make other investments. Under these covenants, the Company is prohibited from paying cash dividends with respect to its capital stock. The Company was in compliance with all covenants at June 30, 2019. The 2017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June 30, 2019, management does not believe that it is probable that the clause will be triggered within the next 12 months, and therefore the term loan is classified as long-term.</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the Company’s 2017 Credit Facility at June 30, 2019 was as follows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Long-Term</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Portion</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Debt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7"/>
        </w:trPr>
        <w:tc>
          <w:tcPr>
            <w:tcW w:w="4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value of the Company’s 2017 Credit Facility at December 31, 2018 was as follows (in thousands):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Long-Term</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Portion</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Debt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12,840</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7"/>
        </w:trPr>
        <w:tc>
          <w:tcPr>
            <w:tcW w:w="4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includes the principal repayments due under the 2017 Credit Facility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Principal Repayments</w:t>
            </w:r>
          </w:p>
        </w:tc>
        <w:tc>
          <w:tcPr>
            <w:tcW w:w="9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as of June 30, 2019</w:t>
            </w:r>
          </w:p>
        </w:tc>
        <w:tc>
          <w:tcPr>
            <w:tcW w:w="9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2019 (remaining six months)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2020</w:t>
            </w:r>
          </w:p>
        </w:tc>
        <w:tc>
          <w:tcPr>
            <w:tcW w:w="3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repayments</w:t>
            </w:r>
          </w:p>
        </w:tc>
        <w:tc>
          <w:tcPr>
            <w:tcW w:w="3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900" w:type="dxa"/>
            <w:vAlign w:val="bottom"/>
          </w:tcPr>
          <w:p>
            <w:pPr>
              <w:spacing w:after="0"/>
              <w:rPr>
                <w:sz w:val="19"/>
                <w:szCs w:val="19"/>
                <w:color w:val="auto"/>
              </w:rPr>
            </w:pPr>
          </w:p>
        </w:tc>
      </w:tr>
      <w:tr>
        <w:trPr>
          <w:trHeight w:val="878"/>
        </w:trPr>
        <w:tc>
          <w:tcPr>
            <w:tcW w:w="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40" w:type="dxa"/>
            <w:vAlign w:val="bottom"/>
          </w:tcPr>
          <w:p>
            <w:pPr>
              <w:jc w:val="right"/>
              <w:ind w:right="20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stock option and award activity for the six months ended June 30,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Options and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Weighted-</w:t>
            </w:r>
          </w:p>
        </w:tc>
        <w:tc>
          <w:tcPr>
            <w:tcW w:w="9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Weighted-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Exercise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Price Per</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Grant</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Life (years)</w:t>
            </w:r>
          </w:p>
        </w:tc>
        <w:tc>
          <w:tcPr>
            <w:tcW w:w="12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764,145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1,475,299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Authorized</w:t>
            </w:r>
          </w:p>
        </w:tc>
        <w:tc>
          <w:tcPr>
            <w:tcW w:w="840" w:type="dxa"/>
            <w:vAlign w:val="bottom"/>
          </w:tcPr>
          <w:p>
            <w:pPr>
              <w:jc w:val="right"/>
              <w:spacing w:after="0"/>
              <w:rPr>
                <w:sz w:val="20"/>
                <w:szCs w:val="20"/>
                <w:color w:val="auto"/>
              </w:rPr>
            </w:pPr>
            <w:r>
              <w:rPr>
                <w:rFonts w:ascii="Arial" w:cs="Arial" w:eastAsia="Arial" w:hAnsi="Arial"/>
                <w:sz w:val="18"/>
                <w:szCs w:val="18"/>
                <w:color w:val="auto"/>
              </w:rPr>
              <w:t>512,864</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granted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(141,750)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RSUs cancelled/forfeited</w:t>
            </w:r>
          </w:p>
        </w:tc>
        <w:tc>
          <w:tcPr>
            <w:tcW w:w="840" w:type="dxa"/>
            <w:vAlign w:val="bottom"/>
          </w:tcPr>
          <w:p>
            <w:pPr>
              <w:jc w:val="right"/>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granted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(530,250)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530,250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Options exercised</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(4,188)</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cancelled/forfeited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124,269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(127,798)</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Balance—June 30,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738,278</w:t>
            </w: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1,873,563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7.26</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exercisable—June 30, 2019</w:t>
            </w:r>
          </w:p>
        </w:tc>
        <w:tc>
          <w:tcPr>
            <w:tcW w:w="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804,998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total grant date fair value of options vested was $516,000 and $545,000 during the three months ended June 30, 2019 and 2018, respectively, and $1.2 million and $922,000 during the six months ended June 30, 2019 and 2018, respectively.</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weighted-average grant date fair value of employee options granted was $4.34 and $4.14 per share during the three months ended June 30, 2019 and 2018, respectively, and $4.07 and $4.56 per share during the six months ended June 30, 2019 and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In January 2019, there was an increase of 170,955 shares reserved for issuance under the Company’s Employee Stock Purchase Plan (ESPP). The Company had 417,939 shares available for future issuance under the Company’s ESPP as of June 30, 2019. Employees purchased 22,405 shares for $130,000 during the three and six months ended June 30, 2019. Employees purchased 20,057 shares for $137,000 during the three and six months ended June 30,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Stock Awards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February 2018, the Company modified the terms of 400,000 vested and unvested stock option awards granted to the Chief Executive Officer, by reducing their exercise price from $16.25 per share to $7.64 per share. There was no change to any of the other terms of the option awards. The modification resulted in an incremental value of $600,000 being allocated to the options, of which $63,000 was recognized to expense immediately based on options that were vested at the time of the modification. The remaining incremental value of $537,000 attributable to unvested options will be recognized over the remaining vesting term through September 2021.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Restricted Stock Units (RSUs) activity for the six months ended June 30, 2019:</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1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5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9"/>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71"/>
        </w:trPr>
        <w:tc>
          <w:tcPr>
            <w:tcW w:w="5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141,750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Cancelled/forfeited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Balance—June 30, 2019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197,069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June 30, 2019, there was $1.3 million of unrecognized stock-based compensation expense related to RSUs to be recognized over a weighted-average period of 2.8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The Company recognized stock-based compensation expense from awards granted to employees and non-employees under its equity incentive plans and from its ESPP as follows, excluding amounts related to GLOBALFOUNDRIES, Inc. (GF) (in thousands):</w:t>
      </w:r>
    </w:p>
    <w:p>
      <w:pPr>
        <w:spacing w:after="0" w:line="186"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9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4"/>
                <w:szCs w:val="14"/>
                <w:color w:val="auto"/>
              </w:rPr>
            </w:pPr>
          </w:p>
        </w:tc>
        <w:tc>
          <w:tcPr>
            <w:tcW w:w="192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8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r>
      <w:tr>
        <w:trPr>
          <w:trHeight w:val="217"/>
        </w:trPr>
        <w:tc>
          <w:tcPr>
            <w:tcW w:w="382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As of June 30, 2019, there was $5.5 million of total unrecognized compensation expense related to unvested options which is expected to be recognized over a weighted-average period of 2.7 years. Compensation cost capitalized within inventory at December 31, 2019 and 2018 was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Significant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On October 17, 2014, the Company entered into a Joint Development Agreement (JDA) with GF, for the joint development of the Company’s Spin Transfer Torque MRAM (STT-MRAM) technology. In October 2018, the Company entered into the Third Amendment to the JDA with GF, which extended the term of the JDA until December 2019. The JDA also states that the specific terms and conditions for the production and supply of the developed STT-MRAM technology would be pursuant to a separate manufacturing agreement entered into between the parties.</w:t>
      </w:r>
    </w:p>
    <w:p>
      <w:pPr>
        <w:spacing w:after="0" w:line="17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78"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Generally, unless otherwise specified in the agreement or a statement of work, the Company and GF share project costs, which do not include personnel or production qualification costs, under the JDA. If GF manufactures, sells or</w:t>
      </w:r>
    </w:p>
    <w:p>
      <w:pPr>
        <w:sectPr>
          <w:pgSz w:w="11900" w:h="16838" w:orient="portrait"/>
          <w:cols w:equalWidth="0" w:num="1">
            <w:col w:w="9040"/>
          </w:cols>
          <w:pgMar w:left="1420" w:top="125"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type w:val="continuous"/>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transfers to customers wafers containing production quantified STT-MRAM devices that utilize certain design information, GF will be required to pay the Company a royalty.</w:t>
      </w:r>
    </w:p>
    <w:p>
      <w:pPr>
        <w:spacing w:after="0" w:line="170" w:lineRule="exact"/>
        <w:rPr>
          <w:sz w:val="20"/>
          <w:szCs w:val="20"/>
          <w:color w:val="auto"/>
        </w:rPr>
      </w:pPr>
    </w:p>
    <w:p>
      <w:pPr>
        <w:ind w:right="240" w:firstLine="324"/>
        <w:spacing w:after="0" w:line="285" w:lineRule="auto"/>
        <w:rPr>
          <w:sz w:val="20"/>
          <w:szCs w:val="20"/>
          <w:color w:val="auto"/>
        </w:rPr>
      </w:pPr>
      <w:r>
        <w:rPr>
          <w:rFonts w:ascii="Arial" w:cs="Arial" w:eastAsia="Arial" w:hAnsi="Arial"/>
          <w:sz w:val="16"/>
          <w:szCs w:val="16"/>
          <w:color w:val="auto"/>
        </w:rPr>
        <w:t>The Company incurred project costs of $440,000 and $2.3 million for the three months ended June 30, 2019 and 2018 respectively and $1.2 million and $4.4 million for the six months ended June 30, 2019 and 2018 respectively, which were recognized in research and development expense. The Company entered into a Statement of Work (SOW) and an Amendment to the SOW, under the JDA with GF effective August 2016 and June 2018, respectively. The Company is entitled to revenues under the SOW and its Amendment upon delivery and acceptance of product. The Company did</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not recognize any revenue from GF during the three and six months ended June 30, 2019 and recognized revenue from GF of $500,000 during the three and six months ended June 30, 2018.</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(the SOW) under the JDA. The unvested common shares are subject to repurchase by the Company, if the JDA is terminated for any reason, for a one-year period after such termination, at a price that is the lower of the original price paid by GF or the fair value of the Company’s common stock as of the date of repurchase.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 total of 211,538 shares of common stock became vested on August 21, 2016, the designated Initial Measurement Date. The remaining shares vested on a monthly basis through October 21, 2018. The Company recognized non-cash compensation expense of $225,000 and $462,000 during the three and six months ended June 30, 2018, in research and development expense related to the vesting of the shares of common stock. As of December 31, 2018, all shares issued to GF were fully vested.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September 2018, the Company entered into a Joint Collaboration Agreement (JCA) with Silterra Malaysia Sdn. Bhd. (Silterra), and another third party. The JCA will create additional manufacturing capacity for the Company’s Toggle MRAM products. Initial production is expected to start in 2020. Under the JCA the Company will pay non-recurring engineering costs of $1.0 million. As of June 30, 2019, the Company has paid $400,000 of JCA costs. There were no JCA costs paid for during the three and six months ended June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March 2018, the Company entered into a global cross-license agreement with a customer pursuant to which the Company granted a worldwide, non-exclusive, non-transferable, irrevocable, royalty-bearing license under the Company’s patents to use, sell, import and export the Company’s products. Under the cross-license agreement, the Company received a non-refundable license fee and is entitled to annual royalty payments based upon low single digits of the average selling price of products covered under the license agreement. The license was transferred to the customer and the Company recognized the non-refundable license fee during the six months ended June 30, 2018. The cross-license agreement will remain in effect until the licensed patents have expired, been abandoned, or ruled invalid.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Common Share</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amounts):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80" w:type="dxa"/>
            <w:vAlign w:val="bottom"/>
          </w:tcPr>
          <w:p>
            <w:pPr>
              <w:ind w:left="100"/>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(7,369)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(7,926)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tcPr>
          <w:p>
            <w:pPr>
              <w:ind w:left="100"/>
              <w:spacing w:after="0" w:line="201" w:lineRule="exact"/>
              <w:rPr>
                <w:sz w:val="20"/>
                <w:szCs w:val="20"/>
                <w:color w:val="auto"/>
              </w:rPr>
            </w:pPr>
            <w:r>
              <w:rPr>
                <w:rFonts w:ascii="Arial" w:cs="Arial" w:eastAsia="Arial" w:hAnsi="Arial"/>
                <w:sz w:val="18"/>
                <w:szCs w:val="18"/>
                <w:color w:val="auto"/>
              </w:rPr>
              <w:t>Weighted-average 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00"/>
              <w:spacing w:after="0"/>
              <w:rPr>
                <w:sz w:val="20"/>
                <w:szCs w:val="20"/>
                <w:color w:val="auto"/>
              </w:rPr>
            </w:pPr>
            <w:r>
              <w:rPr>
                <w:rFonts w:ascii="Arial" w:cs="Arial" w:eastAsia="Arial" w:hAnsi="Arial"/>
                <w:sz w:val="18"/>
                <w:szCs w:val="18"/>
                <w:color w:val="auto"/>
              </w:rPr>
              <w:t>shares outstanding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17,137,338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16,689,677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17,117,777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15,786,043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Less: weighted-average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unvested common 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subject to repurchase</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(54,416)</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(68,795)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00"/>
              <w:spacing w:after="0" w:line="182" w:lineRule="exact"/>
              <w:rPr>
                <w:sz w:val="20"/>
                <w:szCs w:val="20"/>
                <w:color w:val="auto"/>
              </w:rPr>
            </w:pPr>
            <w:r>
              <w:rPr>
                <w:rFonts w:ascii="Arial" w:cs="Arial" w:eastAsia="Arial" w:hAnsi="Arial"/>
                <w:sz w:val="18"/>
                <w:szCs w:val="18"/>
                <w:color w:val="auto"/>
              </w:rPr>
              <w:t>Weighted-average common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00"/>
              <w:spacing w:after="0"/>
              <w:rPr>
                <w:sz w:val="20"/>
                <w:szCs w:val="20"/>
                <w:color w:val="auto"/>
              </w:rPr>
            </w:pPr>
            <w:r>
              <w:rPr>
                <w:rFonts w:ascii="Arial" w:cs="Arial" w:eastAsia="Arial" w:hAnsi="Arial"/>
                <w:sz w:val="18"/>
                <w:szCs w:val="18"/>
                <w:color w:val="auto"/>
              </w:rPr>
              <w:t>shares outstanding used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00"/>
              <w:spacing w:after="0"/>
              <w:rPr>
                <w:sz w:val="20"/>
                <w:szCs w:val="20"/>
                <w:color w:val="auto"/>
              </w:rPr>
            </w:pPr>
            <w:r>
              <w:rPr>
                <w:rFonts w:ascii="Arial" w:cs="Arial" w:eastAsia="Arial" w:hAnsi="Arial"/>
                <w:sz w:val="18"/>
                <w:szCs w:val="18"/>
                <w:color w:val="auto"/>
                <w:w w:val="92"/>
              </w:rPr>
              <w:t>calculate net loss per 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17,137,338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16,635,261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17,117,777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15,717,248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share, basic and diluted</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7"/>
              </w:rPr>
              <w:t>Net loss per common share,</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w:t>
            </w:r>
          </w:p>
        </w:tc>
        <w:tc>
          <w:tcPr>
            <w:tcW w:w="24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76"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0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June 30,</w:t>
            </w:r>
          </w:p>
        </w:tc>
        <w:tc>
          <w:tcPr>
            <w:tcW w:w="188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32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7"/>
                <w:szCs w:val="17"/>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1,873,563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1,696,187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1,873,563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1,696,187</w:t>
            </w:r>
          </w:p>
        </w:tc>
        <w:tc>
          <w:tcPr>
            <w:tcW w:w="6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tcPr>
          <w:p>
            <w:pPr>
              <w:jc w:val="right"/>
              <w:spacing w:after="0"/>
              <w:rPr>
                <w:sz w:val="20"/>
                <w:szCs w:val="20"/>
                <w:color w:val="auto"/>
              </w:rPr>
            </w:pPr>
            <w:r>
              <w:rPr>
                <w:rFonts w:ascii="Arial" w:cs="Arial" w:eastAsia="Arial" w:hAnsi="Arial"/>
                <w:sz w:val="18"/>
                <w:szCs w:val="18"/>
                <w:color w:val="auto"/>
              </w:rPr>
              <w:t>197,069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89,230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197,069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89,230</w:t>
            </w: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38,462</w:t>
            </w:r>
          </w:p>
        </w:tc>
        <w:tc>
          <w:tcPr>
            <w:tcW w:w="60" w:type="dxa"/>
            <w:vAlign w:val="bottom"/>
            <w:shd w:val="clear" w:color="auto" w:fill="CCEEFF"/>
          </w:tcPr>
          <w:p>
            <w:pPr>
              <w:spacing w:after="0"/>
              <w:rPr>
                <w:sz w:val="18"/>
                <w:szCs w:val="18"/>
                <w:color w:val="auto"/>
              </w:rPr>
            </w:pPr>
          </w:p>
        </w:tc>
      </w:tr>
      <w:tr>
        <w:trPr>
          <w:trHeight w:val="216"/>
        </w:trPr>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warrants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27,836</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27,836</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60" w:type="dxa"/>
            <w:vAlign w:val="bottom"/>
            <w:tcBorders>
              <w:bottom w:val="single" w:sz="8" w:color="CCEEFF"/>
            </w:tcBorders>
          </w:tcPr>
          <w:p>
            <w:pPr>
              <w:spacing w:after="0"/>
              <w:rPr>
                <w:sz w:val="18"/>
                <w:szCs w:val="18"/>
                <w:color w:val="auto"/>
              </w:rPr>
            </w:pPr>
          </w:p>
        </w:tc>
      </w:tr>
      <w:tr>
        <w:trPr>
          <w:trHeight w:val="217"/>
        </w:trPr>
        <w:tc>
          <w:tcPr>
            <w:tcW w:w="3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2,098,468</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1,851,569</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2,098,468</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1,851,569</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August 2019, the Company executed an Amended and Restated Loan and Security Agreement (the 2019 Credit Facility), which amended and restated the 2017 Credit Facility, providing for a formula revolving line of credit (Line of Credit) and a term loan (2019 Term Loan) with Silicon Valley Bank to refinance in full the outstanding principal balance of $8.0 million under the 2017 Credit Facility. The Company paid the final payment of $0.8 million, which was due upon repayment of the 2017 Credit Facility.</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Line of Credit allows for a maximum draw of $5.0 million, subject to a formula borrowing base, has a two year term and bears interest at a floating rate equal to the Wall Street Journal (WSJ) prime rate plus 1.5%, per annum, subject to a floor of 6.75%. The Line of Credit provides for a commitment fee of 1.6% of the maximum availability of the Line of Credit, due upon closing, and a termination fee equal to 1% of the maximum availability under the Line of Credit, which is due in case of a termination of the Line of Credit prior to the scheduled maturity date. The Company drew $2.0 million at execution to pay off a portion of the outstanding balance of the 2017 Credit Facility, and $3.0 million remains available under the Line of Credit, subject to borrowing base availability.</w:t>
      </w:r>
    </w:p>
    <w:p>
      <w:pPr>
        <w:spacing w:after="0" w:line="18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2019 Term Loan provides for a $6.0 million term loan funded in full at closing, with a term of 42 months, and a 12-month interest only period followed by 30 months of equal principal payments, plus accrued interest. The 2019 Term Loan bears interest at a floating rate equal to the WSJ prime rate minus 0.75%, subject to a floor of 4.75%. A final payment of 7% of the original principal amount of the 2019 Term Loan must be made when the 2019 Term Loan is prepaid or repaid, whether at maturity or as a result of a prepayment or acceleration or otherwise. The 2019 Term Loan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has a prepayment fee equal to 2% of the total commitment, which is due only if the 2019 Term Loan is prepaid prior to the scheduled maturity date for any reason.</w:t>
      </w:r>
    </w:p>
    <w:p>
      <w:pPr>
        <w:spacing w:after="0" w:line="17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2019 Credit Facility contains a financial covenant, which requires the Company to maintain a minimum liquidity ratio. The obligations under the 2019 Credit Facility are secured by a first priority perfected security interest in the Company’s assets excluding intellectual property.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conjunction with entering into the 2019 Credit Facility, on August 5, 2019, the Company and SVB amended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restated the warrant issued to SVB in connection with the First Amendment, which was a warrant to purchase 9,375 shares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common stock at $8.91 per share, to add an option by SVB to put the warrant back to the Company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 upon expiration or a liquidity event, to be prorated if SVB exercises a portion of the warrant. The warrant expires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6, 2023.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This discussion contains certain forward-looking statements within the meaning of Section 27A of the Securities Act of 1933, as amended, and Section 21E of the Securities Exchange Act of 1934, as amended.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Everspin is the leading manufacturer of discrete MRAM products. Everspin’s Toggle and Spin Transfer Torque MRAM solutions offer the persistence of non-volatile memory, a type of memory that retains information even in the absence of power, with the speed and endurance of random-access memory (RAM). This enables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w:t>
      </w:r>
    </w:p>
    <w:p>
      <w:pPr>
        <w:spacing w:after="0" w:line="19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derive our revenue from the sale of MRAM-based products in discrete unit form, the sale of services, licenses of and royalties on our MRAM and magnetic sensor technology, the sale of backend foundry services and design services to third parties.</w:t>
      </w:r>
    </w:p>
    <w:p>
      <w:pPr>
        <w:spacing w:after="0" w:line="181"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We work directly with our distributors and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64% and 78% for the three months ended June 30, 2019 and 2018, respectively and 68% and 65% for the six months ended June 30, 2019 and 2018, respectively of our revenue from products sold through distributors.</w:t>
      </w:r>
    </w:p>
    <w:p>
      <w:pPr>
        <w:spacing w:after="0" w:line="15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maintain a direct selling relationship, for strategic purposes, with several key customer accounts. Our sales team and representatives are organized into three primary regions: North America; Europe, Middle East and Africa (EMEA); and Asia-Pacific and Japan (APJ). We recognize revenue by geography based on the region in which our products are sold, and not to where the end products in which they are assembled are shipped. Our revenue by region for the periods indicated was as follows (in thousands):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right"/>
              <w:ind w:right="74"/>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2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ind w:right="414"/>
              <w:spacing w:after="0"/>
              <w:rPr>
                <w:sz w:val="20"/>
                <w:szCs w:val="20"/>
                <w:color w:val="auto"/>
              </w:rPr>
            </w:pPr>
            <w:r>
              <w:rPr>
                <w:rFonts w:ascii="Arial" w:cs="Arial" w:eastAsia="Arial" w:hAnsi="Arial"/>
                <w:sz w:val="14"/>
                <w:szCs w:val="14"/>
                <w:b w:val="1"/>
                <w:bCs w:val="1"/>
                <w:color w:val="auto"/>
              </w:rPr>
              <w:t>June 30,</w:t>
            </w:r>
          </w:p>
        </w:tc>
      </w:tr>
      <w:tr>
        <w:trPr>
          <w:trHeight w:val="196"/>
        </w:trPr>
        <w:tc>
          <w:tcPr>
            <w:tcW w:w="2660" w:type="dxa"/>
            <w:vAlign w:val="bottom"/>
          </w:tcPr>
          <w:p>
            <w:pPr>
              <w:spacing w:after="0"/>
              <w:rPr>
                <w:sz w:val="17"/>
                <w:szCs w:val="17"/>
                <w:color w:val="auto"/>
              </w:rPr>
            </w:pPr>
          </w:p>
        </w:tc>
        <w:tc>
          <w:tcPr>
            <w:tcW w:w="21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9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2018</w:t>
            </w: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5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$ 3,528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EMEA</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2,094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5,147</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16,361</w:t>
            </w:r>
          </w:p>
        </w:tc>
      </w:tr>
      <w:tr>
        <w:trPr>
          <w:trHeight w:val="217"/>
        </w:trPr>
        <w:tc>
          <w:tcPr>
            <w:tcW w:w="2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$ 8,646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10,765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18,672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25,618</w:t>
            </w:r>
          </w:p>
        </w:tc>
      </w:tr>
    </w:tbl>
    <w:p>
      <w:pPr>
        <w:spacing w:after="0" w:line="200" w:lineRule="exact"/>
        <w:rPr>
          <w:sz w:val="20"/>
          <w:szCs w:val="20"/>
          <w:color w:val="auto"/>
        </w:rPr>
      </w:pP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leverage both internal and outsourced capabilities to manufacture our MRAM products. We purchase industry-standard complementary metal-oxide semiconductor (CMOS) wafers from semiconductor foundries and complete the fabrication by inserting our magnetic-bit technology at our 200mm fabrication facility in Chandler, Arizona. We believe this allows us to streamline research and development, rapidly prototype new products, and bring new products to market quickly and cost effectively. This strategy significantly reduces the capital investment that would otherwise be required to operate manufacturing facilities of our own. We utilize leading semiconductor foundry GLOBALFOUNDRIES to support full turnkey high-volume production of our high density MRAM products on 300mm wafers at advanced process nodes.</w:t>
      </w:r>
    </w:p>
    <w:p>
      <w:pPr>
        <w:spacing w:after="0" w:line="16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During the three and six months ended June 30, 2019, we continued to invest in research and development to support current and future MRAM technologies and products including our Spin Transfer Torque MRAM (STT-MRAM) technology. We believe this investment will allow us to continue to develop MRAM based products in response to market needs. Our research and development expenses were $3.5 million and $6.8 million for the three months ended June 30, 2019 and 2018 respectively and $7.5 million and $13.3 million for the six months ended June 30, 2019 and 2018 respectively. We expect our future research and development expenses to fluctuate quarterly depending on the qualification cycle of our technologies and products.</w:t>
      </w:r>
    </w:p>
    <w:p>
      <w:pPr>
        <w:spacing w:after="0" w:line="18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recorded revenue of $8.6 million and $10.8 million for the three months ended June 30, 2019 and 2018 respectively, and $18.7 million and $25.6 million for the six months ended June 30, 2019 and 2018, respectively; gross margin was 46.5% and 42.2% for the three months ended June 30, 2019 and 2018 respectively, and 47.2% and 56.6% for the six months ended June 30, 2019 and 2018, respectively; and our net loss was $3.7 million and $7.4 million for the three months ended June 30, 2019 and 2018 respectively, and $7.9 million and $8.6 million for the six months ended June 30, 2019 and 2018, respectively. The decline in revenue in the six month period was primarily attributable to a one time licensing fee for our IP recognized in the three months ended March 31, 2018 and the loss of a customer in 2019, which was partially offset by new product sales. As the licensing fee had no associated cost of sales, our resulting gross margin was uncharacteristically high during the six months ended June 30,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We define Adjusted EBITDA as net income or loss adjusted for interest expense, tax, depreciation and amortization, stock-based compensation expense, and compensation expense related to the vesting of common stock held by GLOBALFOUNDRIES resulting from our joint development agreement.</w:t>
      </w:r>
    </w:p>
    <w:p>
      <w:pPr>
        <w:spacing w:after="0" w:line="17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presents a reconciliation of net loss, the most directly comparable GAAP measure, to Adjusted EBITDA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5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2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8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$(3,670)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$(7,369)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$(7,926)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$(8,646)</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4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2"/>
        </w:trPr>
        <w:tc>
          <w:tcPr>
            <w:tcW w:w="9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Compensation expense related to vesting of</w:t>
            </w: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9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GLOBALFOUNDRIES common stock</w:t>
            </w: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33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(2,203)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(5,151)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Pr>
          <w:p>
            <w:pPr>
              <w:spacing w:after="0"/>
              <w:rPr>
                <w:sz w:val="19"/>
                <w:szCs w:val="19"/>
                <w:color w:val="auto"/>
              </w:rPr>
            </w:pPr>
          </w:p>
        </w:tc>
      </w:tr>
      <w:tr>
        <w:trPr>
          <w:trHeight w:val="851"/>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i w:val="1"/>
          <w:iCs w:val="1"/>
          <w:color w:val="auto"/>
        </w:rPr>
        <w:t xml:space="preserve">Design wins. </w:t>
      </w:r>
      <w:r>
        <w:rPr>
          <w:rFonts w:ascii="Arial" w:cs="Arial" w:eastAsia="Arial" w:hAnsi="Arial"/>
          <w:sz w:val="17"/>
          <w:szCs w:val="17"/>
          <w:color w:val="auto"/>
        </w:rPr>
        <w:t>To continue to grow our revenue, we must continue to achieve design wins for our MRAM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 a design win to occur when an original equipment manufacturer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Any delay in the development of our products, or failure of our customers to adopt our products, could inhibit revenue growth or cause declines, which would significantly harm our business. In the fourth quarter of 2017, we recorded revenue for our first sale of 40nm 256Mb STT-MRAM products and we ramped up production in 2018.</w:t>
      </w:r>
    </w:p>
    <w:p>
      <w:pPr>
        <w:spacing w:after="0" w:line="17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Customer acceptance of our technology and customer product success</w:t>
      </w:r>
      <w:r>
        <w:rPr>
          <w:rFonts w:ascii="Arial" w:cs="Arial" w:eastAsia="Arial" w:hAnsi="Arial"/>
          <w:sz w:val="18"/>
          <w:szCs w:val="18"/>
          <w:color w:val="auto"/>
        </w:rPr>
        <w:t>. For our customers to use our products, they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to redesign certain components of their existing designs. We have established relationships with several storage controller and Field Programmable Gate Array (FPGA) companies, including Phison Electronics, Sage Micro, Xilinx and Lattice as well as IP core companies, including Cadence, Synopsys, and Northwest Logic, to facilitate the integration of our MRAM solutions into our customers end products. Delays in our customers’ design cycles may have adverse effects on the demand, and therefore sales, of our products.</w:t>
      </w:r>
    </w:p>
    <w:p>
      <w:pPr>
        <w:spacing w:after="0" w:line="19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Customer concentration</w:t>
      </w:r>
      <w:r>
        <w:rPr>
          <w:rFonts w:ascii="Arial" w:cs="Arial" w:eastAsia="Arial" w:hAnsi="Arial"/>
          <w:sz w:val="17"/>
          <w:szCs w:val="17"/>
          <w:color w:val="auto"/>
        </w:rPr>
        <w:t>. A relatively small number of end customers have historically accounted for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our revenue. Revenue from our four largest end customers collectively accounted for 33% and 26% of our total revenue in the three and six months ended June 30, 2019. One of these customers individually accounted for more than 10% of our total revenue in the three and six months ended June 30, 2019. Revenue from four of our end customers collectively accounted for 32% and 41% of our total revenue in the three and six months ended June 30, 2018. One of these end customers individually accounted for more than of 10% of our total revenue in the three months ended June 30, 2018, and two of these customers accounted for in excess of 10% of our total revenue in the six months ended June 30, 2018. It would be difficult to replace lost revenue resulting from the loss, reduction, cancellation or delay in purchase orders by any one of these end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18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i w:val="1"/>
          <w:iCs w:val="1"/>
          <w:color w:val="auto"/>
        </w:rPr>
        <w:t xml:space="preserve">Pricing, product cost and gross margins of our products. </w:t>
      </w:r>
      <w:r>
        <w:rPr>
          <w:rFonts w:ascii="Arial" w:cs="Arial" w:eastAsia="Arial" w:hAnsi="Arial"/>
          <w:sz w:val="17"/>
          <w:szCs w:val="17"/>
          <w:color w:val="auto"/>
        </w:rPr>
        <w:t>Our gross margin has been, and will continue to be, affected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a variety of factors, including the 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seek to offset the effect of declining average selling prices on existing products by reducing manufacturing expenses and introducing newer, higher value-added products. If we are unable to maintain overall average selling prices or to offset any declines in average selling prices with savings on product costs, our gross margin will decline.</w:t>
      </w:r>
    </w:p>
    <w:p>
      <w:pPr>
        <w:spacing w:after="0" w:line="17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i w:val="1"/>
          <w:iCs w:val="1"/>
          <w:color w:val="auto"/>
        </w:rPr>
        <w:t xml:space="preserve">Gross margin impact of licensing revenue. </w:t>
      </w:r>
      <w:r>
        <w:rPr>
          <w:rFonts w:ascii="Arial" w:cs="Arial" w:eastAsia="Arial" w:hAnsi="Arial"/>
          <w:sz w:val="16"/>
          <w:szCs w:val="16"/>
          <w:color w:val="auto"/>
        </w:rPr>
        <w:t>Our licensing revenue, which we collect as licensing fees and royalty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generates significantly higher 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5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 xml:space="preserve">Technology, process, and product development investment. </w:t>
      </w:r>
      <w:r>
        <w:rPr>
          <w:rFonts w:ascii="Arial" w:cs="Arial" w:eastAsia="Arial" w:hAnsi="Arial"/>
          <w:sz w:val="17"/>
          <w:szCs w:val="17"/>
          <w:color w:val="auto"/>
        </w:rPr>
        <w:t>We invest heavily to develop our MRAM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core MRAM technology, the joint development agreement with GLOBALFOUNDRIES, and the design of new and innovative products based on MRAM, to provide solutions to our current and future customers. We anticipate that we will continue to invest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derive our revenue from the sale of our MRAM-based products in discrete unit form, the licensing of our MRAM and magnetic sensor technology and related royalties, the sale of backend foundry services and design services to third parties. We recognize sales of products in discrete unit form at a point in time, we recognize revenue related to licensing agreements when we have delivered rights to the technology, we recognize revenue related to royalty agreements in the period in which sales generated from products sold using our technology occurs, and we recognize sales of backend foundry services and design services to third parties over time.</w:t>
      </w:r>
    </w:p>
    <w:p>
      <w:pPr>
        <w:spacing w:after="0" w:line="193" w:lineRule="exact"/>
        <w:rPr>
          <w:sz w:val="20"/>
          <w:szCs w:val="20"/>
          <w:color w:val="auto"/>
        </w:rPr>
      </w:pPr>
    </w:p>
    <w:p>
      <w:pPr>
        <w:ind w:firstLine="369"/>
        <w:spacing w:after="0" w:line="293" w:lineRule="auto"/>
        <w:rPr>
          <w:sz w:val="20"/>
          <w:szCs w:val="20"/>
          <w:color w:val="auto"/>
        </w:rPr>
      </w:pPr>
      <w:r>
        <w:rPr>
          <w:rFonts w:ascii="Arial" w:cs="Arial" w:eastAsia="Arial" w:hAnsi="Arial"/>
          <w:sz w:val="16"/>
          <w:szCs w:val="16"/>
          <w:color w:val="auto"/>
        </w:rPr>
        <w:t>For some of our products, we provide price protection and product return rights. As such, for sales through distributors of our discrete MRAM products, at the time of revenue recognition, which occurs when control of the products has been transferred to the distributor, we estimate product returns and the expected price concessions that will be provided to the distributor, which is included in the transaction price. We estimate the credits to the distributors based on the historical rate of credits provided to distributors relative to sales or, for some customers the credit is based on a previously negotiated fixed rate. Our licensing revenue is largely dependent on a small number of transactions during a given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4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 Declines in average selling prices may be paired with improvements in our cost of sales, which may offset some of the gross margin reduction that could result from lower selling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research and development expenses consist primarily of personnel-related expenses for the design and development of our products and technologies, development wafers required to validate and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 We expect our research and development expenses to stay flat as we continue to invest in new products and technologies.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our general and administrative expenses to remain flat as we have reached a level of stabilization in staffing and costs of being a public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sales and marketing expenses consist primarily of compensation for our sales, marketing, and business development personnel, including bonuses and commissions for our sales representatives. We expect our sales and marketing expenses, excluding variable commissions, to remain flat as we have reached a level of stabilization for staffing of sales personnel and representatives and marketing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Interest expense consists of cash and non-cash components. The non-cash component consists of interest expense recognized from the amortization of debt discounts derived from the issuance of a warrant, the end of term fee and debt issuance costs capitalized on our balance sheets as a reduction of the debt balance. Interest expense is due to our borrowings under our loan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Other income, net consists primarily of the interest income earned on our cash equivalents and foreign currency exchange gains and losses. Our foreign currency exchange gains and losses relate to transactions and asset and liability balances denominated in currencies other than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8"/>
          </w:tcPr>
          <w:p>
            <w:pPr>
              <w:ind w:left="300"/>
              <w:spacing w:after="0"/>
              <w:rPr>
                <w:sz w:val="20"/>
                <w:szCs w:val="20"/>
                <w:color w:val="auto"/>
              </w:rPr>
            </w:pPr>
            <w:r>
              <w:rPr>
                <w:rFonts w:ascii="Arial" w:cs="Arial" w:eastAsia="Arial" w:hAnsi="Arial"/>
                <w:sz w:val="14"/>
                <w:szCs w:val="14"/>
                <w:b w:val="1"/>
                <w:bCs w:val="1"/>
                <w:color w:val="auto"/>
                <w:w w:val="92"/>
              </w:rPr>
              <w:t>Three Months Ended June 30,</w:t>
            </w: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214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8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(As a</w:t>
            </w: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(As a</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gridSpan w:val="5"/>
          </w:tcPr>
          <w:p>
            <w:pPr>
              <w:jc w:val="center"/>
              <w:ind w:right="110"/>
              <w:spacing w:after="0" w:line="149" w:lineRule="exact"/>
              <w:rPr>
                <w:sz w:val="20"/>
                <w:szCs w:val="20"/>
                <w:color w:val="auto"/>
              </w:rPr>
            </w:pPr>
            <w:r>
              <w:rPr>
                <w:rFonts w:ascii="Arial" w:cs="Arial" w:eastAsia="Arial" w:hAnsi="Arial"/>
                <w:sz w:val="14"/>
                <w:szCs w:val="14"/>
                <w:b w:val="1"/>
                <w:bCs w:val="1"/>
                <w:color w:val="auto"/>
                <w:w w:val="89"/>
              </w:rPr>
              <w:t>percentage of</w:t>
            </w:r>
          </w:p>
        </w:tc>
        <w:tc>
          <w:tcPr>
            <w:tcW w:w="16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gridSpan w:val="4"/>
          </w:tcPr>
          <w:p>
            <w:pPr>
              <w:jc w:val="center"/>
              <w:ind w:right="90"/>
              <w:spacing w:after="0" w:line="149" w:lineRule="exact"/>
              <w:rPr>
                <w:sz w:val="20"/>
                <w:szCs w:val="20"/>
                <w:color w:val="auto"/>
              </w:rPr>
            </w:pPr>
            <w:r>
              <w:rPr>
                <w:rFonts w:ascii="Arial" w:cs="Arial" w:eastAsia="Arial" w:hAnsi="Arial"/>
                <w:sz w:val="14"/>
                <w:szCs w:val="14"/>
                <w:b w:val="1"/>
                <w:bCs w:val="1"/>
                <w:color w:val="auto"/>
                <w:w w:val="91"/>
              </w:rPr>
              <w:t>percentage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100" w:type="dxa"/>
            <w:vAlign w:val="bottom"/>
            <w:gridSpan w:val="5"/>
          </w:tcPr>
          <w:p>
            <w:pPr>
              <w:jc w:val="center"/>
              <w:ind w:right="90"/>
              <w:spacing w:after="0"/>
              <w:rPr>
                <w:sz w:val="20"/>
                <w:szCs w:val="20"/>
                <w:color w:val="auto"/>
              </w:rPr>
            </w:pPr>
            <w:r>
              <w:rPr>
                <w:rFonts w:ascii="Arial" w:cs="Arial" w:eastAsia="Arial" w:hAnsi="Arial"/>
                <w:sz w:val="14"/>
                <w:szCs w:val="14"/>
                <w:b w:val="1"/>
                <w:bCs w:val="1"/>
                <w:color w:val="auto"/>
                <w:w w:val="89"/>
              </w:rPr>
              <w:t>revenue)</w:t>
            </w:r>
          </w:p>
        </w:tc>
        <w:tc>
          <w:tcPr>
            <w:tcW w:w="1600" w:type="dxa"/>
            <w:vAlign w:val="bottom"/>
            <w:gridSpan w:val="4"/>
            <w:vMerge w:val="continue"/>
          </w:tcPr>
          <w:p>
            <w:pPr>
              <w:spacing w:after="0"/>
              <w:rPr>
                <w:sz w:val="14"/>
                <w:szCs w:val="14"/>
                <w:color w:val="auto"/>
              </w:rPr>
            </w:pPr>
          </w:p>
        </w:tc>
        <w:tc>
          <w:tcPr>
            <w:tcW w:w="110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89"/>
              </w:rPr>
              <w:t>revenue)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88 %$17,026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$18,814</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w w:val="97"/>
              </w:rPr>
              <w:t>Licensing, royalty, and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ind w:left="920"/>
              <w:spacing w:after="0"/>
              <w:rPr>
                <w:sz w:val="20"/>
                <w:szCs w:val="20"/>
                <w:color w:val="auto"/>
              </w:rPr>
            </w:pPr>
            <w:r>
              <w:rPr>
                <w:rFonts w:ascii="Arial" w:cs="Arial" w:eastAsia="Arial" w:hAnsi="Arial"/>
                <w:sz w:val="18"/>
                <w:szCs w:val="18"/>
                <w:color w:val="auto"/>
              </w:rPr>
              <w:t>other revenue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1,316</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6,804</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7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10,765</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25,618</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Cost of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6,229</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11,127</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7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14,491</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17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development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1760" w:type="dxa"/>
            <w:vAlign w:val="bottom"/>
          </w:tcPr>
          <w:p>
            <w:pPr>
              <w:ind w:left="100"/>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administrative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2,856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3,329</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6,451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6,548</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Sales and marketing</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760" w:type="dxa"/>
            <w:vAlign w:val="bottom"/>
          </w:tcPr>
          <w:p>
            <w:pPr>
              <w:ind w:left="220"/>
              <w:spacing w:after="0" w:line="182" w:lineRule="exact"/>
              <w:rPr>
                <w:sz w:val="20"/>
                <w:szCs w:val="20"/>
                <w:color w:val="auto"/>
              </w:rPr>
            </w:pPr>
            <w:r>
              <w:rPr>
                <w:rFonts w:ascii="Arial" w:cs="Arial" w:eastAsia="Arial" w:hAnsi="Arial"/>
                <w:sz w:val="18"/>
                <w:szCs w:val="18"/>
                <w:color w:val="auto"/>
              </w:rPr>
              <w:t>Total operating</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7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11,815</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109</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16,571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22,880</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(7,279)</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Interest expense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gridSpan w:val="2"/>
          </w:tcPr>
          <w:p>
            <w:pPr>
              <w:ind w:left="9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(3,670)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(7,369)</w:t>
            </w: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(7,926)</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(8,646)</w:t>
            </w: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tcPr>
          <w:p>
            <w:pPr>
              <w:jc w:val="right"/>
              <w:ind w:right="122"/>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$ 8,003</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(673)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7"/>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$ 8,646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(2,119)</w:t>
            </w:r>
          </w:p>
        </w:tc>
        <w:tc>
          <w:tcPr>
            <w:tcW w:w="82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Product sales decreased by $1.4 million or 15.3%, from $9.4 million during the three months ended June 30, 2018,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$8.0 million during the three months ended June 30, 2019. The decrease was primarily due to a decreased sales volume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loss of a customer.</w:t>
      </w:r>
    </w:p>
    <w:p>
      <w:pPr>
        <w:spacing w:after="0" w:line="211"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Licensing, royalty, and other revenue is a highly variable revenue item characterized by a small number of transactions annually with revenue based on size and terms of each transaction. Licensing, royalty, and other revenue decreased by $0.7 million from $1.3 million during the three months ended June 30, 2018, to $0.6 million during the three months ended June 30, 2019. The decrease was primarily due to a decrease of $0.7 million in milestone payments earned for research and development activity performed on behalf of GLOBALFOUNDRIES.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4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Amount</w:t>
            </w:r>
          </w:p>
        </w:tc>
        <w:tc>
          <w:tcPr>
            <w:tcW w:w="5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4,627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$ 6,229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5"/>
              </w:rPr>
              <w:t>$(1,602)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Gross margin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46.5 %</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42.1 %</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320" w:firstLine="324"/>
        <w:spacing w:after="0" w:line="342" w:lineRule="auto"/>
        <w:rPr>
          <w:sz w:val="20"/>
          <w:szCs w:val="20"/>
          <w:color w:val="auto"/>
        </w:rPr>
      </w:pPr>
      <w:r>
        <w:rPr>
          <w:rFonts w:ascii="Arial" w:cs="Arial" w:eastAsia="Arial" w:hAnsi="Arial"/>
          <w:sz w:val="16"/>
          <w:szCs w:val="16"/>
          <w:color w:val="auto"/>
        </w:rPr>
        <w:t>Cost of sales decreased by $1.6 million or 25.7%, from $6.2 million during the three months ended June 30, 2018, to $4.6 million during the three months ended June 30, 2019. The decrease was due to a lower volume of wafers processed.</w:t>
      </w:r>
    </w:p>
    <w:p>
      <w:pPr>
        <w:spacing w:after="0" w:line="12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Gross margin increased from 42.1% during the three months ended June 30, 2018, to 46.5% during the three months ended June 30, 2019. We experienced lower yields in 2018 due to a manufacturing tool failure in the fourth quarter of 2017, which caused a decrease in yields during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3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3,519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6,773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8"/>
              </w:rPr>
              <w:t>$(3,254)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w w:val="97"/>
              </w:rPr>
              <w:t>Research and development as a % of revenue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2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63 %</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decreased by $3.3 million or 48.0%,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$6.8 million during the three months ended June 30, 2018, to $3.5 million during the three months ended June 30, 2019.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decrease was partially due to a $1.8 million decrease in expenses incurred in connection with our joint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GLOBALFOUNDRIES due to the less spending on STT-MRAM process and product development, a $0.7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decrease in spending on direct materials and supplies used in research and development activities due to the timing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purchases, a $0.2 million decrease in software costs, a $0.2 million decrease in contract labor costs, a $0.2 million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to repair equipment, and a $0.2 million decrease in the amount attributable to the vesting of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to GLOBALFOUNDRIES as all shares vested in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2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2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2,856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3,329</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(473)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500" w:type="dxa"/>
            <w:vAlign w:val="bottom"/>
            <w:gridSpan w:val="3"/>
          </w:tcPr>
          <w:p>
            <w:pPr>
              <w:jc w:val="right"/>
              <w:ind w:right="159"/>
              <w:spacing w:after="0"/>
              <w:rPr>
                <w:sz w:val="20"/>
                <w:szCs w:val="20"/>
                <w:color w:val="auto"/>
              </w:rPr>
            </w:pPr>
            <w:r>
              <w:rPr>
                <w:rFonts w:ascii="Arial" w:cs="Arial" w:eastAsia="Arial" w:hAnsi="Arial"/>
                <w:sz w:val="18"/>
                <w:szCs w:val="18"/>
                <w:color w:val="auto"/>
              </w:rPr>
              <w:t>33 %</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31 %</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by $0.5 million or 14.2%, from</w:t>
      </w:r>
      <w:r>
        <w:rPr>
          <w:rFonts w:ascii="Arial" w:cs="Arial" w:eastAsia="Arial" w:hAnsi="Arial"/>
          <w:sz w:val="18"/>
          <w:szCs w:val="18"/>
          <w:i w:val="1"/>
          <w:iCs w:val="1"/>
          <w:color w:val="auto"/>
        </w:rPr>
        <w:t xml:space="preserve"> </w:t>
      </w:r>
      <w:r>
        <w:rPr>
          <w:rFonts w:ascii="Arial" w:cs="Arial" w:eastAsia="Arial" w:hAnsi="Arial"/>
          <w:sz w:val="18"/>
          <w:szCs w:val="18"/>
          <w:color w:val="auto"/>
        </w:rPr>
        <w:t>$3.3 million during the three months ended June 30, 2018, to $2.9 million during the three months ended June 30, 2019. The decrease was partially due to a $0.3 million decrease in professional services.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2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2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1,239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(474)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760" w:type="dxa"/>
            <w:vAlign w:val="bottom"/>
            <w:gridSpan w:val="3"/>
          </w:tcPr>
          <w:p>
            <w:pPr>
              <w:jc w:val="right"/>
              <w:ind w:right="159"/>
              <w:spacing w:after="0"/>
              <w:rPr>
                <w:sz w:val="20"/>
                <w:szCs w:val="20"/>
                <w:color w:val="auto"/>
              </w:rPr>
            </w:pPr>
            <w:r>
              <w:rPr>
                <w:rFonts w:ascii="Arial" w:cs="Arial" w:eastAsia="Arial" w:hAnsi="Arial"/>
                <w:sz w:val="18"/>
                <w:szCs w:val="18"/>
                <w:color w:val="auto"/>
              </w:rPr>
              <w:t>13 %</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decreased by $0.5 million or 27.7%, from $1.7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three months ended June 30, 2018, to $1.2 million during the three months ended June 30, 2019. The decrease was primarily due to a $0.4 million decrease in employee related costs, and a $0.1 million decrease in other marketing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82"/>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222</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(36)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Interest expense remained relatively flat at $0.2 million during the three months ended June 30, 2019, compared to the three months ended June 30, 2018. The slight decrease was primarily due to a decrease in non-cash interest related to the amortization of debt discounts derived from the issuance of a warrant, an end of term fee and debt issuance costs, which was offset by an increase in cash interest due to an increase in the prime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3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gridSpan w:val="2"/>
          </w:tcPr>
          <w:p>
            <w:pPr>
              <w:jc w:val="right"/>
              <w:ind w:right="402"/>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2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132</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(21)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Other income, net remained relatively flat at $0.1 million during the three months ended June 30, 2019, compared to the three months ended June 30, 2018. The slight decrease was primarily due to a decrease in interest income earned on our cash balances during the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4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4"/>
          </w:tcPr>
          <w:p>
            <w:pPr>
              <w:jc w:val="right"/>
              <w:ind w:right="162"/>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$ 17,026</w:t>
            </w:r>
          </w:p>
        </w:tc>
        <w:tc>
          <w:tcPr>
            <w:tcW w:w="4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1,646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6,804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(5,158)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$ 18,672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25,618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(6,946)</w:t>
            </w:r>
          </w:p>
        </w:tc>
        <w:tc>
          <w:tcPr>
            <w:tcW w:w="8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9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Product sales decreased by $1.8 million or 9.5%, from $18.8 million during the six months ended June 30, 2018,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$17.0 million during the six months ended June 30, 2019. The decrease was primarily due to a decreased sales volume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loss of a customer, which was offset in part by new product sales.</w:t>
      </w:r>
    </w:p>
    <w:p>
      <w:pPr>
        <w:spacing w:after="0" w:line="21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Licensing, royalty, and other revenue is a highly variable revenue item characterized by a small number of transactions annually with revenue based on size and terms of each transaction. Licensing, royalty, and other revenue decreased by $5.2 million from $6.8 million during the six months ended June 30, 2018, to $1.6 million during the six months ended June 30, 2019. The decrease was primarily due to a non-refundable license fee related to a cross-license agreement entered into with a customer in March 2018, and a decrease of $0.6 million in milestone payments earned for research and development activity performed on behalf of GLOBALFOUNDRIES. These decreases were partially offset by a $0.3 million increase in royalty revenue and a $0.2 million increase in sales of our backend foundry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48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98"/>
              </w:rPr>
              <w:t>Amount</w:t>
            </w:r>
          </w:p>
        </w:tc>
        <w:tc>
          <w:tcPr>
            <w:tcW w:w="5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3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9,868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5"/>
              </w:rPr>
              <w:t>$(1,259)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Gross margin</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47.2 %</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56.6 %</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Cost of sales decreased by $1.3 million or 11.3%, from $ 11.1 million during the six months ended June 30, 2018, to $9.9 million during the six months ended June 30, 2019. The decrease was primarily due to a lower volume of wafers processed.</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Gross margin decreased from 56.6% during the six months ended June 30, 2018, to 47.2% during the six months ended June 30, 2019. The decrease in gross margin was primarily attributable to a one time licensing fee for our IP recognized in the first half of the six months ended June 30, 2018. As the licensing fee had no associated cost of sales, our resulting gross margin increased.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3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7,517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8"/>
              </w:rPr>
              <w:t>$(5,736)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w w:val="97"/>
              </w:rPr>
              <w:t>Research and development as a % of revenue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52 %</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by $5.7 million or 43.3%, from</w:t>
      </w:r>
      <w:r>
        <w:rPr>
          <w:rFonts w:ascii="Arial" w:cs="Arial" w:eastAsia="Arial" w:hAnsi="Arial"/>
          <w:sz w:val="18"/>
          <w:szCs w:val="18"/>
          <w:i w:val="1"/>
          <w:iCs w:val="1"/>
          <w:color w:val="auto"/>
        </w:rPr>
        <w:t xml:space="preserve"> </w:t>
      </w:r>
      <w:r>
        <w:rPr>
          <w:rFonts w:ascii="Arial" w:cs="Arial" w:eastAsia="Arial" w:hAnsi="Arial"/>
          <w:sz w:val="18"/>
          <w:szCs w:val="18"/>
          <w:color w:val="auto"/>
        </w:rPr>
        <w:t>$13.3 million during the six months ended June 30, 2018, to $7.5 million during the six months ended June 30, 2019. The decrease was partially due to a $3.2 million decrease in expenses incurred in connection with our joint development agreement with GLOBALFOUNDRIES due to the less spending on STT-MRAM process and product development, a $1.4 million decrease in spending on direct materials and supplies used in research and development activities due to the timing of purchases, a $0.5 million decrease in the amount attributable to the vesting of shares of common stock issued to GLOBALFOUNDRIES as all shares vested in 2018, a $0.3 million decrease in software costs, and a $0.3 million decrease in contract labor costs.</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2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6,451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6,548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(97)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500" w:type="dxa"/>
            <w:vAlign w:val="bottom"/>
            <w:gridSpan w:val="3"/>
          </w:tcPr>
          <w:p>
            <w:pPr>
              <w:jc w:val="right"/>
              <w:ind w:right="139"/>
              <w:spacing w:after="0"/>
              <w:rPr>
                <w:sz w:val="20"/>
                <w:szCs w:val="20"/>
                <w:color w:val="auto"/>
              </w:rPr>
            </w:pPr>
            <w:r>
              <w:rPr>
                <w:rFonts w:ascii="Arial" w:cs="Arial" w:eastAsia="Arial" w:hAnsi="Arial"/>
                <w:sz w:val="18"/>
                <w:szCs w:val="18"/>
                <w:color w:val="auto"/>
              </w:rPr>
              <w:t>35 %</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26 %</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remained relatively flat at $6.5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six months ended June 30, 2019, compared to the six months ended June 30, 2018. The slight decrease was primarily due to a $0.3 million decrease in professional services, which was offset by a $0.3 million increase in employee costs due to an increase in headcount and stock-based compensation costs.</w:t>
      </w:r>
    </w:p>
    <w:p>
      <w:pPr>
        <w:sectPr>
          <w:pgSz w:w="11900" w:h="16838" w:orient="portrait"/>
          <w:cols w:equalWidth="0" w:num="1">
            <w:col w:w="9040"/>
          </w:cols>
          <w:pgMar w:left="1420" w:top="12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type w:val="continuous"/>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12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4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2,603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3,079</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 (476)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080" w:type="dxa"/>
            <w:vAlign w:val="bottom"/>
            <w:gridSpan w:val="2"/>
          </w:tcPr>
          <w:p>
            <w:pPr>
              <w:jc w:val="right"/>
              <w:ind w:right="139"/>
              <w:spacing w:after="0"/>
              <w:rPr>
                <w:sz w:val="20"/>
                <w:szCs w:val="20"/>
                <w:color w:val="auto"/>
              </w:rPr>
            </w:pPr>
            <w:r>
              <w:rPr>
                <w:rFonts w:ascii="Arial" w:cs="Arial" w:eastAsia="Arial" w:hAnsi="Arial"/>
                <w:sz w:val="18"/>
                <w:szCs w:val="18"/>
                <w:color w:val="auto"/>
              </w:rPr>
              <w:t>13 %</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decreased by $0.5 million or 15.5%, from $3.1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six months ended June 30, 2018, to $2.6 million during the six months ended June 30, 2019. The decrease was due to $0.3 million decrease in employee related costs, and a $0.2 million decrease in other marketing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5740"/>
        <w:spacing w:after="0"/>
        <w:tabs>
          <w:tab w:leader="none" w:pos="718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-3175</wp:posOffset>
            </wp:positionV>
            <wp:extent cx="1724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left="5480"/>
        <w:spacing w:after="0"/>
        <w:tabs>
          <w:tab w:leader="none" w:pos="6260" w:val="left"/>
          <w:tab w:leader="none" w:pos="6880" w:val="left"/>
          <w:tab w:leader="none" w:pos="76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Amount</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-3175</wp:posOffset>
            </wp:positionV>
            <wp:extent cx="17240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left="5960"/>
        <w:spacing w:after="0" w:line="235"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0</wp:posOffset>
            </wp:positionV>
            <wp:extent cx="459676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920"/>
        <w:spacing w:after="0"/>
        <w:tabs>
          <w:tab w:leader="none" w:pos="5260" w:val="left"/>
          <w:tab w:leader="none" w:pos="5620" w:val="left"/>
          <w:tab w:leader="none" w:pos="6100" w:val="left"/>
          <w:tab w:leader="none" w:pos="6400" w:val="left"/>
          <w:tab w:leader="none" w:pos="6860" w:val="left"/>
          <w:tab w:leader="none" w:pos="7100" w:val="left"/>
          <w:tab w:leader="none" w:pos="762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397</w:t>
        <w:tab/>
        <w:t>$</w:t>
        <w:tab/>
        <w:t>433</w:t>
        <w:tab/>
        <w:t>$</w:t>
        <w:tab/>
        <w:t>(36)</w:t>
      </w:r>
      <w:r>
        <w:rPr>
          <w:sz w:val="20"/>
          <w:szCs w:val="20"/>
          <w:color w:val="auto"/>
        </w:rPr>
        <w:tab/>
      </w:r>
      <w:r>
        <w:rPr>
          <w:rFonts w:ascii="Arial" w:cs="Arial" w:eastAsia="Arial" w:hAnsi="Arial"/>
          <w:sz w:val="16"/>
          <w:szCs w:val="16"/>
          <w:color w:val="auto"/>
        </w:rPr>
        <w:t>(8.3)%</w:t>
      </w:r>
    </w:p>
    <w:p>
      <w:pPr>
        <w:spacing w:after="0" w:line="20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Interest expense remained relatively flat at $0.4 million during the six months ended June 30, 2019, compared to the six months ended June 30, 2018. The slight decrease was primarily due to a decrease in non-cash interest related to the amortization of debt discounts derived from the issuance of a warrant, an end of term fee and debt issuance costs, which was offset by an increase in cash interest due to an increase in the prime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1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17"/>
                <w:szCs w:val="17"/>
                <w:color w:val="auto"/>
              </w:rPr>
            </w:pPr>
          </w:p>
        </w:tc>
        <w:tc>
          <w:tcPr>
            <w:tcW w:w="22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jc w:val="right"/>
              <w:ind w:right="10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ind w:right="11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238</w:t>
            </w:r>
          </w:p>
        </w:tc>
        <w:tc>
          <w:tcPr>
            <w:tcW w:w="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176</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62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Other income, net remained relatively flat at $0.2 million during the six months ended June 30, 2019, compared to the six months ended June 30, 2018. The slight increase was primarily due to an increase in interest income as a result of higher interest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generated significant losses since our inception and had an accumulated deficit of $141.9 million as of June 30, 2019, compared to $134.0 million as of December 31, 2018. We have financed our operations primarily through the sale of our common stock in our initial public offering (IPO), sales of our redeemable convertible preferred stock, debt financing and the sale of our products. As of June 30, 2019, we had $15.3 million of cash and cash equivalents, compared to $23.4 million as of December 31, 2018.</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February 2018, we completed a follow-on underwritten public offering of our common stock under our Registration Statement filed in November 2017 (File No. 333-221331), selling 3,772,447 shares of our common stock at an offering price of $7.00 per share for proceeds of $24.5 million, net of $1.9 million of underwriting discounts and commissions and other offering costs.</w:t>
      </w:r>
    </w:p>
    <w:p>
      <w:pPr>
        <w:spacing w:after="0" w:line="18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May 2017, we executed a Loan and Security Agreement (2017 Credit Facility) with Silicon Valley Bank for a $12.0 million term loan, which we amended in July 2018 to extend the interest only payment period until December 31, 2018, followed by fixed principal and interest payments based on either a 24-month or a 36-month amortization schedule if we achieved certain milestones. We determined we would not meet the milestones, as such the amended loan was based on a 24-month amortization schedule. The outstanding balance of the loan was to be repaid monthly beginning on January 1, 2019 over the remaining two-year term of the amended loan with an end of term fee of $0.8 million due upon maturity. In January 2019 and June 2019, we entered into the Second Amendment and the Third Amendment to the 2017 Credit Facility, respectively, which primarily modified the financial covenants. The loan was secured by a first priority perfected security interest in our assets excluding any intellectual property.</w:t>
      </w:r>
    </w:p>
    <w:p>
      <w:pPr>
        <w:spacing w:after="0" w:line="182"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In August 2019, we executed an Amended and Restated Loan and Security Agreement (the 2019 Credit Facility) providing for a formula revolving line of credit (Line of Credit) and a term loan (2019 Term Loan) with Silicon Valley</w:t>
      </w:r>
    </w:p>
    <w:p>
      <w:pPr>
        <w:sectPr>
          <w:pgSz w:w="11900" w:h="16838" w:orient="portrait"/>
          <w:cols w:equalWidth="0" w:num="1">
            <w:col w:w="9060"/>
          </w:cols>
          <w:pgMar w:left="1420" w:top="125"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Bank to refinance in full the outstanding principal balance under the 2017 Credit Facility. The 2019 Credit Facility amended and restated the 2017 Credit Facility. The Line of Credit allows for a maximum draw of $5.0 million, subject to a formula borrowing base, and has a two year term. The Line of Credit provides for a commitment fee of 1.6% of the maximum availability of the Line of Credit, due upon closing, and a termination fee equal to 1% of the maximum availability of the Line of Credit, which is due in case of a termination of the Line of Credit prior to the scheduled maturity date. The 2019 Term Loan provides for a $6.0 million term loan, and the term is 42 months, with a 12-month interest only period followed by 30 months of equal principal payments, plus accrued interest. At the closing of the 2019 Credit Facility, we drew the 2019 Term Loan in full, and an advance under the Line of Credit of $2.0 million in order to satisfy in full the outstanding principal balance under the 2017 Credit Facility. The 2019 Term Loan is subject to a final payment of 7% of the original principal amount of the 2019 Term Loan, which is due when the 2019 Loan is prepaid or repaid in full. In addition, if the 2019 Term Loan is prepaid prior to the scheduled maturity date, a prepayment fee equal to 2% of the original principal amount of the 2019 Term Loan is due. All obligations under the 2019 Credit Facility are secured by a first priority perfected security interest in the Company’s assets excluding intellectual property.</w:t>
      </w:r>
    </w:p>
    <w:p>
      <w:pPr>
        <w:spacing w:after="0" w:line="18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believe that our existing cash and cash equivalents as of June 30, 2019, coupled with the execution of our Line of Credit and 2019 Loan in August 2019, our anticipated growth and sales levels will be sufficient to meet our anticipated cash requirements for at least the next twelve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If we are unable to raise additional capital or generate sufficient cash from operations to adequately fund our operations in a timely manner, we will need to curtail planned activities to reduce costs and extend the time period over which our current resources will be able to fund operations. Doing so will likely harm our ability to execute on our business plan, and if we are unable to raise additional capital at all, may be forced to cease operations altogether, file for bankruptcy, or undertake any combination of the foregoing. In such event, our stockholders may lose their entire investment in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96"/>
              </w:rPr>
              <w:t>2018</w:t>
            </w:r>
          </w:p>
        </w:tc>
      </w:tr>
      <w:tr>
        <w:trPr>
          <w:trHeight w:val="142"/>
        </w:trPr>
        <w:tc>
          <w:tcPr>
            <w:tcW w:w="4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(4,790)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(4,513)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900" w:type="dxa"/>
            <w:vAlign w:val="bottom"/>
            <w:gridSpan w:val="2"/>
          </w:tcPr>
          <w:p>
            <w:pPr>
              <w:jc w:val="right"/>
              <w:ind w:right="8"/>
              <w:spacing w:after="0"/>
              <w:rPr>
                <w:sz w:val="20"/>
                <w:szCs w:val="20"/>
                <w:color w:val="auto"/>
              </w:rPr>
            </w:pPr>
            <w:r>
              <w:rPr>
                <w:rFonts w:ascii="Arial" w:cs="Arial" w:eastAsia="Arial" w:hAnsi="Arial"/>
                <w:sz w:val="18"/>
                <w:szCs w:val="18"/>
                <w:color w:val="auto"/>
              </w:rPr>
              <w:t>(461)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1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(2,855)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24,635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During the six months ended June 30, 2019, cash used in operating activities was $4.8 million, which consisted of a net loss of $7.9 million, adjusted by non-cash charges of $2.6 million and a change of $0.6 million in our net operating assets and liabilities. The non-cash charges primarily consisted of stock-based compensation of $1.5 million, depreciation and amortization of $0.9 million, and interest expense related to the amortization of debt issuance costs of $0.2 million. The change in our net operating assets and liabilities was primarily due to a decrease of $1.4 million in accrued liabilities and accounts payable due to a decrease in accrued payroll costs, accrued manufacturing costs, and the timing of payments. These changes were partially offset by a decrease in accounts receivable of $1.7 million due to a lower sales volume and timing of cash receipts for outstanding balances, a decrease of $0.1 million in inventory, and a decrease of $0.2 million in prepaid expenses and other current assets due to the timing of payments.</w:t>
      </w:r>
    </w:p>
    <w:p>
      <w:pPr>
        <w:spacing w:after="0" w:line="18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During the six months ended June 30, 2018, cash used in operating activities was $4.5 million, which consisted of a net loss of $8.6 million, adjusted by non-cash charges of $2.8 million and a change of $1.4 million in our net operating assets and liabilities. The non-cash charges primarily consisted of stock-based compensation of $1.3 million, depreciation and amortization of $0.7 million, compensation expense related to vesting of common stock issued to GLOBALFOUNDRIES under our joint development agreement of $0.5 million, and interest expense related to the amortization of debt issuance costs of $0.2 million. The change in our net operating assets and liabilities was primarily due to an increase in accounts receivable of $1.4 million due to timing of cash receipts for outstanding balances and an increase of $0.8 million in prepaid expenses and other current assets and other assets due to the timing of payments.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These changes were partially offset by an increase of $2.6 million in accounts payable and accrued liabilities due to the timing of payments and an increase in inventory purchases in connection with the joint development agreement with GLOBALFOUNDRIES, and a decrease of $0.9 million in inventory due to increased sales and scrapped inventory.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Cash used in investing activities during the six months ended June 30, 2019 and 2018, was $0.5 million and $0.3 million respectively for the purchase of manufacturing and computer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Cash used in financing activities during the six months ended June 30, 2019, was $2.9 million primarily consisting of $3.0 million in payments of long-term debt, offset in part by $0.2 million in proceeds from stock option exercises and purchases of shares in our employee stock purchase plan.</w:t>
      </w:r>
    </w:p>
    <w:p>
      <w:pPr>
        <w:spacing w:after="0" w:line="18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Cash provided by financing activities during the six months ended June 30, 2018, was $24.6 million consisting of net proceeds from the issuance of common stock of $24.6 million, and $1.0 million from stock option exercises and purchases of shares in our employee stock purchase plan, offset in part by payments of long-term debt of $1.0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There have been no changes to our critical accounting policies and estimates described in the Annual Report on Form 10-K for the year ended December 31, 2018, filed with the Securities and Exchange Commission (SEC) on March 15, 2019, that have had a material impact on our condensed financial statements and related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management, with the participation of our management team, including our Chief Executive Officer (CEO) and Chief Financial Officer (CFO), evaluated the effectiveness of the design and operation of our disclosure controls and procedures (as defined in Rules 13a-15(e) and 15d-15(e) under the Securities Exchange Act of 1934, as amended), as of June 30, 2019, the end of the period covered by this quarterly report on Form 10-Q.</w:t>
      </w:r>
    </w:p>
    <w:p>
      <w:pPr>
        <w:spacing w:after="0" w:line="171"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Based on this evaluation, our CEO and CFO concluded that our disclosure controls and procedures were not effective at the reasonable assurance level as of June 30, 2019, based on the material weakness described below.</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In connection with the preparation of our unaudited condensed financial statements for the quarter ended September 30, 2018, we identified an error in the previously filed financial statements that has caused us to restate and amend the our previously issued condensed financial statements and related financial information as of and for the three and six months ended June 30, 2018. This error was the result of a material weakness in our internal control over financial reporting, which continued to exist at June 30, 2019. Specifically, i) our information technology systems do not currently provide management the ability to accurately monitor inventory movements and quantities at third-party locations,</w:t>
      </w:r>
    </w:p>
    <w:p>
      <w:pPr>
        <w:spacing w:after="0" w:line="1" w:lineRule="exact"/>
        <w:rPr>
          <w:sz w:val="20"/>
          <w:szCs w:val="20"/>
          <w:color w:val="auto"/>
        </w:rPr>
      </w:pPr>
    </w:p>
    <w:p>
      <w:pPr>
        <w:jc w:val="both"/>
        <w:ind w:right="200" w:firstLine="3"/>
        <w:spacing w:after="0" w:line="255" w:lineRule="auto"/>
        <w:tabs>
          <w:tab w:leader="none" w:pos="20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internal processes to provide for clear communication between operational and financial personnel within the Company are insufficient, and iii) we have insufficient personnel with the appropriate level of experience to prevent and detect errors on a timely basis in our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plan to remediate the material weakness.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remediate this material weakness, we are taking the following actions:</w:t>
      </w:r>
    </w:p>
    <w:p>
      <w:pPr>
        <w:spacing w:after="0" w:line="225" w:lineRule="exact"/>
        <w:rPr>
          <w:sz w:val="20"/>
          <w:szCs w:val="20"/>
          <w:color w:val="auto"/>
        </w:rPr>
      </w:pPr>
    </w:p>
    <w:p>
      <w:pPr>
        <w:ind w:left="560" w:right="80" w:hanging="233"/>
        <w:spacing w:after="0" w:line="264"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currently updating our information technology tools, including our ERP system, to enhance our ability to monitor inventory and its movement through our manufacturing process and to provide checks and balances to third-party reports.</w:t>
      </w:r>
    </w:p>
    <w:p>
      <w:pPr>
        <w:spacing w:after="0" w:line="181" w:lineRule="exact"/>
        <w:rPr>
          <w:rFonts w:ascii="Arial" w:cs="Arial" w:eastAsia="Arial" w:hAnsi="Arial"/>
          <w:sz w:val="18"/>
          <w:szCs w:val="18"/>
          <w:color w:val="auto"/>
        </w:rPr>
      </w:pPr>
    </w:p>
    <w:p>
      <w:pPr>
        <w:ind w:left="560" w:right="360" w:hanging="233"/>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and continue to put in place, management dashboard tools to alert all involved as to the performance of inventory against our business goals.</w:t>
      </w:r>
    </w:p>
    <w:p>
      <w:pPr>
        <w:spacing w:after="0" w:line="170" w:lineRule="exact"/>
        <w:rPr>
          <w:rFonts w:ascii="Arial" w:cs="Arial" w:eastAsia="Arial" w:hAnsi="Arial"/>
          <w:sz w:val="18"/>
          <w:szCs w:val="18"/>
          <w:color w:val="auto"/>
        </w:rPr>
      </w:pPr>
    </w:p>
    <w:p>
      <w:pPr>
        <w:ind w:left="560" w:right="380" w:hanging="233"/>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establishing multi-discipline processes to actively manage and make decisions regarding our inventory to support our business objectives.</w:t>
      </w:r>
    </w:p>
    <w:p>
      <w:pPr>
        <w:spacing w:after="0" w:line="170" w:lineRule="exact"/>
        <w:rPr>
          <w:rFonts w:ascii="Arial" w:cs="Arial" w:eastAsia="Arial" w:hAnsi="Arial"/>
          <w:sz w:val="18"/>
          <w:szCs w:val="18"/>
          <w:color w:val="auto"/>
        </w:rPr>
      </w:pPr>
    </w:p>
    <w:p>
      <w:pPr>
        <w:ind w:left="560" w:right="20" w:hanging="233"/>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providing additional training to our Operations Teams and updating procedures with our third-party Assembly Houses.</w:t>
      </w:r>
    </w:p>
    <w:p>
      <w:pPr>
        <w:spacing w:after="0" w:line="170" w:lineRule="exact"/>
        <w:rPr>
          <w:rFonts w:ascii="Arial" w:cs="Arial" w:eastAsia="Arial" w:hAnsi="Arial"/>
          <w:sz w:val="18"/>
          <w:szCs w:val="18"/>
          <w:color w:val="auto"/>
        </w:rPr>
      </w:pPr>
    </w:p>
    <w:p>
      <w:pPr>
        <w:ind w:left="560" w:right="400" w:hanging="233"/>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hired additional qualified personnel to assist management with its financial statement close process and provide oversight of our financial reporting.</w:t>
      </w:r>
    </w:p>
    <w:p>
      <w:pPr>
        <w:spacing w:after="0" w:line="17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are assessing our accounting policies and internal controls documentation to ensure they are effective in helping us manage the business. Notwithstanding the material weakness that exists,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If we fail to fully remediate this material weakness or fail to maintain effective internal controls in the future, it could result in a material misstatement of our financial statements that would not be prevented or detected on a timely basis, which could cause investors to lose confidence in our financial information or cause our stock price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Except with respect to the remediation efforts described above, there have been no changes in our internal control over financial reporting (as defined in Rules 13a-15(e) and 15d-15(e) under the Securities Exchange Act of 1934, as amended) that occurred during the three months ended June 30, 2019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w:t>
      </w:r>
    </w:p>
    <w:p>
      <w:pPr>
        <w:sectPr>
          <w:pgSz w:w="11900" w:h="16838" w:orient="portrait"/>
          <w:cols w:equalWidth="0" w:num="1">
            <w:col w:w="9060"/>
          </w:cols>
          <w:pgMar w:left="1420" w:top="125"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70"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Our total revenue was approximately $18.7 million for the six months ended June 30, 2019, and $49.4 million for the year ended December 31, 2018, and, as of June 30, 2019, we had cash and cash equivalents of approximately $15.3 million. Our existing capital may be insufficient to meet our requirements. Based on our current operating plan, we believe our cash and cash equivalents and availability under our revolving line of credit facility will be sufficient to fund our operating requirements for at least 12 months; however, management expects operating losses and cash flow deficits to continue for the foreseeable future. We may need to raise additional funds through financings or borrowings in order to accomplish our long-term planned objectives. Failure to raise additional funds could delay, reduce, or halt our sales of our products and would impact our ability to continue our business. If we raise additional funds through issuances of equity, convertible debt securities or other securities convertible into equity, our existing stockholders could suffer significant dilution in</w:t>
      </w:r>
    </w:p>
    <w:p>
      <w:pPr>
        <w:spacing w:after="0" w:line="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their percentage ownership of our company, and any new equity securities we issue could have rights, preferences and privileges senior to those of holders of our common stock.</w:t>
      </w:r>
    </w:p>
    <w:p>
      <w:pPr>
        <w:spacing w:after="0" w:line="18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have no committed sources of capital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7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We have incurred net losses since our inception. We incurred net losses of $17.8 million and $7.9 million for the year ended December 31, 2018, and the six months ended June 30, 2019, respectively. As of June 30, 2019, we had an accumulated deficit of $141.9 million. We expect to incur significant expenses related to the continued development and expansion of our business, including in connection with our efforts to develop and improve upon our products and</w:t>
      </w:r>
    </w:p>
    <w:p>
      <w:pPr>
        <w:sectPr>
          <w:pgSz w:w="11900" w:h="16838" w:orient="portrait"/>
          <w:cols w:equalWidth="0" w:num="1">
            <w:col w:w="9040"/>
          </w:cols>
          <w:pgMar w:left="1420" w:top="125" w:right="14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type w:val="continuous"/>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technology, maintain and enhance our research and development and sales and marketing activities and hire additional personnel. While our products offer unique benefits over other industry memory technologies, our per-bit cost to product our product is currently higher than competing technologies. As a result, our ability to capture market share and generate sufficient revenue to transition to profitability and generate consistent positive cash flows is uncertain. We do not know whether we will be able to grow our revenue rapidly enough to absorb these costs, and it is difficult for us to assess the extent of our expenses, or their impact on our results of operations.</w:t>
      </w:r>
    </w:p>
    <w:p>
      <w:pPr>
        <w:spacing w:after="0" w:line="19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 If revenue does not grow sufficiently, we may not be able to meet our debt covenants, including the liquidity ratio and sales targets.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limited history of making our STT-MRAM products makes it difficult to evaluate our current business and future prospects.</w:t>
      </w:r>
    </w:p>
    <w:p>
      <w:pPr>
        <w:spacing w:after="0" w:line="170"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5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enterprise storage industries and changes in macroeconomic conditions. If we do not manage these risks and overcome these difficulties successfully, our business will suffer.</w:t>
      </w:r>
    </w:p>
    <w:p>
      <w:pPr>
        <w:spacing w:after="0" w:line="130"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1" w:lineRule="exact"/>
        <w:rPr>
          <w:sz w:val="20"/>
          <w:szCs w:val="20"/>
          <w:color w:val="auto"/>
        </w:rPr>
      </w:pPr>
    </w:p>
    <w:p>
      <w:pPr>
        <w:ind w:right="20" w:firstLine="401"/>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right="20" w:firstLine="401"/>
        <w:spacing w:after="0" w:line="269" w:lineRule="auto"/>
        <w:rPr>
          <w:sz w:val="20"/>
          <w:szCs w:val="20"/>
          <w:color w:val="auto"/>
        </w:rPr>
      </w:pPr>
      <w:r>
        <w:rPr>
          <w:rFonts w:ascii="Arial" w:cs="Arial" w:eastAsia="Arial" w:hAnsi="Arial"/>
          <w:sz w:val="17"/>
          <w:szCs w:val="17"/>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80"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580" w:right="120"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capacity and materials shortages during periods of high demand;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control over delivery schedules, inventories and quality;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misappropriation of our intellectual property;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exclusive representatives for certain customer engagements;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limited warranties on wafers or products supplied to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potential increases in prices.</w:t>
      </w:r>
    </w:p>
    <w:p>
      <w:pPr>
        <w:spacing w:after="0" w:line="225"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We currently do not have long-term supply contracts with our third-party contract manufacturers for our MRAM products, including NXP, United Microelectronics Corporation, Taiwan Semiconductor Manufacturing Company, Limited (TSMC), United Test and Assembly Center (UTAC), Global Testing Corporation (GTC), ChipMos, OSE Taiwan, and Amkor, and we typically negotiate pricing on a per-purchase order basis and in some cases on an annual basis. Therefore, they are not obligated to perform services or supply components to us for any specific period, in any</w:t>
      </w:r>
    </w:p>
    <w:p>
      <w:pPr>
        <w:sectPr>
          <w:pgSz w:w="11900" w:h="16838" w:orient="portrait"/>
          <w:cols w:equalWidth="0" w:num="1">
            <w:col w:w="9060"/>
          </w:cols>
          <w:pgMar w:left="1420" w:top="125"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7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6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85" w:lineRule="exact"/>
        <w:rPr>
          <w:sz w:val="20"/>
          <w:szCs w:val="20"/>
          <w:color w:val="auto"/>
        </w:rPr>
      </w:pPr>
    </w:p>
    <w:p>
      <w:pPr>
        <w:ind w:left="580" w:right="100"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in transferring technology to a foundry;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control over the operations of foundries is limited;</w:t>
      </w:r>
    </w:p>
    <w:p>
      <w:pPr>
        <w:spacing w:after="0" w:line="225" w:lineRule="exact"/>
        <w:rPr>
          <w:sz w:val="20"/>
          <w:szCs w:val="20"/>
          <w:color w:val="auto"/>
        </w:rPr>
      </w:pPr>
    </w:p>
    <w:p>
      <w:pPr>
        <w:ind w:left="580" w:right="40" w:firstLine="29"/>
        <w:spacing w:after="0" w:line="277" w:lineRule="auto"/>
        <w:rPr>
          <w:sz w:val="20"/>
          <w:szCs w:val="20"/>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sz w:val="20"/>
          <w:szCs w:val="20"/>
          <w:color w:val="auto"/>
        </w:rPr>
      </w:pPr>
    </w:p>
    <w:p>
      <w:pPr>
        <w:ind w:left="580" w:right="100" w:firstLine="29"/>
        <w:spacing w:after="0" w:line="277" w:lineRule="auto"/>
        <w:rPr>
          <w:sz w:val="20"/>
          <w:szCs w:val="20"/>
          <w:color w:val="auto"/>
        </w:rPr>
      </w:pPr>
      <w:r>
        <w:rPr>
          <w:rFonts w:ascii="Arial" w:cs="Arial" w:eastAsia="Arial" w:hAnsi="Arial"/>
          <w:sz w:val="18"/>
          <w:szCs w:val="18"/>
          <w:color w:val="auto"/>
        </w:rPr>
        <w:t>due to differing business models or long-term business goals, our collaborators may decide not to join us in funding capital investment, which may result in higher levels of cash expenditures by us;</w:t>
      </w:r>
    </w:p>
    <w:p>
      <w:pPr>
        <w:sectPr>
          <w:pgSz w:w="11900" w:h="16838" w:orient="portrait"/>
          <w:cols w:equalWidth="0" w:num="1">
            <w:col w:w="9040"/>
          </w:cols>
          <w:pgMar w:left="1420" w:top="12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type w:val="continuous"/>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cash flows may be inadequate to fund increased capital requirements;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terms of our arrangements may turn out to be unfavorable;</w:t>
      </w:r>
    </w:p>
    <w:p>
      <w:pPr>
        <w:spacing w:after="0" w:line="225" w:lineRule="exact"/>
        <w:rPr>
          <w:sz w:val="20"/>
          <w:szCs w:val="20"/>
          <w:color w:val="auto"/>
        </w:rPr>
      </w:pPr>
    </w:p>
    <w:p>
      <w:pPr>
        <w:ind w:left="580" w:right="160" w:firstLine="29"/>
        <w:spacing w:after="0" w:line="277" w:lineRule="auto"/>
        <w:rPr>
          <w:sz w:val="20"/>
          <w:szCs w:val="20"/>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under the terms of our joint development agreement with GLOBALFOUNDRIES, we share the development costs. Further, our joint development agreement expires in December 2019 unless a statement of work is in place at that time, in which case it expires on the date the last statement of work is finished. If GLOBALFOUNDRIES fails to extend or terminates the joint development agreement, our ability to continue to develop our MRAM technology will be significantly impaired.</w:t>
      </w:r>
    </w:p>
    <w:p>
      <w:pPr>
        <w:spacing w:after="0" w:line="188"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8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our business will be adversely affected. In addition, the adverse impact of an unfavorable economy may adversely impact consumer spending, which may adversely impact our customers’ spending and demand for our products.</w:t>
      </w:r>
    </w:p>
    <w:p>
      <w:pPr>
        <w:spacing w:after="0" w:line="178"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Further, increasing trade tensions and tariffs, particularly with China, may increase the costs we incur to produce our products. Although we are seeking to qualify alternative suppliers and facilities in the event that it becomes necessary to</w:t>
      </w:r>
    </w:p>
    <w:p>
      <w:pPr>
        <w:sectPr>
          <w:pgSz w:w="11900" w:h="16838" w:orient="portrait"/>
          <w:cols w:equalWidth="0" w:num="1">
            <w:col w:w="9060"/>
          </w:cols>
          <w:pgMar w:left="1420" w:top="125"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obtain materials from other sources to limit the effect of tariffs, there is no guarantee that we will be able to do so or, if we are, that these alternative sources will fully mitigate the effect that tariffs and other trade restrictions will have on our business, which may have an adverse effect on our financial condition and results of operations.</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However, as it is taking us longer than we expected to develop our 1Gb STT-MRAM product, we may not succeed in developing and marketing this and other new and enhanced products.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we generated limited revenue from sales of our STT-MRAM products to date. While we expect revenue from our STT-MRAM products to increase, if we are unable to generate more customer adoption of our 256Mb and 1Gb products and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7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6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sell to customers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In the fourth quarter of 2017, we recorded revenue for our first sale of 40nm 256Mb STT-MRAM products and we ramped up production in 2018 and into 2019.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 Any further delay in the qualification of our 1Gb MRAM product, or failure of our customers to adopt our 1Gb MRAM products, could inhibit revenue growth or cause declines, which would significantly harm our business and prevent us from becoming profitable.</w:t>
      </w:r>
    </w:p>
    <w:p>
      <w:pPr>
        <w:spacing w:after="0" w:line="18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rely on our relationships with original equipment manufacturers (OEMs) and original design manufacturers (ODMs) to enhance our solutions and market position, and our failure to continue to develop or maintain such relationships in the future would harm our ability to remain competitive.</w:t>
      </w:r>
    </w:p>
    <w:p>
      <w:pPr>
        <w:spacing w:after="0" w:line="181" w:lineRule="exact"/>
        <w:rPr>
          <w:sz w:val="20"/>
          <w:szCs w:val="20"/>
          <w:color w:val="auto"/>
        </w:rPr>
      </w:pPr>
    </w:p>
    <w:p>
      <w:pPr>
        <w:jc w:val="both"/>
        <w:ind w:right="220" w:firstLine="324"/>
        <w:spacing w:after="0" w:line="288" w:lineRule="auto"/>
        <w:rPr>
          <w:sz w:val="20"/>
          <w:szCs w:val="20"/>
          <w:color w:val="auto"/>
        </w:rPr>
      </w:pPr>
      <w:r>
        <w:rPr>
          <w:rFonts w:ascii="Arial" w:cs="Arial" w:eastAsia="Arial" w:hAnsi="Arial"/>
          <w:sz w:val="16"/>
          <w:szCs w:val="16"/>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w:t>
      </w:r>
    </w:p>
    <w:p>
      <w:pPr>
        <w:ind w:right="120"/>
        <w:spacing w:after="0" w:line="286" w:lineRule="auto"/>
        <w:rPr>
          <w:sz w:val="20"/>
          <w:szCs w:val="20"/>
          <w:color w:val="auto"/>
        </w:rPr>
      </w:pPr>
      <w:r>
        <w:rPr>
          <w:rFonts w:ascii="Arial" w:cs="Arial" w:eastAsia="Arial" w:hAnsi="Arial"/>
          <w:sz w:val="16"/>
          <w:szCs w:val="16"/>
          <w:color w:val="auto"/>
        </w:rPr>
        <w:t>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26% of our total revenue for the six months ended June 30, 2019, although one of these customers accounted for more than 10% of our revenue during that period. Our four largest end customers together accounted for 29% of our total revenue for the year ended December 31, 2018,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can fluctuate from period to period, which could cause our share price to fluctuate.</w:t>
      </w:r>
    </w:p>
    <w:p>
      <w:pPr>
        <w:spacing w:after="0" w:line="23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receipt, reduction, delay or cancellation of orders by large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gain or loss of significant customers or distributors;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success of our launch of new or enhanced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market acceptance of our products and our customers’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level of growth or decline in the industrial, automotive, transportation, enterprise storage and other markets;</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extent of research and development and sales and marketing expenditures;</w:t>
      </w:r>
    </w:p>
    <w:p>
      <w:pPr>
        <w:spacing w:after="0" w:line="225"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our product mix;</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reduce the manufacturing costs of our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competitive pressures resulting in lower than expected average selling prices;</w:t>
      </w:r>
    </w:p>
    <w:p>
      <w:pPr>
        <w:spacing w:after="0" w:line="225" w:lineRule="exact"/>
        <w:rPr>
          <w:sz w:val="20"/>
          <w:szCs w:val="20"/>
          <w:color w:val="auto"/>
        </w:rPr>
      </w:pPr>
    </w:p>
    <w:p>
      <w:pPr>
        <w:ind w:left="580" w:right="380" w:firstLine="29"/>
        <w:spacing w:after="0" w:line="277" w:lineRule="auto"/>
        <w:rPr>
          <w:sz w:val="20"/>
          <w:szCs w:val="20"/>
          <w:color w:val="auto"/>
        </w:rPr>
      </w:pPr>
      <w:r>
        <w:rPr>
          <w:rFonts w:ascii="Arial" w:cs="Arial" w:eastAsia="Arial" w:hAnsi="Arial"/>
          <w:sz w:val="18"/>
          <w:szCs w:val="18"/>
          <w:color w:val="auto"/>
        </w:rPr>
        <w:t>fluctuations in sales by and inventory levels of OEMs and ODMs that incorporate our memory products in their products;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cyclical and seasonal fluctuations in our markets;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fluctuations in the manufacturing yields of our third-party manufacturers;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quality issues that arise from manufacturing issues at our third-party manufacturers;</w:t>
      </w:r>
    </w:p>
    <w:p>
      <w:pPr>
        <w:spacing w:after="0" w:line="225" w:lineRule="exact"/>
        <w:rPr>
          <w:sz w:val="20"/>
          <w:szCs w:val="20"/>
          <w:color w:val="auto"/>
        </w:rPr>
      </w:pPr>
    </w:p>
    <w:p>
      <w:pPr>
        <w:ind w:left="580" w:right="100" w:firstLine="29"/>
        <w:spacing w:after="0" w:line="264" w:lineRule="auto"/>
        <w:rPr>
          <w:sz w:val="20"/>
          <w:szCs w:val="20"/>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supply constraints for and changes in the cost of the other components incorporated into our customers’ products;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of expenses related to the acquisition of technologies or businesses;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rates of return or price concessions in excess of those expected or forecasted;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the repair and replacement of defective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inventory write-downs or write-offs;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litigation over intellectual property rights and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changes in accounting standards, such as revenue recognition, which we were required to adopt beginning in 2018;</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tax laws, such as the Tax Cuts and Jobs Act of 2017 recently enacted;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length and unpredictability of the purchasing and budgeting cycles of our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key personnel or the inability to attract qualified engineers;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geopolitical events, such as war, threat of war or terrorist actions, or the occurrence of natural disasters.</w:t>
      </w:r>
    </w:p>
    <w:p>
      <w:pPr>
        <w:spacing w:after="0" w:line="22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5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market success or may become obsolete. We cannot assure our stockholders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66"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 Microchip, Micron, Renesas, Samsung, and Toshiba. In addition, as the MRAM market opportunity grows, we expect new entrants such as Avalanche Technologies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relationships with our customers and other industry participants;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prices of our products and prices of our competitors’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develop innovative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competitors’ greater resources to make acquisitions;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obtain adequate capital to finance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sz w:val="20"/>
          <w:szCs w:val="20"/>
          <w:color w:val="auto"/>
        </w:rPr>
      </w:pPr>
    </w:p>
    <w:p>
      <w:pPr>
        <w:ind w:left="580" w:right="60" w:firstLine="29"/>
        <w:spacing w:after="0" w:line="277" w:lineRule="auto"/>
        <w:rPr>
          <w:sz w:val="20"/>
          <w:szCs w:val="20"/>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w:t>
      </w:r>
    </w:p>
    <w:p>
      <w:pPr>
        <w:sectPr>
          <w:pgSz w:w="11900" w:h="16838" w:orient="portrait"/>
          <w:cols w:equalWidth="0" w:num="1">
            <w:col w:w="9060"/>
          </w:cols>
          <w:pgMar w:left="1420" w:top="125"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and other resources or more established market recognition than us may be better positioned to accept lower prices and withstand adverse economic or market conditions.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years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Any such problems could result in:</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delays in development, manufacture and roll-out of new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additional development costs;</w:t>
      </w:r>
    </w:p>
    <w:p>
      <w:pPr>
        <w:sectPr>
          <w:pgSz w:w="11900" w:h="16838" w:orient="portrait"/>
          <w:cols w:equalWidth="0" w:num="1">
            <w:col w:w="9040"/>
          </w:cols>
          <w:pgMar w:left="1420" w:top="12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type w:val="continuous"/>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or delays in, market acceptance;</w:t>
      </w:r>
    </w:p>
    <w:p>
      <w:pPr>
        <w:spacing w:after="0" w:line="225" w:lineRule="exact"/>
        <w:rPr>
          <w:sz w:val="20"/>
          <w:szCs w:val="20"/>
          <w:color w:val="auto"/>
        </w:rPr>
      </w:pPr>
    </w:p>
    <w:p>
      <w:pPr>
        <w:ind w:left="620" w:right="2820"/>
        <w:spacing w:after="0" w:line="501" w:lineRule="auto"/>
        <w:rPr>
          <w:sz w:val="20"/>
          <w:szCs w:val="20"/>
          <w:color w:val="auto"/>
        </w:rPr>
      </w:pPr>
      <w:r>
        <w:rPr>
          <w:rFonts w:ascii="Arial" w:cs="Arial" w:eastAsia="Arial" w:hAnsi="Arial"/>
          <w:sz w:val="18"/>
          <w:szCs w:val="18"/>
          <w:color w:val="auto"/>
        </w:rPr>
        <w:t>diversion of technical and other resources from our other development efforts; claims for damages by our customers or others against us; and loss of credibility with our current and prospective customers.</w:t>
      </w:r>
    </w:p>
    <w:p>
      <w:pPr>
        <w:ind w:left="32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3"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increase product value. We are dependent on our relationships with our third-party foundries to transition to smaller geometry processes successfully. We cannot assure our stockholders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6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w:t>
      </w:r>
    </w:p>
    <w:p>
      <w:pPr>
        <w:sectPr>
          <w:pgSz w:w="11900" w:h="16838" w:orient="portrait"/>
          <w:cols w:equalWidth="0" w:num="1">
            <w:col w:w="9060"/>
          </w:cols>
          <w:pgMar w:left="1420" w:top="125" w:right="14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crucial design wins, our revenue may decline and we may incur significant expenses to redesign our products to meet the relevant standards, which could adversely affect our business, results of operations and prospects.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73"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substantial damages for infringement;</w:t>
      </w:r>
    </w:p>
    <w:p>
      <w:pPr>
        <w:spacing w:after="0" w:line="225" w:lineRule="exact"/>
        <w:rPr>
          <w:sz w:val="20"/>
          <w:szCs w:val="20"/>
          <w:color w:val="auto"/>
        </w:rPr>
      </w:pPr>
    </w:p>
    <w:p>
      <w:pPr>
        <w:ind w:left="580" w:right="660" w:firstLine="29"/>
        <w:spacing w:after="0" w:line="277" w:lineRule="auto"/>
        <w:rPr>
          <w:sz w:val="20"/>
          <w:szCs w:val="20"/>
          <w:color w:val="auto"/>
        </w:rPr>
      </w:pPr>
      <w:r>
        <w:rPr>
          <w:rFonts w:ascii="Arial" w:cs="Arial" w:eastAsia="Arial" w:hAnsi="Arial"/>
          <w:sz w:val="18"/>
          <w:szCs w:val="18"/>
          <w:color w:val="auto"/>
        </w:rPr>
        <w:t>expend significant resources to develop non-infringing products, processes or technology, which may not be successful;</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580" w:right="100" w:firstLine="29"/>
        <w:spacing w:after="0" w:line="277" w:lineRule="auto"/>
        <w:rPr>
          <w:sz w:val="20"/>
          <w:szCs w:val="20"/>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sz w:val="20"/>
          <w:szCs w:val="20"/>
          <w:color w:val="auto"/>
        </w:rPr>
      </w:pPr>
    </w:p>
    <w:p>
      <w:pPr>
        <w:ind w:left="580" w:right="320" w:firstLine="29"/>
        <w:spacing w:after="0" w:line="277" w:lineRule="auto"/>
        <w:rPr>
          <w:sz w:val="20"/>
          <w:szCs w:val="20"/>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sz w:val="20"/>
          <w:szCs w:val="20"/>
          <w:color w:val="auto"/>
        </w:rPr>
      </w:pPr>
    </w:p>
    <w:p>
      <w:pPr>
        <w:ind w:left="580" w:right="40" w:firstLine="29"/>
        <w:spacing w:after="0" w:line="277" w:lineRule="auto"/>
        <w:rPr>
          <w:sz w:val="20"/>
          <w:szCs w:val="20"/>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6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8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 systems, such as our ERP system.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 effectively motivate or manage our new and future employees, the quality of our products and the management of our operations could suffer, which could adversely affect our operating results.</w:t>
      </w:r>
    </w:p>
    <w:p>
      <w:pPr>
        <w:spacing w:after="0" w:line="170" w:lineRule="exact"/>
        <w:rPr>
          <w:sz w:val="20"/>
          <w:szCs w:val="20"/>
          <w:color w:val="auto"/>
        </w:rPr>
      </w:pPr>
    </w:p>
    <w:p>
      <w:pPr>
        <w:ind w:right="520"/>
        <w:spacing w:after="0" w:line="381" w:lineRule="auto"/>
        <w:rPr>
          <w:sz w:val="20"/>
          <w:szCs w:val="20"/>
          <w:color w:val="auto"/>
        </w:rPr>
      </w:pPr>
      <w:r>
        <w:rPr>
          <w:rFonts w:ascii="Arial" w:cs="Arial" w:eastAsia="Arial" w:hAnsi="Arial"/>
          <w:sz w:val="15"/>
          <w:szCs w:val="15"/>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10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and so we could only do so with the lender’s consent. If we were to pursue such acquisitions or investments, they could create risks for us, including:</w:t>
      </w:r>
    </w:p>
    <w:p>
      <w:pPr>
        <w:spacing w:after="0" w:line="154" w:lineRule="exact"/>
        <w:rPr>
          <w:sz w:val="20"/>
          <w:szCs w:val="20"/>
          <w:color w:val="auto"/>
        </w:rPr>
      </w:pPr>
    </w:p>
    <w:p>
      <w:pPr>
        <w:ind w:left="580" w:right="300" w:firstLine="29"/>
        <w:spacing w:after="0" w:line="312" w:lineRule="auto"/>
        <w:rPr>
          <w:sz w:val="20"/>
          <w:szCs w:val="20"/>
          <w:color w:val="auto"/>
        </w:rPr>
      </w:pPr>
      <w:r>
        <w:rPr>
          <w:rFonts w:ascii="Arial" w:cs="Arial" w:eastAsia="Arial" w:hAnsi="Arial"/>
          <w:sz w:val="16"/>
          <w:szCs w:val="16"/>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unanticipated costs or liabilities, including possible litigation, associated with the acquisition;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incurrence of acquisition-related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management’s attention from other business concerns;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resources that are needed in other parts of our business;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substantial portions of our available cash to consummate an acquisition.</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be unable to complete acquisitions at all or on commercially reasonable terms, which could limit our future growth. Acquisitions could also result in dilutive issuances of equity securities or the incurrence of additional debt, which could adversely affect our operating results and result in a decline in our stock price and further restrict our ability to pursue business opportunities, including potential acquisitions. In addition, if an acquired business fails to meet our expectations, our operating results may suffer.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maintain operations outside of the United States which exposes us to significant risks.</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longer and more difficult customer qualification and credit checks;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greater difficulty collecting accounts receivable and longer payment cycles;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need for various local approvals to operate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compliance with local laws and regulations;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protection for intellectual property rights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sz w:val="20"/>
          <w:szCs w:val="20"/>
          <w:color w:val="auto"/>
        </w:rPr>
      </w:pPr>
    </w:p>
    <w:p>
      <w:pPr>
        <w:ind w:left="580" w:right="600" w:firstLine="29"/>
        <w:spacing w:after="0" w:line="277" w:lineRule="auto"/>
        <w:rPr>
          <w:sz w:val="20"/>
          <w:szCs w:val="20"/>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sz w:val="20"/>
          <w:szCs w:val="20"/>
          <w:color w:val="auto"/>
        </w:rPr>
      </w:pPr>
    </w:p>
    <w:p>
      <w:pPr>
        <w:ind w:left="580" w:right="100" w:firstLine="29"/>
        <w:spacing w:after="0" w:line="259" w:lineRule="auto"/>
        <w:rPr>
          <w:sz w:val="20"/>
          <w:szCs w:val="20"/>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new and different sources of competition;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5"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0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right="639" w:firstLine="324"/>
        <w:spacing w:after="0" w:line="27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Our term loan facility prohibits our ability to, among other things: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dispose of or sell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 or merge with other entities;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 additional indebtedness;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create liens on our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dividends;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make investments;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enter into transactions with affiliates;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right="99" w:firstLine="324"/>
        <w:spacing w:after="0" w:line="270" w:lineRule="auto"/>
        <w:rPr>
          <w:sz w:val="20"/>
          <w:szCs w:val="20"/>
          <w:color w:val="auto"/>
        </w:rPr>
      </w:pPr>
      <w:r>
        <w:rPr>
          <w:rFonts w:ascii="Arial" w:cs="Arial" w:eastAsia="Arial" w:hAnsi="Arial"/>
          <w:sz w:val="17"/>
          <w:szCs w:val="17"/>
          <w:color w:val="auto"/>
        </w:rPr>
        <w:t>These restrictions are subject to certain exceptions. In addition, our existing credit facility requires that we meet certain operating covenants, such as maintaining insurance on the collateral and meeting certain financial covenants, such as a minimum liquidity ratio.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Cuts and Jobs Act could adversely affect our business and financial condition.</w:t>
      </w:r>
    </w:p>
    <w:p>
      <w:pPr>
        <w:spacing w:after="0" w:line="225" w:lineRule="exact"/>
        <w:rPr>
          <w:sz w:val="20"/>
          <w:szCs w:val="20"/>
          <w:color w:val="auto"/>
        </w:rPr>
      </w:pPr>
    </w:p>
    <w:p>
      <w:pPr>
        <w:ind w:right="119" w:firstLine="324"/>
        <w:spacing w:after="0" w:line="290" w:lineRule="auto"/>
        <w:rPr>
          <w:sz w:val="20"/>
          <w:szCs w:val="20"/>
          <w:color w:val="auto"/>
        </w:rPr>
      </w:pPr>
      <w:r>
        <w:rPr>
          <w:rFonts w:ascii="Arial" w:cs="Arial" w:eastAsia="Arial" w:hAnsi="Arial"/>
          <w:sz w:val="16"/>
          <w:szCs w:val="16"/>
          <w:color w:val="auto"/>
        </w:rPr>
        <w:t>In December 2017 the Tax Cuts and Jobs Act (2017 Tax Act) became law, which significantly amended the Internal Revenue Code of 1986. The 2017 Tax Act, among other things, reduced the corporate tax rate from a top marginal rate of 35% to a flat rate of 21%, limits the tax deduction for interest expense to 30% of adjusted earnings, eliminates net operating loss carrybacks, imposes a one-time tax on offshore earnings at reduced rates regardless of whether they are repatriated, allows immediate deductions for certain new investments instead of deductions for depreciation expense over time, and modifies or repeals many business deductions and credits. The rate reduction took effect on January 1, 2018. Interpretations of this legislation are being released by various regulatory agencies and it is possible that there could be significant changes in interpretations that we may not be yet aware of, and which could adversely impact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right="139" w:firstLine="324"/>
        <w:spacing w:after="0" w:line="287"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2018, we had federal net operating loss carryforwards of approximately $112.3 million of which $99.7 million will begin to expire in 2028 if not utilized, and $12.6 million will carryover indefinitely. As of December 31, 2018, we had state net operating loss carryforwards of approximately $44.3 million of which $43.5 million will begin to expire in 2023 if not utilized, and $0.8 million will carryover indefinitely. The federal NOLs generated prior to 2018 will continue to be governed by the NOL tax rules as they existed prior to the adoption of the new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will be carried forward and will</w:t>
      </w:r>
    </w:p>
    <w:p>
      <w:pPr>
        <w:sectPr>
          <w:pgSz w:w="11900" w:h="16838" w:orient="portrait"/>
          <w:cols w:equalWidth="0" w:num="1">
            <w:col w:w="9039"/>
          </w:cols>
          <w:pgMar w:left="1420" w:top="125" w:right="1440" w:bottom="1440" w:gutter="0" w:footer="0" w:header="0"/>
        </w:sect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not expire. There is no current impact to the us as we continue to be in a tax loss position for US tax purposes.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As a result, we might not be able to utilize a material portion of our state NOLs and tax credits.</w:t>
      </w:r>
    </w:p>
    <w:p>
      <w:pPr>
        <w:spacing w:after="0" w:line="15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have accounting and finance staff members to maintain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demands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9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i w:val="1"/>
          <w:iCs w:val="1"/>
          <w:color w:val="auto"/>
        </w:rPr>
        <w:t>We have a material weakness in our internal control over financial control which we are currently remediating, but 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54" w:lineRule="exact"/>
        <w:rPr>
          <w:sz w:val="20"/>
          <w:szCs w:val="20"/>
          <w:color w:val="auto"/>
        </w:rPr>
      </w:pPr>
    </w:p>
    <w:p>
      <w:pPr>
        <w:ind w:right="120" w:firstLine="401"/>
        <w:spacing w:after="0" w:line="293" w:lineRule="auto"/>
        <w:rPr>
          <w:sz w:val="20"/>
          <w:szCs w:val="20"/>
          <w:color w:val="auto"/>
        </w:rPr>
      </w:pPr>
      <w:r>
        <w:rPr>
          <w:rFonts w:ascii="Arial" w:cs="Arial" w:eastAsia="Arial" w:hAnsi="Arial"/>
          <w:sz w:val="16"/>
          <w:szCs w:val="16"/>
          <w:color w:val="auto"/>
        </w:rPr>
        <w:t>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 Our management has determined that we have a material weakness in our internal control over</w:t>
      </w:r>
    </w:p>
    <w:p>
      <w:pPr>
        <w:sectPr>
          <w:pgSz w:w="11900" w:h="16838" w:orient="portrait"/>
          <w:cols w:equalWidth="0" w:num="1">
            <w:col w:w="9060"/>
          </w:cols>
          <w:pgMar w:left="1420" w:top="125" w:right="14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reporting, as further described in Part I, Item 4. of this Report. If we are unable to remediate this material weakness, or experience additional weaknesses, we may not be able to accurately report our financial condition or results of operations, which may adversely affect investor confidence in the accuracy and completeness of our financial reports, which could cause the price of our common stock to decline.</w:t>
      </w:r>
    </w:p>
    <w:p>
      <w:pPr>
        <w:spacing w:after="0" w:line="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issuance of new accounting standards or future interpretations of existing accounting standards could adversely affect our operating results.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prepare our financial statements in accordance with accounting principles generally accepted in the United States of America, or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For example, beginning with our first quarter of 2018, we adopted the new revenue recognition standard, which changed the way we recognize revenue.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be sustained.</w:t>
      </w:r>
    </w:p>
    <w:p>
      <w:pPr>
        <w:spacing w:after="0" w:line="22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Although our stock is currently traded on the Nasdaq Stock Market, an active trading market may not be sustained. The lack of an active market may impair the value of our common stock and our stockholders’ ability to sell their shares at the time they may wish to sell them. An inactive market may also impair our ability to both raise capital by selling shares and acquire other complementary products, technologies or businesses by using our shares as consideration.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liability claims or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quarterly variations in our results of operations or those of others in our industry;</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earnings estimates or recommendations by securities analysts; and</w:t>
      </w:r>
    </w:p>
    <w:p>
      <w:pPr>
        <w:spacing w:after="0" w:line="225" w:lineRule="exact"/>
        <w:rPr>
          <w:sz w:val="20"/>
          <w:szCs w:val="20"/>
          <w:color w:val="auto"/>
        </w:rPr>
      </w:pPr>
    </w:p>
    <w:p>
      <w:pPr>
        <w:ind w:left="580" w:right="700" w:firstLine="29"/>
        <w:spacing w:after="0" w:line="277" w:lineRule="auto"/>
        <w:rPr>
          <w:sz w:val="20"/>
          <w:szCs w:val="20"/>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87" w:lineRule="exact"/>
        <w:rPr>
          <w:sz w:val="20"/>
          <w:szCs w:val="20"/>
          <w:color w:val="auto"/>
        </w:rPr>
      </w:pPr>
    </w:p>
    <w:p>
      <w:pPr>
        <w:ind w:right="440"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7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trading market for our common stock is influenced to some extent by the research and reports that industry or financial analysts publish about us and our business.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7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4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66"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We may remain an “emerging growth company” until as late as December 31, 2021, though we may cease to be an “emerging growth 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$1.07 billion in any fiscal year.</w:t>
      </w:r>
    </w:p>
    <w:p>
      <w:pPr>
        <w:spacing w:after="0" w:line="15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0"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by our existing stockholders, or the perception that these sales might occur, could depress the market price of our common stock and could impair our</w:t>
      </w:r>
    </w:p>
    <w:p>
      <w:pPr>
        <w:sectPr>
          <w:pgSz w:w="11900" w:h="16838" w:orient="portrait"/>
          <w:cols w:equalWidth="0" w:num="1">
            <w:col w:w="9060"/>
          </w:cols>
          <w:pgMar w:left="1420" w:top="125"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99"/>
        <w:spacing w:after="0" w:line="277" w:lineRule="auto"/>
        <w:rPr>
          <w:sz w:val="20"/>
          <w:szCs w:val="20"/>
          <w:color w:val="auto"/>
        </w:rPr>
      </w:pPr>
      <w:r>
        <w:rPr>
          <w:rFonts w:ascii="Arial" w:cs="Arial" w:eastAsia="Arial" w:hAnsi="Arial"/>
          <w:sz w:val="18"/>
          <w:szCs w:val="18"/>
          <w:color w:val="auto"/>
        </w:rPr>
        <w:t>ability to raise capital through the sale of additional equity securities. We are unable to predict the effect that sales may have on the prevailing market price of our common stock.</w:t>
      </w:r>
    </w:p>
    <w:p>
      <w:pPr>
        <w:spacing w:after="0" w:line="170"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70" w:lineRule="exact"/>
        <w:rPr>
          <w:sz w:val="20"/>
          <w:szCs w:val="20"/>
          <w:color w:val="auto"/>
        </w:rPr>
      </w:pPr>
    </w:p>
    <w:p>
      <w:pPr>
        <w:ind w:right="39" w:firstLine="324"/>
        <w:spacing w:after="0" w:line="273" w:lineRule="auto"/>
        <w:rPr>
          <w:sz w:val="20"/>
          <w:szCs w:val="20"/>
          <w:color w:val="auto"/>
        </w:rPr>
      </w:pPr>
      <w:r>
        <w:rPr>
          <w:rFonts w:ascii="Arial" w:cs="Arial" w:eastAsia="Arial" w:hAnsi="Arial"/>
          <w:sz w:val="17"/>
          <w:szCs w:val="17"/>
          <w:color w:val="auto"/>
        </w:rPr>
        <w:t>Our officers, directors and principal stockholders each holding more than 5% of our common stock, collectively, control a significant percentage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78" w:lineRule="exact"/>
        <w:rPr>
          <w:sz w:val="20"/>
          <w:szCs w:val="20"/>
          <w:color w:val="auto"/>
        </w:rPr>
      </w:pPr>
    </w:p>
    <w:p>
      <w:pPr>
        <w:ind w:right="23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7" w:lineRule="exact"/>
        <w:rPr>
          <w:sz w:val="20"/>
          <w:szCs w:val="20"/>
          <w:color w:val="auto"/>
        </w:rPr>
      </w:pPr>
    </w:p>
    <w:p>
      <w:pPr>
        <w:ind w:right="1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2" w:lineRule="exact"/>
        <w:rPr>
          <w:sz w:val="20"/>
          <w:szCs w:val="20"/>
          <w:color w:val="auto"/>
        </w:rPr>
      </w:pPr>
    </w:p>
    <w:p>
      <w:pPr>
        <w:ind w:left="580" w:right="39" w:firstLine="29"/>
        <w:spacing w:after="0" w:line="264" w:lineRule="auto"/>
        <w:rPr>
          <w:sz w:val="20"/>
          <w:szCs w:val="20"/>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1" w:lineRule="exact"/>
        <w:rPr>
          <w:sz w:val="20"/>
          <w:szCs w:val="20"/>
          <w:color w:val="auto"/>
        </w:rPr>
      </w:pPr>
    </w:p>
    <w:p>
      <w:pPr>
        <w:ind w:left="580" w:right="59" w:firstLine="29"/>
        <w:spacing w:after="0" w:line="259" w:lineRule="auto"/>
        <w:rPr>
          <w:sz w:val="20"/>
          <w:szCs w:val="20"/>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187" w:lineRule="exact"/>
        <w:rPr>
          <w:sz w:val="20"/>
          <w:szCs w:val="20"/>
          <w:color w:val="auto"/>
        </w:rPr>
      </w:pPr>
    </w:p>
    <w:p>
      <w:pPr>
        <w:ind w:left="580" w:right="299" w:firstLine="29"/>
        <w:spacing w:after="0" w:line="277" w:lineRule="auto"/>
        <w:rPr>
          <w:sz w:val="20"/>
          <w:szCs w:val="20"/>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170" w:lineRule="exact"/>
        <w:rPr>
          <w:sz w:val="20"/>
          <w:szCs w:val="20"/>
          <w:color w:val="auto"/>
        </w:rPr>
      </w:pPr>
    </w:p>
    <w:p>
      <w:pPr>
        <w:ind w:left="580" w:right="19" w:firstLine="29"/>
        <w:spacing w:after="0" w:line="257" w:lineRule="auto"/>
        <w:rPr>
          <w:sz w:val="20"/>
          <w:szCs w:val="20"/>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bylaws, although our bylaws may be amended by a simple majority vote of our board of directors;</w:t>
      </w:r>
    </w:p>
    <w:p>
      <w:pPr>
        <w:spacing w:after="0" w:line="188" w:lineRule="exact"/>
        <w:rPr>
          <w:sz w:val="20"/>
          <w:szCs w:val="20"/>
          <w:color w:val="auto"/>
        </w:rPr>
      </w:pPr>
    </w:p>
    <w:p>
      <w:pPr>
        <w:ind w:left="580" w:right="99" w:firstLine="29"/>
        <w:spacing w:after="0" w:line="259" w:lineRule="auto"/>
        <w:rPr>
          <w:sz w:val="20"/>
          <w:szCs w:val="20"/>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87" w:lineRule="exact"/>
        <w:rPr>
          <w:sz w:val="20"/>
          <w:szCs w:val="20"/>
          <w:color w:val="auto"/>
        </w:rPr>
      </w:pPr>
    </w:p>
    <w:p>
      <w:pPr>
        <w:jc w:val="both"/>
        <w:ind w:left="580" w:right="39" w:firstLine="29"/>
        <w:spacing w:after="0" w:line="286" w:lineRule="auto"/>
        <w:rPr>
          <w:sz w:val="20"/>
          <w:szCs w:val="20"/>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6" w:lineRule="exact"/>
        <w:rPr>
          <w:sz w:val="20"/>
          <w:szCs w:val="20"/>
          <w:color w:val="auto"/>
        </w:rPr>
      </w:pPr>
    </w:p>
    <w:p>
      <w:pPr>
        <w:ind w:right="99" w:firstLine="324"/>
        <w:spacing w:after="0" w:line="312"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w:t>
      </w:r>
    </w:p>
    <w:p>
      <w:pPr>
        <w:sectPr>
          <w:pgSz w:w="11900" w:h="16838" w:orient="portrait"/>
          <w:cols w:equalWidth="0" w:num="1">
            <w:col w:w="9039"/>
          </w:cols>
          <w:pgMar w:left="1420" w:top="125" w:right="1440" w:bottom="1440" w:gutter="0" w:footer="0" w:header="0"/>
        </w:sect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acquired in excess of 15% of our outstanding voting stock, unless the merger or combination is approved in a prescribed manner.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Recent Sales of Unregistered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August 2019, the Company executed an Amended and Restated Loan and Security Agreement (the 2019 Credit Facility), which amended and restated the 2017 Credit Facility, providing for a formula revolving line of credit (Line of Credit) and a term loan (2019 Term Loan) with Silicon Valley Bank to refinance in full the outstanding principal balance of $8.0 million under the 2017 Credit Facility. The Company paid the final payment of $0.8 million, which was due upon repayment of the 2017 Credit Facility.</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Line of Credit allows for a maximum draw of $5.0 million, subject to a formula borrowing base, has a two year term and bears interest at a floating rate equal to the Wall Street Journal (WSJ) prime rate plus 1.5%, per annum, subject to a floor of 6.75%. The Line of Credit provides for a commitment fee of 1.6% of the maximum availability of the Line of Credit, due upon closing, and a termination fee equal to 1% of the maximum availability under the Line of Credit, which is due in case of a termination of the Line of Credit prior to the scheduled maturity date. The Company drew $2.0 million at execution to pay off a portion of the outstanding balance of the 2017 Credit Facility, and $3.0 million remains available under the Line of Credit, subject to borrowing base availability.</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2019 Term Loan provides for a $6.0 million term loan funded in full at closing, with a term of 42 months, and a 12-month interest only period followed by 30 months of equal principal payments, plus accrued interest. The 2019 Term Loan bears interest at a floating rate equal to the WSJ prime rate minus 0.75%, subject to a floor of 4.75%. A final payment of 7% of the original principal amount of the 2019 Term Loan must be made when the 2019 Term Loan is prepaid or repaid, whether at maturity or as a result of a prepayment or acceleration or otherwise. The 2019 Term Loan has a prepayment fee equal to 2% of the total commitment, which is due only if the 2019 Term Loan is prepaid prior to the scheduled maturity date for any reason.</w:t>
      </w:r>
    </w:p>
    <w:p>
      <w:pPr>
        <w:spacing w:after="0" w:line="18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2019 Credit Facility contains customary representations, warranties and affirmative and restrictive covenants, including restrictions on dispositions of assets, indebtedness, liens, distributions and transactions with affiliates. Events of default include, among other things, payment defaults, covenant defaults, cross-defaults to other indebtedness or material agreements, insolvency defaults, attachment of collateral, and a material adverse change event of default. If an event of default occurs and is not cured or waived, Silicon Valley Bank could accelerate the maturity of all obligations under the 2019 Credit Facility, apply the default rate of 5.0%, and exercise secured party remedies.</w:t>
      </w:r>
    </w:p>
    <w:p>
      <w:pPr>
        <w:spacing w:after="0" w:line="17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2019 Credit Facility contains a financial covenant, which requires the Company to maintain a minimum liquidity ratio. The obligations under the 2019 Credit Facility are secured by a first priority perfected security interest in the Company’s assets excluding intellectual property.</w:t>
      </w:r>
    </w:p>
    <w:p>
      <w:pPr>
        <w:spacing w:after="0" w:line="18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conjunction with entering into the 2019 Credit Facility, on August 5, 2019, the Company and SVB amended and restated the warrant issued to SVB in connection with the First Amendment, which was a warrant to purchase 9,375 shares of the Company’s common stock at $8.91 per share, to add an option by SVB to put the warrant back to the Company for $50,000 upon expiration or a liquidity event, to be prorated if SVB exercises a portion of the warrant. The</w:t>
      </w:r>
    </w:p>
    <w:p>
      <w:pPr>
        <w:sectPr>
          <w:pgSz w:w="11900" w:h="16838" w:orient="portrait"/>
          <w:cols w:equalWidth="0" w:num="1">
            <w:col w:w="9060"/>
          </w:cols>
          <w:pgMar w:left="1420" w:top="125"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19"/>
        <w:spacing w:after="0" w:line="277" w:lineRule="auto"/>
        <w:rPr>
          <w:sz w:val="20"/>
          <w:szCs w:val="20"/>
          <w:color w:val="auto"/>
        </w:rPr>
      </w:pPr>
      <w:r>
        <w:rPr>
          <w:rFonts w:ascii="Arial" w:cs="Arial" w:eastAsia="Arial" w:hAnsi="Arial"/>
          <w:sz w:val="18"/>
          <w:szCs w:val="18"/>
          <w:color w:val="auto"/>
        </w:rPr>
        <w:t>warrant expires on July 6, 2023. The amendment and restatement of the warrant was made in reliance on Section 4(a)(2) of the Securities Act of 1933, as amended, in that it was made with one sophisticated investor.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5"/>
              </w:rPr>
              <w:t>Incorporation By Reference</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gridSpan w:val="15"/>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vMerge w:val="restart"/>
          </w:tcPr>
          <w:p>
            <w:pPr>
              <w:spacing w:after="0"/>
              <w:rPr>
                <w:sz w:val="10"/>
                <w:szCs w:val="10"/>
                <w:color w:val="auto"/>
              </w:rPr>
            </w:pPr>
          </w:p>
        </w:tc>
        <w:tc>
          <w:tcPr>
            <w:tcW w:w="17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SEC File No.</w:t>
            </w:r>
          </w:p>
        </w:tc>
        <w:tc>
          <w:tcPr>
            <w:tcW w:w="160" w:type="dxa"/>
            <w:vAlign w:val="bottom"/>
            <w:vMerge w:val="restart"/>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0"/>
                <w:szCs w:val="10"/>
                <w:color w:val="auto"/>
              </w:rPr>
            </w:pPr>
          </w:p>
        </w:tc>
        <w:tc>
          <w:tcPr>
            <w:tcW w:w="15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15"/>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4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2"/>
                <w:szCs w:val="22"/>
                <w:color w:val="auto"/>
              </w:rPr>
            </w:pPr>
          </w:p>
        </w:tc>
        <w:tc>
          <w:tcPr>
            <w:tcW w:w="2700" w:type="dxa"/>
            <w:vAlign w:val="bottom"/>
            <w:tcBorders>
              <w:bottom w:val="single" w:sz="8" w:color="0000EE"/>
            </w:tcBorders>
            <w:gridSpan w:val="13"/>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Amended and Restated Certificate of</w:t>
              </w:r>
            </w:hyperlink>
          </w:p>
        </w:tc>
        <w:tc>
          <w:tcPr>
            <w:tcW w:w="480" w:type="dxa"/>
            <w:vAlign w:val="bottom"/>
            <w:gridSpan w:val="8"/>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Incorporation.</w:t>
              </w:r>
            </w:hyperlink>
          </w:p>
        </w:tc>
        <w:tc>
          <w:tcPr>
            <w:tcW w:w="2140" w:type="dxa"/>
            <w:vAlign w:val="bottom"/>
            <w:gridSpan w:val="16"/>
          </w:tcPr>
          <w:p>
            <w:pPr>
              <w:spacing w:after="0"/>
              <w:rPr>
                <w:sz w:val="17"/>
                <w:szCs w:val="17"/>
                <w:color w:val="auto"/>
              </w:rPr>
            </w:pPr>
          </w:p>
        </w:tc>
        <w:tc>
          <w:tcPr>
            <w:tcW w:w="70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800" w:type="dxa"/>
            <w:vAlign w:val="bottom"/>
            <w:tcBorders>
              <w:bottom w:val="single" w:sz="8" w:color="0000EE"/>
            </w:tcBorders>
            <w:gridSpan w:val="14"/>
          </w:tcPr>
          <w:p>
            <w:pPr>
              <w:spacing w:after="0"/>
              <w:rPr>
                <w:rFonts w:ascii="Arial" w:cs="Arial" w:eastAsia="Arial" w:hAnsi="Arial"/>
                <w:sz w:val="18"/>
                <w:szCs w:val="18"/>
                <w:color w:val="0000EE"/>
                <w:w w:val="89"/>
              </w:rPr>
            </w:pPr>
            <w:hyperlink r:id="rId69">
              <w:r>
                <w:rPr>
                  <w:rFonts w:ascii="Arial" w:cs="Arial" w:eastAsia="Arial" w:hAnsi="Arial"/>
                  <w:sz w:val="18"/>
                  <w:szCs w:val="18"/>
                  <w:color w:val="0000EE"/>
                  <w:w w:val="89"/>
                </w:rPr>
                <w:t>Amendment to Amended and Restated</w:t>
              </w:r>
            </w:hyperlink>
          </w:p>
        </w:tc>
        <w:tc>
          <w:tcPr>
            <w:tcW w:w="38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Certificate of Incorporation</w:t>
              </w:r>
            </w:hyperlink>
          </w:p>
        </w:tc>
        <w:tc>
          <w:tcPr>
            <w:tcW w:w="70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Arial" w:cs="Arial" w:eastAsia="Arial" w:hAnsi="Arial"/>
                <w:sz w:val="18"/>
                <w:szCs w:val="18"/>
                <w:color w:val="auto"/>
                <w:w w:val="89"/>
              </w:rPr>
              <w:t>5/22/2019</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140" w:type="dxa"/>
            <w:vAlign w:val="bottom"/>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70">
              <w:r>
                <w:rPr>
                  <w:rFonts w:ascii="Arial" w:cs="Arial" w:eastAsia="Arial" w:hAnsi="Arial"/>
                  <w:sz w:val="18"/>
                  <w:szCs w:val="18"/>
                  <w:color w:val="0000EE"/>
                  <w:w w:val="93"/>
                </w:rPr>
                <w:t>Bylaws.</w:t>
              </w:r>
            </w:hyperlink>
          </w:p>
        </w:tc>
        <w:tc>
          <w:tcPr>
            <w:tcW w:w="1380" w:type="dxa"/>
            <w:vAlign w:val="bottom"/>
            <w:tcBorders>
              <w:top w:val="single" w:sz="8" w:color="0000EE"/>
            </w:tcBorders>
            <w:gridSpan w:val="4"/>
          </w:tcPr>
          <w:p>
            <w:pPr>
              <w:spacing w:after="0"/>
              <w:rPr>
                <w:sz w:val="17"/>
                <w:szCs w:val="17"/>
                <w:color w:val="auto"/>
              </w:rPr>
            </w:pPr>
          </w:p>
        </w:tc>
        <w:tc>
          <w:tcPr>
            <w:tcW w:w="1200" w:type="dxa"/>
            <w:vAlign w:val="bottom"/>
            <w:gridSpan w:val="14"/>
          </w:tcPr>
          <w:p>
            <w:pPr>
              <w:spacing w:after="0"/>
              <w:rPr>
                <w:sz w:val="17"/>
                <w:szCs w:val="17"/>
                <w:color w:val="auto"/>
              </w:rPr>
            </w:pPr>
          </w:p>
        </w:tc>
        <w:tc>
          <w:tcPr>
            <w:tcW w:w="70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Arial" w:cs="Arial" w:eastAsia="Arial" w:hAnsi="Arial"/>
                <w:sz w:val="18"/>
                <w:szCs w:val="18"/>
                <w:color w:val="auto"/>
                <w:w w:val="89"/>
              </w:rPr>
              <w:t>5/22/2019</w:t>
            </w: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180" w:type="dxa"/>
            <w:vAlign w:val="bottom"/>
            <w:gridSpan w:val="21"/>
          </w:tcPr>
          <w:p>
            <w:pPr>
              <w:spacing w:after="0"/>
              <w:rPr>
                <w:rFonts w:ascii="Arial" w:cs="Arial" w:eastAsia="Arial" w:hAnsi="Arial"/>
                <w:sz w:val="18"/>
                <w:szCs w:val="18"/>
                <w:color w:val="0000EE"/>
                <w:w w:val="96"/>
              </w:rPr>
            </w:pPr>
            <w:hyperlink r:id="rId71">
              <w:r>
                <w:rPr>
                  <w:rFonts w:ascii="Arial" w:cs="Arial" w:eastAsia="Arial" w:hAnsi="Arial"/>
                  <w:sz w:val="18"/>
                  <w:szCs w:val="18"/>
                  <w:color w:val="0000EE"/>
                  <w:w w:val="96"/>
                </w:rPr>
                <w:t>Form of Common Stock Certificate of the</w:t>
              </w:r>
            </w:hyperlink>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Company.</w:t>
              </w:r>
            </w:hyperlink>
          </w:p>
        </w:tc>
        <w:tc>
          <w:tcPr>
            <w:tcW w:w="160" w:type="dxa"/>
            <w:vAlign w:val="bottom"/>
            <w:gridSpan w:val="2"/>
          </w:tcPr>
          <w:p>
            <w:pPr>
              <w:spacing w:after="0"/>
              <w:rPr>
                <w:sz w:val="17"/>
                <w:szCs w:val="17"/>
                <w:color w:val="auto"/>
              </w:rPr>
            </w:pPr>
          </w:p>
        </w:tc>
        <w:tc>
          <w:tcPr>
            <w:tcW w:w="70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2"/>
              </w:rPr>
              <w:t>S-1</w:t>
            </w:r>
          </w:p>
        </w:tc>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333-213569</w:t>
            </w: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Arial" w:cs="Arial" w:eastAsia="Arial" w:hAnsi="Arial"/>
                <w:sz w:val="18"/>
                <w:szCs w:val="18"/>
                <w:color w:val="auto"/>
                <w:w w:val="89"/>
              </w:rPr>
              <w:t>9/09/2016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700" w:type="dxa"/>
            <w:vAlign w:val="bottom"/>
            <w:tcBorders>
              <w:bottom w:val="single" w:sz="8" w:color="0000EE"/>
            </w:tcBorders>
            <w:gridSpan w:val="13"/>
          </w:tcPr>
          <w:p>
            <w:pPr>
              <w:spacing w:after="0"/>
              <w:rPr>
                <w:rFonts w:ascii="Arial" w:cs="Arial" w:eastAsia="Arial" w:hAnsi="Arial"/>
                <w:sz w:val="18"/>
                <w:szCs w:val="18"/>
                <w:color w:val="0000EE"/>
                <w:w w:val="89"/>
              </w:rPr>
            </w:pPr>
            <w:hyperlink r:id="rId72">
              <w:r>
                <w:rPr>
                  <w:rFonts w:ascii="Arial" w:cs="Arial" w:eastAsia="Arial" w:hAnsi="Arial"/>
                  <w:sz w:val="18"/>
                  <w:szCs w:val="18"/>
                  <w:color w:val="0000EE"/>
                  <w:w w:val="89"/>
                </w:rPr>
                <w:t>Warrant to Purchase Common Stock,</w:t>
              </w:r>
            </w:hyperlink>
          </w:p>
        </w:tc>
        <w:tc>
          <w:tcPr>
            <w:tcW w:w="480" w:type="dxa"/>
            <w:vAlign w:val="bottom"/>
            <w:gridSpan w:val="8"/>
          </w:tcPr>
          <w:p>
            <w:pPr>
              <w:spacing w:after="0"/>
              <w:rPr>
                <w:sz w:val="18"/>
                <w:szCs w:val="18"/>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8/09/2018</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72">
              <w:r>
                <w:rPr>
                  <w:rFonts w:ascii="Arial" w:cs="Arial" w:eastAsia="Arial" w:hAnsi="Arial"/>
                  <w:sz w:val="18"/>
                  <w:szCs w:val="18"/>
                  <w:color w:val="0000EE"/>
                  <w:w w:val="88"/>
                </w:rPr>
                <w:t>dated as of July 6, 2018, between the</w:t>
              </w:r>
            </w:hyperlink>
          </w:p>
        </w:tc>
        <w:tc>
          <w:tcPr>
            <w:tcW w:w="50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Company and Silicon Valley Bank.</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3180" w:type="dxa"/>
            <w:vAlign w:val="bottom"/>
            <w:gridSpan w:val="21"/>
          </w:tcPr>
          <w:p>
            <w:pPr>
              <w:spacing w:after="0"/>
              <w:rPr>
                <w:sz w:val="20"/>
                <w:szCs w:val="20"/>
                <w:color w:val="auto"/>
              </w:rPr>
            </w:pPr>
            <w:r>
              <w:rPr>
                <w:rFonts w:ascii="Arial" w:cs="Arial" w:eastAsia="Arial" w:hAnsi="Arial"/>
                <w:sz w:val="18"/>
                <w:szCs w:val="18"/>
                <w:color w:val="auto"/>
              </w:rPr>
              <w:t>Reference is made to Exhibits 3.1, 3.2</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gridSpan w:val="21"/>
          </w:tcPr>
          <w:p>
            <w:pPr>
              <w:spacing w:after="0"/>
              <w:rPr>
                <w:sz w:val="20"/>
                <w:szCs w:val="20"/>
                <w:color w:val="auto"/>
              </w:rPr>
            </w:pPr>
            <w:r>
              <w:rPr>
                <w:rFonts w:ascii="Arial" w:cs="Arial" w:eastAsia="Arial" w:hAnsi="Arial"/>
                <w:sz w:val="18"/>
                <w:szCs w:val="18"/>
                <w:color w:val="auto"/>
              </w:rPr>
              <w:t>and 3.3.</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6"/>
                <w:szCs w:val="16"/>
                <w:color w:val="auto"/>
              </w:rPr>
            </w:pPr>
          </w:p>
        </w:tc>
        <w:tc>
          <w:tcPr>
            <w:tcW w:w="2900" w:type="dxa"/>
            <w:vAlign w:val="bottom"/>
            <w:tcBorders>
              <w:bottom w:val="single" w:sz="8" w:color="0000EE"/>
            </w:tcBorders>
            <w:gridSpan w:val="16"/>
          </w:tcPr>
          <w:p>
            <w:pPr>
              <w:spacing w:after="0" w:line="190"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Third Amendment to Loan and Security</w:t>
              </w:r>
            </w:hyperlink>
          </w:p>
        </w:tc>
        <w:tc>
          <w:tcPr>
            <w:tcW w:w="280" w:type="dxa"/>
            <w:vAlign w:val="bottom"/>
            <w:gridSpan w:val="5"/>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w w:val="98"/>
              </w:rPr>
            </w:pPr>
            <w:hyperlink w:anchor="page57">
              <w:r>
                <w:rPr>
                  <w:rFonts w:ascii="Arial" w:cs="Arial" w:eastAsia="Arial" w:hAnsi="Arial"/>
                  <w:sz w:val="18"/>
                  <w:szCs w:val="18"/>
                  <w:color w:val="0000EE"/>
                  <w:w w:val="98"/>
                </w:rPr>
                <w:t>Agreement, dated June 19, 2019 by and</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between the registrant and Silicon Valley</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Bank</w:t>
              </w:r>
            </w:hyperlink>
          </w:p>
        </w:tc>
        <w:tc>
          <w:tcPr>
            <w:tcW w:w="22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318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Non-employee Director Compensation</w:t>
              </w:r>
            </w:hyperlink>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25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4"/>
              </w:rPr>
            </w:pPr>
            <w:hyperlink w:anchor="page68">
              <w:r>
                <w:rPr>
                  <w:rFonts w:ascii="Arial" w:cs="Arial" w:eastAsia="Arial" w:hAnsi="Arial"/>
                  <w:sz w:val="18"/>
                  <w:szCs w:val="18"/>
                  <w:color w:val="0000EE"/>
                  <w:w w:val="94"/>
                </w:rPr>
                <w:t>Certification of Principal Executive</w:t>
              </w:r>
            </w:hyperlink>
          </w:p>
        </w:tc>
        <w:tc>
          <w:tcPr>
            <w:tcW w:w="220" w:type="dxa"/>
            <w:vAlign w:val="bottom"/>
            <w:tcBorders>
              <w:top w:val="single" w:sz="8" w:color="0000EE"/>
            </w:tcBorders>
            <w:gridSpan w:val="4"/>
          </w:tcPr>
          <w:p>
            <w:pPr>
              <w:spacing w:after="0"/>
              <w:rPr>
                <w:sz w:val="19"/>
                <w:szCs w:val="19"/>
                <w:color w:val="auto"/>
              </w:rPr>
            </w:pPr>
          </w:p>
        </w:tc>
        <w:tc>
          <w:tcPr>
            <w:tcW w:w="380" w:type="dxa"/>
            <w:vAlign w:val="bottom"/>
            <w:gridSpan w:val="7"/>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Officer Pursuant to Rules 13a-14(a) and</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15d-14(a) under the Securities Exchange</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Act of 1934, as Adopted Pursuant to</w:t>
              </w:r>
            </w:hyperlink>
          </w:p>
        </w:tc>
        <w:tc>
          <w:tcPr>
            <w:tcW w:w="300" w:type="dxa"/>
            <w:vAlign w:val="bottom"/>
            <w:tcBorders>
              <w:top w:val="single" w:sz="8" w:color="0000EE"/>
            </w:tcBorders>
            <w:gridSpan w:val="6"/>
          </w:tcPr>
          <w:p>
            <w:pPr>
              <w:spacing w:after="0"/>
              <w:rPr>
                <w:sz w:val="17"/>
                <w:szCs w:val="17"/>
                <w:color w:val="auto"/>
              </w:rPr>
            </w:pPr>
          </w:p>
        </w:tc>
        <w:tc>
          <w:tcPr>
            <w:tcW w:w="24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Section 302 of the Sarbanes-Oxley Act of</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2002.</w:t>
              </w:r>
            </w:hyperlink>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318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Certification of Principal Financial</w:t>
              </w:r>
            </w:hyperlink>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w w:val="98"/>
              </w:rPr>
            </w:pPr>
            <w:hyperlink w:anchor="page69">
              <w:r>
                <w:rPr>
                  <w:rFonts w:ascii="Arial" w:cs="Arial" w:eastAsia="Arial" w:hAnsi="Arial"/>
                  <w:sz w:val="18"/>
                  <w:szCs w:val="18"/>
                  <w:color w:val="0000EE"/>
                  <w:w w:val="98"/>
                </w:rPr>
                <w:t>Officer Pursuant to Rules 13a-14(a) and</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w w:val="96"/>
              </w:rPr>
            </w:pPr>
            <w:hyperlink w:anchor="page69">
              <w:r>
                <w:rPr>
                  <w:rFonts w:ascii="Arial" w:cs="Arial" w:eastAsia="Arial" w:hAnsi="Arial"/>
                  <w:sz w:val="18"/>
                  <w:szCs w:val="18"/>
                  <w:color w:val="0000EE"/>
                  <w:w w:val="96"/>
                </w:rPr>
                <w:t>15d-14(a) under the Securities Exchange</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Act of 1934, as Adopted Pursuant to</w:t>
              </w:r>
            </w:hyperlink>
          </w:p>
        </w:tc>
        <w:tc>
          <w:tcPr>
            <w:tcW w:w="300" w:type="dxa"/>
            <w:vAlign w:val="bottom"/>
            <w:tcBorders>
              <w:top w:val="single" w:sz="8" w:color="0000EE"/>
            </w:tcBorders>
            <w:gridSpan w:val="6"/>
          </w:tcPr>
          <w:p>
            <w:pPr>
              <w:spacing w:after="0"/>
              <w:rPr>
                <w:sz w:val="17"/>
                <w:szCs w:val="17"/>
                <w:color w:val="auto"/>
              </w:rPr>
            </w:pPr>
          </w:p>
        </w:tc>
        <w:tc>
          <w:tcPr>
            <w:tcW w:w="24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Section 302 of the Sarbanes-Oxley Act of</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2002.</w:t>
              </w:r>
            </w:hyperlink>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258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70">
              <w:r>
                <w:rPr>
                  <w:rFonts w:ascii="Arial" w:cs="Arial" w:eastAsia="Arial" w:hAnsi="Arial"/>
                  <w:sz w:val="18"/>
                  <w:szCs w:val="18"/>
                  <w:color w:val="0000EE"/>
                  <w:w w:val="94"/>
                </w:rPr>
                <w:t>Certification of Principal Executive</w:t>
              </w:r>
            </w:hyperlink>
          </w:p>
        </w:tc>
        <w:tc>
          <w:tcPr>
            <w:tcW w:w="600" w:type="dxa"/>
            <w:vAlign w:val="bottom"/>
            <w:gridSpan w:val="11"/>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Officer and Principal Financial Officer</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Pursuant to 18 U.S.C. Section 1350, as</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Adopted Pursuant to Section 906 of the</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Sarbanes-Oxley Act of 2002.</w:t>
              </w:r>
            </w:hyperlink>
          </w:p>
        </w:tc>
        <w:tc>
          <w:tcPr>
            <w:tcW w:w="32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1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XBRL Instance Document</w:t>
            </w:r>
          </w:p>
        </w:tc>
        <w:tc>
          <w:tcPr>
            <w:tcW w:w="1080" w:type="dxa"/>
            <w:vAlign w:val="bottom"/>
            <w:gridSpan w:val="13"/>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180" w:type="dxa"/>
            <w:vAlign w:val="bottom"/>
            <w:gridSpan w:val="21"/>
          </w:tcPr>
          <w:p>
            <w:pPr>
              <w:spacing w:after="0"/>
              <w:rPr>
                <w:sz w:val="20"/>
                <w:szCs w:val="20"/>
                <w:color w:val="auto"/>
              </w:rPr>
            </w:pPr>
            <w:r>
              <w:rPr>
                <w:rFonts w:ascii="Arial" w:cs="Arial" w:eastAsia="Arial" w:hAnsi="Arial"/>
                <w:sz w:val="18"/>
                <w:szCs w:val="18"/>
                <w:color w:val="auto"/>
              </w:rPr>
              <w:t>XBRL Taxonomy Extension Schema</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180" w:type="dxa"/>
            <w:vAlign w:val="bottom"/>
            <w:gridSpan w:val="21"/>
          </w:tcPr>
          <w:p>
            <w:pPr>
              <w:spacing w:after="0"/>
              <w:rPr>
                <w:sz w:val="20"/>
                <w:szCs w:val="20"/>
                <w:color w:val="auto"/>
              </w:rPr>
            </w:pPr>
            <w:r>
              <w:rPr>
                <w:rFonts w:ascii="Arial" w:cs="Arial" w:eastAsia="Arial" w:hAnsi="Arial"/>
                <w:sz w:val="18"/>
                <w:szCs w:val="18"/>
                <w:color w:val="auto"/>
              </w:rPr>
              <w:t>XBRL Taxonomy Extension Calculation</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21"/>
          </w:tcPr>
          <w:p>
            <w:pPr>
              <w:spacing w:after="0"/>
              <w:rPr>
                <w:sz w:val="20"/>
                <w:szCs w:val="20"/>
                <w:color w:val="auto"/>
              </w:rPr>
            </w:pPr>
            <w:r>
              <w:rPr>
                <w:rFonts w:ascii="Arial" w:cs="Arial" w:eastAsia="Arial" w:hAnsi="Arial"/>
                <w:sz w:val="18"/>
                <w:szCs w:val="18"/>
                <w:color w:val="auto"/>
              </w:rPr>
              <w:t>Linkbase Document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180" w:type="dxa"/>
            <w:vAlign w:val="bottom"/>
            <w:gridSpan w:val="21"/>
          </w:tcPr>
          <w:p>
            <w:pPr>
              <w:spacing w:after="0"/>
              <w:rPr>
                <w:sz w:val="20"/>
                <w:szCs w:val="20"/>
                <w:color w:val="auto"/>
              </w:rPr>
            </w:pPr>
            <w:r>
              <w:rPr>
                <w:rFonts w:ascii="Arial" w:cs="Arial" w:eastAsia="Arial" w:hAnsi="Arial"/>
                <w:sz w:val="18"/>
                <w:szCs w:val="18"/>
                <w:color w:val="auto"/>
              </w:rPr>
              <w:t>XBRL Taxonomy Extension Definition</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21"/>
          </w:tcPr>
          <w:p>
            <w:pPr>
              <w:spacing w:after="0"/>
              <w:rPr>
                <w:sz w:val="20"/>
                <w:szCs w:val="20"/>
                <w:color w:val="auto"/>
              </w:rPr>
            </w:pPr>
            <w:r>
              <w:rPr>
                <w:rFonts w:ascii="Arial" w:cs="Arial" w:eastAsia="Arial" w:hAnsi="Arial"/>
                <w:sz w:val="18"/>
                <w:szCs w:val="18"/>
                <w:color w:val="auto"/>
              </w:rPr>
              <w:t>Linkbase Document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180" w:type="dxa"/>
            <w:vAlign w:val="bottom"/>
            <w:gridSpan w:val="21"/>
          </w:tcPr>
          <w:p>
            <w:pPr>
              <w:spacing w:after="0"/>
              <w:rPr>
                <w:sz w:val="20"/>
                <w:szCs w:val="20"/>
                <w:color w:val="auto"/>
              </w:rPr>
            </w:pPr>
            <w:r>
              <w:rPr>
                <w:rFonts w:ascii="Arial" w:cs="Arial" w:eastAsia="Arial" w:hAnsi="Arial"/>
                <w:sz w:val="18"/>
                <w:szCs w:val="18"/>
                <w:color w:val="auto"/>
              </w:rPr>
              <w:t>XBRL Taxonomy Extension Label</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21"/>
          </w:tcPr>
          <w:p>
            <w:pPr>
              <w:spacing w:after="0"/>
              <w:rPr>
                <w:sz w:val="20"/>
                <w:szCs w:val="20"/>
                <w:color w:val="auto"/>
              </w:rPr>
            </w:pPr>
            <w:r>
              <w:rPr>
                <w:rFonts w:ascii="Arial" w:cs="Arial" w:eastAsia="Arial" w:hAnsi="Arial"/>
                <w:sz w:val="18"/>
                <w:szCs w:val="18"/>
                <w:color w:val="auto"/>
              </w:rPr>
              <w:t>Linkbase Document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180" w:type="dxa"/>
            <w:vAlign w:val="bottom"/>
            <w:gridSpan w:val="21"/>
          </w:tcPr>
          <w:p>
            <w:pPr>
              <w:spacing w:after="0"/>
              <w:rPr>
                <w:sz w:val="20"/>
                <w:szCs w:val="20"/>
                <w:color w:val="auto"/>
              </w:rPr>
            </w:pPr>
            <w:r>
              <w:rPr>
                <w:rFonts w:ascii="Arial" w:cs="Arial" w:eastAsia="Arial" w:hAnsi="Arial"/>
                <w:sz w:val="18"/>
                <w:szCs w:val="18"/>
                <w:color w:val="auto"/>
                <w:w w:val="96"/>
              </w:rPr>
              <w:t>XBRL Taxonomy Extension Presentation</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21"/>
          </w:tcPr>
          <w:p>
            <w:pPr>
              <w:spacing w:after="0"/>
              <w:rPr>
                <w:sz w:val="20"/>
                <w:szCs w:val="20"/>
                <w:color w:val="auto"/>
              </w:rPr>
            </w:pPr>
            <w:r>
              <w:rPr>
                <w:rFonts w:ascii="Arial" w:cs="Arial" w:eastAsia="Arial" w:hAnsi="Arial"/>
                <w:sz w:val="18"/>
                <w:szCs w:val="18"/>
                <w:color w:val="auto"/>
              </w:rPr>
              <w:t>Linkbase Document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320" w:hanging="317"/>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6080" w:type="dxa"/>
            <w:vAlign w:val="bottom"/>
            <w:gridSpan w:val="2"/>
          </w:tcPr>
          <w:p>
            <w:pPr>
              <w:ind w:left="2240"/>
              <w:spacing w:after="0"/>
              <w:rPr>
                <w:sz w:val="20"/>
                <w:szCs w:val="20"/>
                <w:color w:val="auto"/>
              </w:rPr>
            </w:pPr>
            <w:r>
              <w:rPr>
                <w:rFonts w:ascii="Arial" w:cs="Arial" w:eastAsia="Arial" w:hAnsi="Arial"/>
                <w:sz w:val="18"/>
                <w:szCs w:val="18"/>
                <w:color w:val="auto"/>
              </w:rPr>
              <w:t>Everspin Technologies, Inc.</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Date: August 7, 2019</w:t>
            </w:r>
          </w:p>
        </w:tc>
        <w:tc>
          <w:tcPr>
            <w:tcW w:w="6080" w:type="dxa"/>
            <w:vAlign w:val="bottom"/>
            <w:gridSpan w:val="2"/>
          </w:tcPr>
          <w:p>
            <w:pPr>
              <w:ind w:left="2240"/>
              <w:spacing w:after="0"/>
              <w:rPr>
                <w:sz w:val="20"/>
                <w:szCs w:val="20"/>
                <w:color w:val="auto"/>
              </w:rPr>
            </w:pPr>
            <w:r>
              <w:rPr>
                <w:rFonts w:ascii="Arial" w:cs="Arial" w:eastAsia="Arial" w:hAnsi="Arial"/>
                <w:sz w:val="18"/>
                <w:szCs w:val="18"/>
                <w:color w:val="auto"/>
              </w:rPr>
              <w:t>By: /s/ Kevin Conley</w:t>
            </w:r>
          </w:p>
        </w:tc>
      </w:tr>
      <w:tr>
        <w:trPr>
          <w:trHeight w:val="195"/>
        </w:trPr>
        <w:tc>
          <w:tcPr>
            <w:tcW w:w="29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Conley</w:t>
            </w:r>
          </w:p>
        </w:tc>
      </w:tr>
      <w:tr>
        <w:trPr>
          <w:trHeight w:val="216"/>
        </w:trPr>
        <w:tc>
          <w:tcPr>
            <w:tcW w:w="2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(Duly Authorized Officer and Principal</w:t>
            </w:r>
          </w:p>
        </w:tc>
      </w:tr>
      <w:tr>
        <w:trPr>
          <w:trHeight w:val="230"/>
        </w:trPr>
        <w:tc>
          <w:tcPr>
            <w:tcW w:w="29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432"/>
        </w:trPr>
        <w:tc>
          <w:tcPr>
            <w:tcW w:w="2980" w:type="dxa"/>
            <w:vAlign w:val="bottom"/>
          </w:tcPr>
          <w:p>
            <w:pPr>
              <w:spacing w:after="0"/>
              <w:rPr>
                <w:sz w:val="24"/>
                <w:szCs w:val="24"/>
                <w:color w:val="auto"/>
              </w:rPr>
            </w:pPr>
          </w:p>
        </w:tc>
        <w:tc>
          <w:tcPr>
            <w:tcW w:w="6080" w:type="dxa"/>
            <w:vAlign w:val="bottom"/>
            <w:gridSpan w:val="2"/>
          </w:tcPr>
          <w:p>
            <w:pPr>
              <w:ind w:left="2240"/>
              <w:spacing w:after="0"/>
              <w:rPr>
                <w:sz w:val="20"/>
                <w:szCs w:val="20"/>
                <w:color w:val="auto"/>
              </w:rPr>
            </w:pPr>
            <w:r>
              <w:rPr>
                <w:rFonts w:ascii="Arial" w:cs="Arial" w:eastAsia="Arial" w:hAnsi="Arial"/>
                <w:sz w:val="18"/>
                <w:szCs w:val="18"/>
                <w:color w:val="auto"/>
              </w:rPr>
              <w:t>Everspin Technologies, Inc.</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Date: August 7, 2019</w:t>
            </w:r>
          </w:p>
        </w:tc>
        <w:tc>
          <w:tcPr>
            <w:tcW w:w="6080" w:type="dxa"/>
            <w:vAlign w:val="bottom"/>
            <w:gridSpan w:val="2"/>
          </w:tcPr>
          <w:p>
            <w:pPr>
              <w:ind w:left="2240"/>
              <w:spacing w:after="0"/>
              <w:rPr>
                <w:sz w:val="20"/>
                <w:szCs w:val="20"/>
                <w:color w:val="auto"/>
              </w:rPr>
            </w:pPr>
            <w:r>
              <w:rPr>
                <w:rFonts w:ascii="Arial" w:cs="Arial" w:eastAsia="Arial" w:hAnsi="Arial"/>
                <w:sz w:val="18"/>
                <w:szCs w:val="18"/>
                <w:color w:val="auto"/>
              </w:rPr>
              <w:t>By: /s/ Jeffrey Winzeler</w:t>
            </w:r>
          </w:p>
        </w:tc>
      </w:tr>
      <w:tr>
        <w:trPr>
          <w:trHeight w:val="195"/>
        </w:trPr>
        <w:tc>
          <w:tcPr>
            <w:tcW w:w="29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Winzeler</w:t>
            </w:r>
          </w:p>
        </w:tc>
      </w:tr>
      <w:tr>
        <w:trPr>
          <w:trHeight w:val="216"/>
        </w:trPr>
        <w:tc>
          <w:tcPr>
            <w:tcW w:w="2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62"/>
        </w:trPr>
        <w:tc>
          <w:tcPr>
            <w:tcW w:w="2980" w:type="dxa"/>
            <w:vAlign w:val="bottom"/>
          </w:tcPr>
          <w:p>
            <w:pPr>
              <w:spacing w:after="0"/>
              <w:rPr>
                <w:sz w:val="24"/>
                <w:szCs w:val="24"/>
                <w:color w:val="auto"/>
              </w:rPr>
            </w:pPr>
          </w:p>
        </w:tc>
        <w:tc>
          <w:tcPr>
            <w:tcW w:w="2520" w:type="dxa"/>
            <w:vAlign w:val="bottom"/>
          </w:tcPr>
          <w:p>
            <w:pPr>
              <w:ind w:left="1460"/>
              <w:spacing w:after="0"/>
              <w:rPr>
                <w:sz w:val="20"/>
                <w:szCs w:val="20"/>
                <w:color w:val="auto"/>
              </w:rPr>
            </w:pPr>
            <w:r>
              <w:rPr>
                <w:rFonts w:ascii="Arial" w:cs="Arial" w:eastAsia="Arial" w:hAnsi="Arial"/>
                <w:sz w:val="18"/>
                <w:szCs w:val="18"/>
                <w:color w:val="auto"/>
              </w:rPr>
              <w:t>56</w:t>
            </w:r>
          </w:p>
        </w:tc>
        <w:tc>
          <w:tcPr>
            <w:tcW w:w="3560" w:type="dxa"/>
            <w:vAlign w:val="bottom"/>
          </w:tcPr>
          <w:p>
            <w:pPr>
              <w:spacing w:after="0"/>
              <w:rPr>
                <w:sz w:val="24"/>
                <w:szCs w:val="24"/>
                <w:color w:val="auto"/>
              </w:rPr>
            </w:pPr>
          </w:p>
        </w:tc>
      </w:tr>
      <w:tr>
        <w:trPr>
          <w:trHeight w:val="561"/>
        </w:trPr>
        <w:tc>
          <w:tcPr>
            <w:tcW w:w="29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10.1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 AND SECURITY AGREEMENT</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THIRD AMENDMENT TO LOAN AND SECURITY AGREEMENT (this “Amendment”) is entered into this 19th day of June 2019, by and between SILICON VALLEY BANK, a California corporation “Bank”), and EVERSPIN TECHNOLOGIES, INC., a Delaware corporation (“Borrower”).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firstLine="648"/>
        <w:spacing w:after="0" w:line="287" w:lineRule="auto"/>
        <w:tabs>
          <w:tab w:leader="none" w:pos="1354" w:val="left"/>
        </w:tabs>
        <w:numPr>
          <w:ilvl w:val="0"/>
          <w:numId w:val="6"/>
        </w:numPr>
        <w:rPr>
          <w:rFonts w:ascii="Arial" w:cs="Arial" w:eastAsia="Arial" w:hAnsi="Arial"/>
          <w:sz w:val="19"/>
          <w:szCs w:val="19"/>
          <w:b w:val="1"/>
          <w:bCs w:val="1"/>
          <w:color w:val="auto"/>
        </w:rPr>
      </w:pPr>
      <w:r>
        <w:rPr>
          <w:rFonts w:ascii="Arial" w:cs="Arial" w:eastAsia="Arial" w:hAnsi="Arial"/>
          <w:sz w:val="19"/>
          <w:szCs w:val="19"/>
          <w:color w:val="auto"/>
        </w:rPr>
        <w:t xml:space="preserve">Bank and Borrower have entered into that certain Loan and Security Agreement dated as of May 4, 2017 (as the same may from time to time be amended, modified, supplemented or restated; the </w:t>
      </w:r>
      <w:r>
        <w:rPr>
          <w:rFonts w:ascii="Arial" w:cs="Arial" w:eastAsia="Arial" w:hAnsi="Arial"/>
          <w:sz w:val="19"/>
          <w:szCs w:val="19"/>
          <w:b w:val="1"/>
          <w:bCs w:val="1"/>
          <w:color w:val="auto"/>
        </w:rPr>
        <w:t>“Loan Agreement”).</w:t>
      </w:r>
    </w:p>
    <w:p>
      <w:pPr>
        <w:spacing w:after="0" w:line="152" w:lineRule="exact"/>
        <w:rPr>
          <w:rFonts w:ascii="Arial" w:cs="Arial" w:eastAsia="Arial" w:hAnsi="Arial"/>
          <w:sz w:val="19"/>
          <w:szCs w:val="19"/>
          <w:b w:val="1"/>
          <w:bCs w:val="1"/>
          <w:color w:val="auto"/>
        </w:rPr>
      </w:pPr>
    </w:p>
    <w:p>
      <w:pPr>
        <w:ind w:left="1280" w:hanging="632"/>
        <w:spacing w:after="0"/>
        <w:tabs>
          <w:tab w:leader="none" w:pos="1280" w:val="left"/>
        </w:tabs>
        <w:numPr>
          <w:ilvl w:val="0"/>
          <w:numId w:val="6"/>
        </w:numPr>
        <w:rPr>
          <w:rFonts w:ascii="Arial" w:cs="Arial" w:eastAsia="Arial" w:hAnsi="Arial"/>
          <w:sz w:val="20"/>
          <w:szCs w:val="20"/>
          <w:color w:val="auto"/>
        </w:rPr>
      </w:pPr>
      <w:r>
        <w:rPr>
          <w:rFonts w:ascii="Arial" w:cs="Arial" w:eastAsia="Arial" w:hAnsi="Arial"/>
          <w:sz w:val="20"/>
          <w:szCs w:val="20"/>
          <w:color w:val="auto"/>
        </w:rPr>
        <w:t>Bank has extended credit to Borrower for the purposes permitted in the Loan Agreement.</w:t>
      </w:r>
    </w:p>
    <w:p>
      <w:pPr>
        <w:spacing w:after="0" w:line="215" w:lineRule="exact"/>
        <w:rPr>
          <w:rFonts w:ascii="Arial" w:cs="Arial" w:eastAsia="Arial" w:hAnsi="Arial"/>
          <w:sz w:val="20"/>
          <w:szCs w:val="20"/>
          <w:color w:val="auto"/>
        </w:rPr>
      </w:pPr>
    </w:p>
    <w:p>
      <w:pPr>
        <w:ind w:firstLine="648"/>
        <w:spacing w:after="0" w:line="260" w:lineRule="auto"/>
        <w:tabs>
          <w:tab w:leader="none" w:pos="1397" w:val="left"/>
        </w:tabs>
        <w:numPr>
          <w:ilvl w:val="0"/>
          <w:numId w:val="6"/>
        </w:numPr>
        <w:rPr>
          <w:rFonts w:ascii="Arial" w:cs="Arial" w:eastAsia="Arial" w:hAnsi="Arial"/>
          <w:sz w:val="20"/>
          <w:szCs w:val="20"/>
          <w:color w:val="auto"/>
        </w:rPr>
      </w:pPr>
      <w:r>
        <w:rPr>
          <w:rFonts w:ascii="Arial" w:cs="Arial" w:eastAsia="Arial" w:hAnsi="Arial"/>
          <w:sz w:val="20"/>
          <w:szCs w:val="20"/>
          <w:color w:val="auto"/>
        </w:rPr>
        <w:t>Borrower has requested that Bank amend the Loan Agreement to modify the financial covenants and make certain revisions to the Loan Agreement as more fully set forth herein.</w:t>
      </w:r>
    </w:p>
    <w:p>
      <w:pPr>
        <w:spacing w:after="0" w:line="176" w:lineRule="exact"/>
        <w:rPr>
          <w:rFonts w:ascii="Arial" w:cs="Arial" w:eastAsia="Arial" w:hAnsi="Arial"/>
          <w:sz w:val="20"/>
          <w:szCs w:val="20"/>
          <w:color w:val="auto"/>
        </w:rPr>
      </w:pPr>
    </w:p>
    <w:p>
      <w:pPr>
        <w:jc w:val="both"/>
        <w:ind w:firstLine="648"/>
        <w:spacing w:after="0" w:line="250" w:lineRule="auto"/>
        <w:tabs>
          <w:tab w:leader="none" w:pos="1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Bank has agreed to modify the financial covenants and amend certain provisions of the Loan Agreement, but only to the extent, in accordance with the terms, subject to the conditions and in reliance upon the representations and warranties set forth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9"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and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adequacy of which is hereby acknowledged, and intending to be legally bound, the patties hereto agree as follows:</w:t>
      </w:r>
    </w:p>
    <w:p>
      <w:pPr>
        <w:spacing w:after="0" w:line="118" w:lineRule="exact"/>
        <w:rPr>
          <w:sz w:val="20"/>
          <w:szCs w:val="20"/>
          <w:color w:val="auto"/>
        </w:rPr>
      </w:pPr>
    </w:p>
    <w:p>
      <w:pPr>
        <w:ind w:right="40" w:firstLine="648"/>
        <w:spacing w:after="0" w:line="267" w:lineRule="auto"/>
        <w:tabs>
          <w:tab w:leader="none" w:pos="1292"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Capitalized terms used but not defined in this Amendment shall have the meanings given to them</w:t>
      </w:r>
      <w:r>
        <w:rPr>
          <w:rFonts w:ascii="Arial" w:cs="Arial" w:eastAsia="Arial" w:hAnsi="Arial"/>
          <w:sz w:val="20"/>
          <w:szCs w:val="20"/>
          <w:b w:val="1"/>
          <w:bCs w:val="1"/>
          <w:color w:val="auto"/>
        </w:rPr>
        <w:t xml:space="preserve"> </w:t>
      </w:r>
      <w:r>
        <w:rPr>
          <w:rFonts w:ascii="Arial" w:cs="Arial" w:eastAsia="Arial" w:hAnsi="Arial"/>
          <w:sz w:val="20"/>
          <w:szCs w:val="20"/>
          <w:color w:val="auto"/>
        </w:rPr>
        <w:t>in the Loan Agreement.</w:t>
      </w:r>
    </w:p>
    <w:p>
      <w:pPr>
        <w:spacing w:after="0" w:line="163" w:lineRule="exact"/>
        <w:rPr>
          <w:rFonts w:ascii="Arial" w:cs="Arial" w:eastAsia="Arial" w:hAnsi="Arial"/>
          <w:sz w:val="20"/>
          <w:szCs w:val="20"/>
          <w:b w:val="1"/>
          <w:bCs w:val="1"/>
          <w:color w:val="auto"/>
        </w:rPr>
      </w:pPr>
    </w:p>
    <w:p>
      <w:pPr>
        <w:ind w:left="1280" w:hanging="632"/>
        <w:spacing w:after="0"/>
        <w:tabs>
          <w:tab w:leader="none" w:pos="12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Loan Agreement.</w:t>
      </w:r>
    </w:p>
    <w:p>
      <w:pPr>
        <w:spacing w:after="0" w:line="216" w:lineRule="exact"/>
        <w:rPr>
          <w:sz w:val="20"/>
          <w:szCs w:val="20"/>
          <w:color w:val="auto"/>
        </w:rPr>
      </w:pPr>
    </w:p>
    <w:p>
      <w:pPr>
        <w:ind w:right="460" w:firstLine="1297"/>
        <w:spacing w:after="0" w:line="267" w:lineRule="auto"/>
        <w:rPr>
          <w:sz w:val="20"/>
          <w:szCs w:val="20"/>
          <w:color w:val="auto"/>
        </w:rPr>
      </w:pPr>
      <w:r>
        <w:rPr>
          <w:rFonts w:ascii="Arial" w:cs="Arial" w:eastAsia="Arial" w:hAnsi="Arial"/>
          <w:sz w:val="20"/>
          <w:szCs w:val="20"/>
          <w:b w:val="1"/>
          <w:bCs w:val="1"/>
          <w:color w:val="auto"/>
        </w:rPr>
        <w:t xml:space="preserve">2.1 Financial Covenants. </w:t>
      </w:r>
      <w:r>
        <w:rPr>
          <w:rFonts w:ascii="Arial" w:cs="Arial" w:eastAsia="Arial" w:hAnsi="Arial"/>
          <w:sz w:val="20"/>
          <w:szCs w:val="20"/>
          <w:color w:val="auto"/>
        </w:rPr>
        <w:t>Section 6.7(b) of the Loan Agreement is hereby deleted in its entirety and</w:t>
      </w:r>
      <w:r>
        <w:rPr>
          <w:rFonts w:ascii="Arial" w:cs="Arial" w:eastAsia="Arial" w:hAnsi="Arial"/>
          <w:sz w:val="20"/>
          <w:szCs w:val="20"/>
          <w:b w:val="1"/>
          <w:bCs w:val="1"/>
          <w:color w:val="auto"/>
        </w:rPr>
        <w:t xml:space="preserve"> </w:t>
      </w:r>
      <w:r>
        <w:rPr>
          <w:rFonts w:ascii="Arial" w:cs="Arial" w:eastAsia="Arial" w:hAnsi="Arial"/>
          <w:sz w:val="20"/>
          <w:szCs w:val="20"/>
          <w:color w:val="auto"/>
        </w:rPr>
        <w:t>replaced with the following:</w:t>
      </w:r>
    </w:p>
    <w:p>
      <w:pPr>
        <w:spacing w:after="0" w:line="170" w:lineRule="exact"/>
        <w:rPr>
          <w:sz w:val="20"/>
          <w:szCs w:val="20"/>
          <w:color w:val="auto"/>
        </w:rPr>
      </w:pPr>
    </w:p>
    <w:p>
      <w:pPr>
        <w:jc w:val="both"/>
        <w:ind w:left="640" w:firstLine="1304"/>
        <w:spacing w:after="0" w:line="250" w:lineRule="auto"/>
        <w:tabs>
          <w:tab w:leader="none" w:pos="2217"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Performance to Plan.</w:t>
      </w:r>
      <w:r>
        <w:rPr>
          <w:rFonts w:ascii="Arial" w:cs="Arial" w:eastAsia="Arial" w:hAnsi="Arial"/>
          <w:sz w:val="20"/>
          <w:szCs w:val="20"/>
          <w:color w:val="auto"/>
        </w:rPr>
        <w:t xml:space="preserve"> As of the last day of each month, Borrower's TFS Revenue for such month calculated on a cumulative fiscal year to date basis, shall be equal to or greater than the amount set forth for such month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of the Compliance Certificate.</w:t>
      </w:r>
    </w:p>
    <w:p>
      <w:pPr>
        <w:spacing w:after="0" w:line="186" w:lineRule="exact"/>
        <w:rPr>
          <w:sz w:val="20"/>
          <w:szCs w:val="20"/>
          <w:color w:val="auto"/>
        </w:rPr>
      </w:pPr>
    </w:p>
    <w:p>
      <w:pPr>
        <w:jc w:val="both"/>
        <w:ind w:left="640" w:firstLine="648"/>
        <w:spacing w:after="0" w:line="278" w:lineRule="auto"/>
        <w:rPr>
          <w:sz w:val="20"/>
          <w:szCs w:val="20"/>
          <w:color w:val="auto"/>
        </w:rPr>
      </w:pPr>
      <w:r>
        <w:rPr>
          <w:rFonts w:ascii="Arial" w:cs="Arial" w:eastAsia="Arial" w:hAnsi="Arial"/>
          <w:sz w:val="18"/>
          <w:szCs w:val="18"/>
          <w:color w:val="auto"/>
        </w:rPr>
        <w:t>Commencing with the month ending January 31, 2020, the Performance to Plan financial covenant set forth in this Section shall be calculated based on not less than ninety percent (90%) of Borrower's projected performance as set forth in Borrower's annual financial projections approved by Borrower's Board of Directors for the 2020 fiscal year and delivered to Bank (the "2020 Performance to Plan Financial Covenant"). Borrower's failure to reach an agreement with Bank on the 2020 Performance to Plan Financial Covenant and to execute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6" w:right="919" w:bottom="1440" w:gutter="0" w:footer="0" w:header="0"/>
        </w:sectPr>
      </w:pPr>
    </w:p>
    <w:bookmarkStart w:id="57" w:name="page58"/>
    <w:bookmarkEnd w:id="57"/>
    <w:p>
      <w:pPr>
        <w:jc w:val="both"/>
        <w:ind w:left="640"/>
        <w:spacing w:after="0" w:line="250" w:lineRule="auto"/>
        <w:rPr>
          <w:sz w:val="20"/>
          <w:szCs w:val="20"/>
          <w:color w:val="auto"/>
        </w:rPr>
      </w:pPr>
      <w:r>
        <w:rPr>
          <w:rFonts w:ascii="Arial" w:cs="Arial" w:eastAsia="Arial" w:hAnsi="Arial"/>
          <w:sz w:val="20"/>
          <w:szCs w:val="20"/>
          <w:color w:val="auto"/>
        </w:rPr>
        <w:t>deliver to Bank an amendment to this Agreement which provides the terms for such 2020 Performance to Plan Financial Covenant no later than February 29, 2020, shall constitute an immediate Event of Default under this Agreement.</w:t>
      </w:r>
    </w:p>
    <w:p>
      <w:pPr>
        <w:spacing w:after="0" w:line="181" w:lineRule="exact"/>
        <w:rPr>
          <w:sz w:val="20"/>
          <w:szCs w:val="20"/>
          <w:color w:val="auto"/>
        </w:rPr>
      </w:pPr>
    </w:p>
    <w:p>
      <w:pPr>
        <w:ind w:firstLine="1297"/>
        <w:spacing w:after="0" w:line="267" w:lineRule="auto"/>
        <w:rPr>
          <w:sz w:val="20"/>
          <w:szCs w:val="20"/>
          <w:color w:val="auto"/>
        </w:rPr>
      </w:pPr>
      <w:r>
        <w:rPr>
          <w:rFonts w:ascii="Arial" w:cs="Arial" w:eastAsia="Arial" w:hAnsi="Arial"/>
          <w:sz w:val="20"/>
          <w:szCs w:val="20"/>
          <w:b w:val="1"/>
          <w:bCs w:val="1"/>
          <w:color w:val="auto"/>
        </w:rPr>
        <w:t xml:space="preserve">2.2 Formation or Acquisition of Subsidiaries. </w:t>
      </w:r>
      <w:r>
        <w:rPr>
          <w:rFonts w:ascii="Arial" w:cs="Arial" w:eastAsia="Arial" w:hAnsi="Arial"/>
          <w:sz w:val="20"/>
          <w:szCs w:val="20"/>
          <w:color w:val="auto"/>
        </w:rPr>
        <w:t>Section 6.11 of the Loan Agreement is hereby amended</w:t>
      </w:r>
      <w:r>
        <w:rPr>
          <w:rFonts w:ascii="Arial" w:cs="Arial" w:eastAsia="Arial" w:hAnsi="Arial"/>
          <w:sz w:val="20"/>
          <w:szCs w:val="20"/>
          <w:b w:val="1"/>
          <w:bCs w:val="1"/>
          <w:color w:val="auto"/>
        </w:rPr>
        <w:t xml:space="preserve"> </w:t>
      </w:r>
      <w:r>
        <w:rPr>
          <w:rFonts w:ascii="Arial" w:cs="Arial" w:eastAsia="Arial" w:hAnsi="Arial"/>
          <w:sz w:val="20"/>
          <w:szCs w:val="20"/>
          <w:color w:val="auto"/>
        </w:rPr>
        <w:t>by deleting it in its entirety and replacing it with the following:</w:t>
      </w:r>
    </w:p>
    <w:p>
      <w:pPr>
        <w:spacing w:after="0" w:line="164" w:lineRule="exact"/>
        <w:rPr>
          <w:sz w:val="20"/>
          <w:szCs w:val="20"/>
          <w:color w:val="auto"/>
        </w:rPr>
      </w:pPr>
    </w:p>
    <w:p>
      <w:pPr>
        <w:jc w:val="both"/>
        <w:ind w:left="640" w:firstLine="1296"/>
        <w:spacing w:after="0" w:line="270" w:lineRule="auto"/>
        <w:rPr>
          <w:sz w:val="20"/>
          <w:szCs w:val="20"/>
          <w:color w:val="auto"/>
        </w:rPr>
      </w:pPr>
      <w:r>
        <w:rPr>
          <w:rFonts w:ascii="Arial" w:cs="Arial" w:eastAsia="Arial" w:hAnsi="Arial"/>
          <w:sz w:val="18"/>
          <w:szCs w:val="18"/>
          <w:b w:val="1"/>
          <w:bCs w:val="1"/>
          <w:color w:val="auto"/>
        </w:rPr>
        <w:t xml:space="preserve">6.11 Formation or Acquisition of Subsidiaries. </w:t>
      </w:r>
      <w:r>
        <w:rPr>
          <w:rFonts w:ascii="Arial" w:cs="Arial" w:eastAsia="Arial" w:hAnsi="Arial"/>
          <w:sz w:val="18"/>
          <w:szCs w:val="18"/>
          <w:color w:val="auto"/>
        </w:rPr>
        <w:t>Notwithstanding and without limiting the negative</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contained in Sections 7.3 and 7.7 hereof, at the time that Borrower forms any direct or indirect Subsidiary or acquires any direct or indirect Subsidiary after the Effective Date (including, without limitation, pursuant to a Division), Borrower shall, upon Bank's request in its sole and absolute discretion, (a) cause such new Subsidiary to provide to Bank either a joinder to this Agreement to cause such Subsidiary to become a co-borrower hereunder or a Guaranty, together with such appropriate financing statements and/or Control Agreements, all in form and substance satisfactory to Bank (including being sufficient to grant Bank a first priority Lien (subject to Permitted Liens) in and to the assets of such newly formed or acquired Subsidiary), (b) provide to Bank appropriate certificates and powers and financing statements, pledging all of the direct or beneficial ownership interest in such new Subsidiary, in form and substance satisfact01y to Bank, and (c) provide to Bank all other documentation in form and substance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6.11 shall be a Loan Document.</w:t>
      </w:r>
    </w:p>
    <w:p>
      <w:pPr>
        <w:spacing w:after="0" w:line="174" w:lineRule="exact"/>
        <w:rPr>
          <w:sz w:val="20"/>
          <w:szCs w:val="20"/>
          <w:color w:val="auto"/>
        </w:rPr>
      </w:pPr>
    </w:p>
    <w:p>
      <w:pPr>
        <w:ind w:firstLine="1297"/>
        <w:spacing w:after="0" w:line="267" w:lineRule="auto"/>
        <w:rPr>
          <w:sz w:val="20"/>
          <w:szCs w:val="20"/>
          <w:color w:val="auto"/>
        </w:rPr>
      </w:pPr>
      <w:r>
        <w:rPr>
          <w:rFonts w:ascii="Arial" w:cs="Arial" w:eastAsia="Arial" w:hAnsi="Arial"/>
          <w:sz w:val="20"/>
          <w:szCs w:val="20"/>
          <w:b w:val="1"/>
          <w:bCs w:val="1"/>
          <w:color w:val="auto"/>
        </w:rPr>
        <w:t xml:space="preserve">2.3 Dispositions. </w:t>
      </w:r>
      <w:r>
        <w:rPr>
          <w:rFonts w:ascii="Arial" w:cs="Arial" w:eastAsia="Arial" w:hAnsi="Arial"/>
          <w:sz w:val="20"/>
          <w:szCs w:val="20"/>
          <w:color w:val="auto"/>
        </w:rPr>
        <w:t>Section 7.1 of the Loan Agreement is hereby amended by deleting it in its entirety and</w:t>
      </w:r>
      <w:r>
        <w:rPr>
          <w:rFonts w:ascii="Arial" w:cs="Arial" w:eastAsia="Arial" w:hAnsi="Arial"/>
          <w:sz w:val="20"/>
          <w:szCs w:val="20"/>
          <w:b w:val="1"/>
          <w:bCs w:val="1"/>
          <w:color w:val="auto"/>
        </w:rPr>
        <w:t xml:space="preserve"> </w:t>
      </w:r>
      <w:r>
        <w:rPr>
          <w:rFonts w:ascii="Arial" w:cs="Arial" w:eastAsia="Arial" w:hAnsi="Arial"/>
          <w:sz w:val="20"/>
          <w:szCs w:val="20"/>
          <w:color w:val="auto"/>
        </w:rPr>
        <w:t>replacing it with the following:</w:t>
      </w:r>
    </w:p>
    <w:p>
      <w:pPr>
        <w:spacing w:after="0" w:line="164" w:lineRule="exact"/>
        <w:rPr>
          <w:sz w:val="20"/>
          <w:szCs w:val="20"/>
          <w:color w:val="auto"/>
        </w:rPr>
      </w:pPr>
    </w:p>
    <w:p>
      <w:pPr>
        <w:jc w:val="both"/>
        <w:ind w:left="640"/>
        <w:spacing w:after="0" w:line="270" w:lineRule="auto"/>
        <w:rPr>
          <w:sz w:val="20"/>
          <w:szCs w:val="20"/>
          <w:color w:val="auto"/>
        </w:rPr>
      </w:pPr>
      <w:r>
        <w:rPr>
          <w:rFonts w:ascii="Arial" w:cs="Arial" w:eastAsia="Arial" w:hAnsi="Arial"/>
          <w:sz w:val="18"/>
          <w:szCs w:val="18"/>
          <w:b w:val="1"/>
          <w:bCs w:val="1"/>
          <w:color w:val="auto"/>
        </w:rPr>
        <w:t xml:space="preserve">7.1 Dispositions. </w:t>
      </w:r>
      <w:r>
        <w:rPr>
          <w:rFonts w:ascii="Arial" w:cs="Arial" w:eastAsia="Arial" w:hAnsi="Arial"/>
          <w:sz w:val="18"/>
          <w:szCs w:val="18"/>
          <w:color w:val="auto"/>
        </w:rPr>
        <w:t>Convey, sell, lease, transfer, assign, or otherwise dispose of (including, without limitation,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 Division) (collectively,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or permit any of its Subsidiaries to Transfer, all or any part of its business or property, except for Transfers (i) of Inventory in the ordinary course of business; (ii) of worn-out or obsolete Equipment that is, in the reasonable judgment of Borrower, no longer economically practicable to maintain or useful in the ordinary course of business of Borrower; (iii) consisting of Permitted Liens and Permitted Investments; (iv) consisting of the sale or issuance of any stock of Borrower permitted under Section 7.2 of this Agreement; (v) consisting of Borrower's use or transfer of money or Cash Equivalents in the ordinary course of its business for the payment of ordinary course business expenses in a manner that is not prohibited by the terms of this Agreement or the other Loan Documents; (vi) of non-exclusive licenses for the use of the property of Borrower or its Subsidiaries in the ordinary course of business and licenses that could not result in a legal transfer of title of the licensed property but that may be exclusive in respects other than granting rights to a specific geographical territory and that may be exclusive as to territory only as to discreet geographical areas outside of the United States; and (vii) other Transfers that do not in the aggregate exceed Two Hundred Fifty Thousand Dollars ($250,000) during any fiscal year.</w:t>
      </w:r>
    </w:p>
    <w:p>
      <w:pPr>
        <w:spacing w:after="0" w:line="174" w:lineRule="exact"/>
        <w:rPr>
          <w:sz w:val="20"/>
          <w:szCs w:val="20"/>
          <w:color w:val="auto"/>
        </w:rPr>
      </w:pPr>
    </w:p>
    <w:p>
      <w:pPr>
        <w:ind w:firstLine="1297"/>
        <w:spacing w:after="0" w:line="267" w:lineRule="auto"/>
        <w:rPr>
          <w:sz w:val="20"/>
          <w:szCs w:val="20"/>
          <w:color w:val="auto"/>
        </w:rPr>
      </w:pPr>
      <w:r>
        <w:rPr>
          <w:rFonts w:ascii="Arial" w:cs="Arial" w:eastAsia="Arial" w:hAnsi="Arial"/>
          <w:sz w:val="20"/>
          <w:szCs w:val="20"/>
          <w:b w:val="1"/>
          <w:bCs w:val="1"/>
          <w:color w:val="auto"/>
        </w:rPr>
        <w:t xml:space="preserve">2.4 Mergers or Acquisitions. </w:t>
      </w:r>
      <w:r>
        <w:rPr>
          <w:rFonts w:ascii="Arial" w:cs="Arial" w:eastAsia="Arial" w:hAnsi="Arial"/>
          <w:sz w:val="20"/>
          <w:szCs w:val="20"/>
          <w:color w:val="auto"/>
        </w:rPr>
        <w:t>Section 7.3 of the Loan Agreement is hereby amended by deleting it in its</w:t>
      </w:r>
      <w:r>
        <w:rPr>
          <w:rFonts w:ascii="Arial" w:cs="Arial" w:eastAsia="Arial" w:hAnsi="Arial"/>
          <w:sz w:val="20"/>
          <w:szCs w:val="20"/>
          <w:b w:val="1"/>
          <w:bCs w:val="1"/>
          <w:color w:val="auto"/>
        </w:rPr>
        <w:t xml:space="preserve"> </w:t>
      </w:r>
      <w:r>
        <w:rPr>
          <w:rFonts w:ascii="Arial" w:cs="Arial" w:eastAsia="Arial" w:hAnsi="Arial"/>
          <w:sz w:val="20"/>
          <w:szCs w:val="20"/>
          <w:color w:val="auto"/>
        </w:rPr>
        <w:t>entirety and replacing it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469900</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58" w:name="page59"/>
    <w:bookmarkEnd w:id="58"/>
    <w:p>
      <w:pPr>
        <w:jc w:val="both"/>
        <w:ind w:left="640" w:firstLine="1296"/>
        <w:spacing w:after="0" w:line="284"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with any other Person, or acquire, or permit any of its Subsidiaries to acquire, all or substantially all of the capital stock or property of another Person (including, without limitation, by the formation of any Subsidiary or pursuant to a Division). A Subsidiary may merge or consolidate into another Subsidiary or into Borrower.</w:t>
      </w:r>
    </w:p>
    <w:p>
      <w:pPr>
        <w:spacing w:after="0" w:line="154" w:lineRule="exact"/>
        <w:rPr>
          <w:sz w:val="20"/>
          <w:szCs w:val="20"/>
          <w:color w:val="auto"/>
        </w:rPr>
      </w:pPr>
    </w:p>
    <w:p>
      <w:pPr>
        <w:ind w:firstLine="1297"/>
        <w:spacing w:after="0" w:line="267" w:lineRule="auto"/>
        <w:rPr>
          <w:sz w:val="20"/>
          <w:szCs w:val="20"/>
          <w:color w:val="auto"/>
        </w:rPr>
      </w:pPr>
      <w:r>
        <w:rPr>
          <w:rFonts w:ascii="Arial" w:cs="Arial" w:eastAsia="Arial" w:hAnsi="Arial"/>
          <w:sz w:val="20"/>
          <w:szCs w:val="20"/>
          <w:b w:val="1"/>
          <w:bCs w:val="1"/>
          <w:color w:val="auto"/>
        </w:rPr>
        <w:t xml:space="preserve">2.5 Definitions. </w:t>
      </w:r>
      <w:r>
        <w:rPr>
          <w:rFonts w:ascii="Arial" w:cs="Arial" w:eastAsia="Arial" w:hAnsi="Arial"/>
          <w:sz w:val="20"/>
          <w:szCs w:val="20"/>
          <w:color w:val="auto"/>
        </w:rPr>
        <w:t>The following new defined term is hereby inserted into Section 13.1 of the Loan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following the definition of "Designated Deposit Account":</w:t>
      </w:r>
    </w:p>
    <w:p>
      <w:pPr>
        <w:spacing w:after="0" w:line="164"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 xml:space="preserve">"Division" </w:t>
      </w:r>
      <w:r>
        <w:rPr>
          <w:rFonts w:ascii="Arial" w:cs="Arial" w:eastAsia="Arial" w:hAnsi="Arial"/>
          <w:sz w:val="18"/>
          <w:szCs w:val="18"/>
          <w:color w:val="auto"/>
        </w:rPr>
        <w:t>means, in reference to any Person which is an entity, the division of such Person into two</w:t>
      </w:r>
    </w:p>
    <w:p>
      <w:pPr>
        <w:spacing w:after="0" w:line="45" w:lineRule="exact"/>
        <w:rPr>
          <w:sz w:val="20"/>
          <w:szCs w:val="20"/>
          <w:color w:val="auto"/>
        </w:rPr>
      </w:pPr>
    </w:p>
    <w:p>
      <w:pPr>
        <w:jc w:val="both"/>
        <w:ind w:left="640" w:firstLine="8"/>
        <w:spacing w:after="0" w:line="276" w:lineRule="auto"/>
        <w:tabs>
          <w:tab w:leader="none" w:pos="937" w:val="left"/>
        </w:tabs>
        <w:numPr>
          <w:ilvl w:val="0"/>
          <w:numId w:val="9"/>
        </w:numPr>
        <w:rPr>
          <w:rFonts w:ascii="Arial" w:cs="Arial" w:eastAsia="Arial" w:hAnsi="Arial"/>
          <w:sz w:val="18"/>
          <w:szCs w:val="18"/>
          <w:color w:val="auto"/>
        </w:rPr>
      </w:pPr>
      <w:r>
        <w:rPr>
          <w:rFonts w:ascii="Arial" w:cs="Arial" w:eastAsia="Arial" w:hAnsi="Arial"/>
          <w:sz w:val="18"/>
          <w:szCs w:val="18"/>
          <w:color w:val="auto"/>
        </w:rPr>
        <w:t>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6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2.6 Compliance Certificate. </w:t>
      </w:r>
      <w:r>
        <w:rPr>
          <w:rFonts w:ascii="Arial" w:cs="Arial" w:eastAsia="Arial" w:hAnsi="Arial"/>
          <w:sz w:val="20"/>
          <w:szCs w:val="20"/>
          <w:color w:val="auto"/>
        </w:rPr>
        <w:t>From and after the date hereof,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B</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Loan Agreement is replaced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 its entirety with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and all references in the Loan Agreement to the Compliance Certificate shall be deemed to refer to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w:t>
      </w:r>
    </w:p>
    <w:p>
      <w:pPr>
        <w:spacing w:after="0" w:line="178" w:lineRule="exact"/>
        <w:rPr>
          <w:sz w:val="20"/>
          <w:szCs w:val="20"/>
          <w:color w:val="auto"/>
        </w:rPr>
      </w:pPr>
    </w:p>
    <w:p>
      <w:pPr>
        <w:ind w:left="1300" w:hanging="652"/>
        <w:spacing w:after="0"/>
        <w:tabs>
          <w:tab w:leader="none" w:pos="13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 of Amendments.</w:t>
      </w:r>
    </w:p>
    <w:p>
      <w:pPr>
        <w:spacing w:after="0" w:line="229"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color w:val="auto"/>
        </w:rPr>
        <w:t>The amendments set forth in Section 2, above, are effective for the purposes set forth herein and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8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0"/>
          <w:szCs w:val="20"/>
          <w:color w:val="auto"/>
        </w:rPr>
        <w:t>This Amendment shall be construed in connection with and as part of the Loan Documents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terms, conditions, representations, warranties, covenants and agreements set forth in the Loan Documents, except as herein amended, are hereby ratified and confirmed and shall remain in full force and effect.</w:t>
      </w:r>
    </w:p>
    <w:p>
      <w:pPr>
        <w:spacing w:after="0" w:line="178" w:lineRule="exact"/>
        <w:rPr>
          <w:sz w:val="20"/>
          <w:szCs w:val="20"/>
          <w:color w:val="auto"/>
        </w:rPr>
      </w:pPr>
    </w:p>
    <w:p>
      <w:pPr>
        <w:ind w:firstLine="648"/>
        <w:spacing w:after="0" w:line="267" w:lineRule="auto"/>
        <w:tabs>
          <w:tab w:leader="none" w:pos="1273"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Representations and Warranties. </w:t>
      </w:r>
      <w:r>
        <w:rPr>
          <w:rFonts w:ascii="Arial" w:cs="Arial" w:eastAsia="Arial" w:hAnsi="Arial"/>
          <w:sz w:val="20"/>
          <w:szCs w:val="20"/>
          <w:color w:val="auto"/>
        </w:rPr>
        <w:t>To induce Bank to enter into this Amendment, Borrower hereby represents</w:t>
      </w:r>
      <w:r>
        <w:rPr>
          <w:rFonts w:ascii="Arial" w:cs="Arial" w:eastAsia="Arial" w:hAnsi="Arial"/>
          <w:sz w:val="20"/>
          <w:szCs w:val="20"/>
          <w:b w:val="1"/>
          <w:bCs w:val="1"/>
          <w:color w:val="auto"/>
        </w:rPr>
        <w:t xml:space="preserve"> </w:t>
      </w:r>
      <w:r>
        <w:rPr>
          <w:rFonts w:ascii="Arial" w:cs="Arial" w:eastAsia="Arial" w:hAnsi="Arial"/>
          <w:sz w:val="20"/>
          <w:szCs w:val="20"/>
          <w:color w:val="auto"/>
        </w:rPr>
        <w:t>and warrants to Bank as follows:</w:t>
      </w:r>
    </w:p>
    <w:p>
      <w:pPr>
        <w:spacing w:after="0" w:line="16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color w:val="auto"/>
        </w:rPr>
        <w:t>Immediately after giving effect to this Amendment (a) the representations and warranties contained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Loan Documents are true, accurate and complete in all material respects as of the date hereof (except to the extent such representations and warranties relate 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59" w:name="page60"/>
    <w:bookmarkEnd w:id="59"/>
    <w:p>
      <w:pPr>
        <w:jc w:val="both"/>
        <w:spacing w:after="0" w:line="262" w:lineRule="auto"/>
        <w:rPr>
          <w:sz w:val="20"/>
          <w:szCs w:val="20"/>
          <w:color w:val="auto"/>
        </w:rPr>
      </w:pPr>
      <w:r>
        <w:rPr>
          <w:rFonts w:ascii="Arial" w:cs="Arial" w:eastAsia="Arial" w:hAnsi="Arial"/>
          <w:sz w:val="20"/>
          <w:szCs w:val="20"/>
          <w:color w:val="auto"/>
        </w:rPr>
        <w:t>earlier date, in which case they are true and correct as of such date), and (b) no Event of Default has occurred and is continuing;</w:t>
      </w:r>
    </w:p>
    <w:p>
      <w:pPr>
        <w:spacing w:after="0" w:line="16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color w:val="auto"/>
        </w:rPr>
        <w:t>Borrower has the power and authority to execute and deliver this Amendment and to perform its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Loan Agreement, as amended by this Amendment;</w:t>
      </w:r>
    </w:p>
    <w:p>
      <w:pPr>
        <w:spacing w:after="0" w:line="16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color w:val="auto"/>
        </w:rPr>
        <w:t>The organizational documents of Borrower delivered to Bank on the Effective Date remain true,</w:t>
      </w:r>
      <w:r>
        <w:rPr>
          <w:rFonts w:ascii="Arial" w:cs="Arial" w:eastAsia="Arial" w:hAnsi="Arial"/>
          <w:sz w:val="20"/>
          <w:szCs w:val="20"/>
          <w:b w:val="1"/>
          <w:bCs w:val="1"/>
          <w:color w:val="auto"/>
        </w:rPr>
        <w:t xml:space="preserve"> </w:t>
      </w:r>
      <w:r>
        <w:rPr>
          <w:rFonts w:ascii="Arial" w:cs="Arial" w:eastAsia="Arial" w:hAnsi="Arial"/>
          <w:sz w:val="20"/>
          <w:szCs w:val="20"/>
          <w:color w:val="auto"/>
        </w:rPr>
        <w:t>accurate and complete and have not been amended, supplemented or restated and are and continue to be in full force and effect;</w:t>
      </w:r>
    </w:p>
    <w:p>
      <w:pPr>
        <w:spacing w:after="0" w:line="17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4.4 </w:t>
      </w:r>
      <w:r>
        <w:rPr>
          <w:rFonts w:ascii="Arial" w:cs="Arial" w:eastAsia="Arial" w:hAnsi="Arial"/>
          <w:sz w:val="20"/>
          <w:szCs w:val="20"/>
          <w:color w:val="auto"/>
        </w:rPr>
        <w:t>The execution and delivery by Borrower of this Amendment and the performance by Borrower of its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Loan Agreement, as amended by this Amendment, have been duly authorized;</w:t>
      </w:r>
    </w:p>
    <w:p>
      <w:pPr>
        <w:spacing w:after="0" w:line="16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b w:val="1"/>
          <w:bCs w:val="1"/>
          <w:color w:val="auto"/>
        </w:rPr>
        <w:t xml:space="preserve">4.5 </w:t>
      </w:r>
      <w:r>
        <w:rPr>
          <w:rFonts w:ascii="Arial" w:cs="Arial" w:eastAsia="Arial" w:hAnsi="Arial"/>
          <w:sz w:val="20"/>
          <w:szCs w:val="20"/>
          <w:color w:val="auto"/>
        </w:rPr>
        <w:t>The execution and delivery by Borrower of this Amendment and the performance by Borrower of its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The execution and delivery by Borrower of this Amendment and the performance by Borrower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51"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4.7 </w:t>
      </w:r>
      <w:r>
        <w:rPr>
          <w:rFonts w:ascii="Arial" w:cs="Arial" w:eastAsia="Arial" w:hAnsi="Arial"/>
          <w:sz w:val="20"/>
          <w:szCs w:val="20"/>
          <w:color w:val="auto"/>
        </w:rPr>
        <w:t>This Amendment has been duly executed and delivered by Borrower and is the binding obligation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4" w:lineRule="exact"/>
        <w:rPr>
          <w:sz w:val="20"/>
          <w:szCs w:val="20"/>
          <w:color w:val="auto"/>
        </w:rPr>
      </w:pPr>
    </w:p>
    <w:p>
      <w:pPr>
        <w:jc w:val="both"/>
        <w:ind w:firstLine="648"/>
        <w:spacing w:after="0" w:line="248" w:lineRule="auto"/>
        <w:tabs>
          <w:tab w:leader="none" w:pos="1476"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Integration. </w:t>
      </w:r>
      <w:r>
        <w:rPr>
          <w:rFonts w:ascii="Arial" w:cs="Arial" w:eastAsia="Arial" w:hAnsi="Arial"/>
          <w:sz w:val="20"/>
          <w:szCs w:val="20"/>
          <w:color w:val="auto"/>
        </w:rPr>
        <w:t>This Amendment and the Loan Documents represent the entire agreement about this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97" w:lineRule="exact"/>
        <w:rPr>
          <w:rFonts w:ascii="Arial" w:cs="Arial" w:eastAsia="Arial" w:hAnsi="Arial"/>
          <w:sz w:val="20"/>
          <w:szCs w:val="20"/>
          <w:b w:val="1"/>
          <w:bCs w:val="1"/>
          <w:color w:val="auto"/>
        </w:rPr>
      </w:pPr>
    </w:p>
    <w:p>
      <w:pPr>
        <w:ind w:firstLine="648"/>
        <w:spacing w:after="0" w:line="267" w:lineRule="auto"/>
        <w:tabs>
          <w:tab w:leader="none" w:pos="1328"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Amendment may be executed in any number of counterparts and all of such 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taken together shall be deemed to constitute one and the same instrument.</w:t>
      </w:r>
    </w:p>
    <w:p>
      <w:pPr>
        <w:spacing w:after="0" w:line="163" w:lineRule="exact"/>
        <w:rPr>
          <w:rFonts w:ascii="Arial" w:cs="Arial" w:eastAsia="Arial" w:hAnsi="Arial"/>
          <w:sz w:val="20"/>
          <w:szCs w:val="20"/>
          <w:b w:val="1"/>
          <w:bCs w:val="1"/>
          <w:color w:val="auto"/>
        </w:rPr>
      </w:pPr>
    </w:p>
    <w:p>
      <w:pPr>
        <w:jc w:val="both"/>
        <w:ind w:firstLine="648"/>
        <w:spacing w:after="0" w:line="253" w:lineRule="auto"/>
        <w:tabs>
          <w:tab w:leader="none" w:pos="1323"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Effectiveness. </w:t>
      </w:r>
      <w:r>
        <w:rPr>
          <w:rFonts w:ascii="Arial" w:cs="Arial" w:eastAsia="Arial" w:hAnsi="Arial"/>
          <w:sz w:val="20"/>
          <w:szCs w:val="20"/>
          <w:color w:val="auto"/>
        </w:rPr>
        <w:t>This Amendment shall be deemed effective upon (a) the due execution and delivery to Bank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by each party hereto, (b) Borrower's payment of a fully earned, non-refundable, amendment fee in an amount equal to Twenty-Five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60" w:name="page61"/>
    <w:bookmarkEnd w:id="60"/>
    <w:p>
      <w:pPr>
        <w:spacing w:after="0" w:line="262" w:lineRule="auto"/>
        <w:rPr>
          <w:sz w:val="20"/>
          <w:szCs w:val="20"/>
          <w:color w:val="auto"/>
        </w:rPr>
      </w:pPr>
      <w:r>
        <w:rPr>
          <w:rFonts w:ascii="Arial" w:cs="Arial" w:eastAsia="Arial" w:hAnsi="Arial"/>
          <w:sz w:val="20"/>
          <w:szCs w:val="20"/>
          <w:color w:val="auto"/>
        </w:rPr>
        <w:t>Dollars ($25,000), and (c) Borrower's payment of Bank's legal fees and expenses incurred in connection with the negotiation and preparation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636270</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61" w:name="page62"/>
    <w:bookmarkEnd w:id="61"/>
    <w:p>
      <w:pPr>
        <w:ind w:firstLine="648"/>
        <w:spacing w:after="0" w:line="268"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Amendment to be duly executed and delivered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first written above.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EVERSPIN TECHNOLOGIES,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 /s/ Jeff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10160</wp:posOffset>
            </wp:positionV>
            <wp:extent cx="23926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0"/>
          <w:szCs w:val="20"/>
          <w:color w:val="auto"/>
        </w:rPr>
        <w:t>Name: Jeff Winzeler</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SILICON VALLEY BANK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 /s/ Derek Hofmeister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10160</wp:posOffset>
            </wp:positionV>
            <wp:extent cx="23926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0"/>
          <w:szCs w:val="20"/>
          <w:color w:val="auto"/>
        </w:rPr>
        <w:t>Name: Derek Hofmeister</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488950</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6" w:right="91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COMPLIANCE CERTIFICATE</w:t>
      </w:r>
    </w:p>
    <w:p>
      <w:pPr>
        <w:spacing w:after="0" w:line="213" w:lineRule="exact"/>
        <w:rPr>
          <w:sz w:val="20"/>
          <w:szCs w:val="20"/>
          <w:color w:val="auto"/>
        </w:rPr>
      </w:pPr>
    </w:p>
    <w:p>
      <w:pPr>
        <w:ind w:left="661"/>
        <w:spacing w:after="0"/>
        <w:tabs>
          <w:tab w:leader="none" w:pos="6680" w:val="left"/>
        </w:tabs>
        <w:rPr>
          <w:sz w:val="20"/>
          <w:szCs w:val="20"/>
          <w:color w:val="auto"/>
        </w:rPr>
      </w:pPr>
      <w:r>
        <w:rPr>
          <w:rFonts w:ascii="Arial" w:cs="Arial" w:eastAsia="Arial" w:hAnsi="Arial"/>
          <w:sz w:val="20"/>
          <w:szCs w:val="20"/>
          <w:color w:val="auto"/>
        </w:rPr>
        <w:t>TO: SILICON VALLEY BANK</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4676140</wp:posOffset>
            </wp:positionH>
            <wp:positionV relativeFrom="paragraph">
              <wp:posOffset>10160</wp:posOffset>
            </wp:positionV>
            <wp:extent cx="11233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9" w:lineRule="exact"/>
        <w:rPr>
          <w:sz w:val="20"/>
          <w:szCs w:val="20"/>
          <w:color w:val="auto"/>
        </w:rPr>
      </w:pPr>
    </w:p>
    <w:p>
      <w:pPr>
        <w:ind w:left="641"/>
        <w:spacing w:after="0"/>
        <w:rPr>
          <w:sz w:val="20"/>
          <w:szCs w:val="20"/>
          <w:color w:val="auto"/>
        </w:rPr>
      </w:pPr>
      <w:r>
        <w:rPr>
          <w:rFonts w:ascii="Arial" w:cs="Arial" w:eastAsia="Arial" w:hAnsi="Arial"/>
          <w:sz w:val="20"/>
          <w:szCs w:val="20"/>
          <w:color w:val="auto"/>
        </w:rPr>
        <w:t>FROM: EVERSPIN TECHNOLOGIES, INC.</w:t>
      </w:r>
    </w:p>
    <w:p>
      <w:pPr>
        <w:spacing w:after="0" w:line="210" w:lineRule="exact"/>
        <w:rPr>
          <w:sz w:val="20"/>
          <w:szCs w:val="20"/>
          <w:color w:val="auto"/>
        </w:rPr>
      </w:pPr>
    </w:p>
    <w:p>
      <w:pPr>
        <w:jc w:val="both"/>
        <w:ind w:left="1" w:firstLine="648"/>
        <w:spacing w:after="0" w:line="253" w:lineRule="auto"/>
        <w:rPr>
          <w:sz w:val="20"/>
          <w:szCs w:val="20"/>
          <w:color w:val="auto"/>
        </w:rPr>
      </w:pPr>
      <w:r>
        <w:rPr>
          <w:rFonts w:ascii="Arial" w:cs="Arial" w:eastAsia="Arial" w:hAnsi="Arial"/>
          <w:sz w:val="20"/>
          <w:szCs w:val="20"/>
          <w:color w:val="auto"/>
        </w:rPr>
        <w:t>The undersigned authorized officer of EVERSPIN TECHNOLOGIES, INC., a Delaware corporation, (“</w:t>
      </w:r>
      <w:r>
        <w:rPr>
          <w:rFonts w:ascii="Arial" w:cs="Arial" w:eastAsia="Arial" w:hAnsi="Arial"/>
          <w:sz w:val="20"/>
          <w:szCs w:val="20"/>
          <w:b w:val="1"/>
          <w:bCs w:val="1"/>
          <w:color w:val="auto"/>
        </w:rPr>
        <w:t>Borrower</w:t>
      </w:r>
      <w:r>
        <w:rPr>
          <w:rFonts w:ascii="Arial" w:cs="Arial" w:eastAsia="Arial" w:hAnsi="Arial"/>
          <w:sz w:val="20"/>
          <w:szCs w:val="20"/>
          <w:color w:val="auto"/>
        </w:rPr>
        <w:t>”) certifies that under the terms and conditions of the Loan and Security Agreement between Borrower and Bank (the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84" w:lineRule="exact"/>
        <w:rPr>
          <w:sz w:val="20"/>
          <w:szCs w:val="20"/>
          <w:color w:val="auto"/>
        </w:rPr>
      </w:pPr>
    </w:p>
    <w:p>
      <w:pPr>
        <w:jc w:val="both"/>
        <w:ind w:left="1" w:firstLine="648"/>
        <w:spacing w:after="0" w:line="268" w:lineRule="auto"/>
        <w:tabs>
          <w:tab w:leader="none" w:pos="9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Borrower is in complete compliance for the period ending _______________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w:t>
      </w:r>
    </w:p>
    <w:p>
      <w:pPr>
        <w:spacing w:after="0" w:line="3" w:lineRule="exact"/>
        <w:rPr>
          <w:rFonts w:ascii="Arial" w:cs="Arial" w:eastAsia="Arial" w:hAnsi="Arial"/>
          <w:sz w:val="18"/>
          <w:szCs w:val="18"/>
          <w:color w:val="auto"/>
        </w:rPr>
      </w:pPr>
    </w:p>
    <w:p>
      <w:pPr>
        <w:ind w:left="1" w:hanging="1"/>
        <w:spacing w:after="0" w:line="244" w:lineRule="auto"/>
        <w:tabs>
          <w:tab w:leader="none" w:pos="289" w:val="left"/>
        </w:tabs>
        <w:numPr>
          <w:ilvl w:val="0"/>
          <w:numId w:val="14"/>
        </w:numPr>
        <w:rPr>
          <w:rFonts w:ascii="Arial" w:cs="Arial" w:eastAsia="Arial" w:hAnsi="Arial"/>
          <w:sz w:val="20"/>
          <w:szCs w:val="20"/>
          <w:color w:val="auto"/>
        </w:rPr>
      </w:pPr>
      <w:r>
        <w:rPr>
          <w:rFonts w:ascii="Arial" w:cs="Arial" w:eastAsia="Arial" w:hAnsi="Arial"/>
          <w:sz w:val="20"/>
          <w:szCs w:val="20"/>
          <w:color w:val="auto"/>
        </w:rPr>
        <w:t>no Liens have been levied or claims made against Borrower or any of its Subsidiaries relating to unpaid employee payroll or benefits of which Borrower has not previously provided written notification to Bank.</w:t>
      </w:r>
    </w:p>
    <w:p>
      <w:pPr>
        <w:spacing w:after="0" w:line="192" w:lineRule="exact"/>
        <w:rPr>
          <w:sz w:val="20"/>
          <w:szCs w:val="20"/>
          <w:color w:val="auto"/>
        </w:rPr>
      </w:pPr>
    </w:p>
    <w:p>
      <w:pPr>
        <w:jc w:val="both"/>
        <w:ind w:left="1" w:firstLine="648"/>
        <w:spacing w:after="0" w:line="243" w:lineRule="auto"/>
        <w:rPr>
          <w:sz w:val="20"/>
          <w:szCs w:val="20"/>
          <w:color w:val="auto"/>
        </w:rPr>
      </w:pPr>
      <w:r>
        <w:rPr>
          <w:rFonts w:ascii="Arial" w:cs="Arial" w:eastAsia="Arial" w:hAnsi="Arial"/>
          <w:sz w:val="20"/>
          <w:szCs w:val="20"/>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Please indicate compliance status by circling Yes/No under “Complies” column.</w:t>
      </w:r>
    </w:p>
    <w:p>
      <w:pPr>
        <w:spacing w:after="0" w:line="232" w:lineRule="exact"/>
        <w:rPr>
          <w:sz w:val="20"/>
          <w:szCs w:val="20"/>
          <w:color w:val="auto"/>
        </w:rPr>
      </w:pPr>
    </w:p>
    <w:tbl>
      <w:tblPr>
        <w:tblLayout w:type="fixed"/>
        <w:tblInd w:w="11" w:type="dxa"/>
        <w:tblCellMar>
          <w:top w:w="0" w:type="dxa"/>
          <w:left w:w="0" w:type="dxa"/>
          <w:bottom w:w="0" w:type="dxa"/>
          <w:right w:w="0" w:type="dxa"/>
        </w:tblCellMar>
      </w:tblPr>
      <w:tr>
        <w:trPr>
          <w:trHeight w:val="203"/>
        </w:trPr>
        <w:tc>
          <w:tcPr>
            <w:tcW w:w="140" w:type="dxa"/>
            <w:vAlign w:val="bottom"/>
            <w:tcBorders>
              <w:top w:val="single" w:sz="8" w:color="auto"/>
              <w:left w:val="single" w:sz="8" w:color="auto"/>
            </w:tcBorders>
          </w:tcPr>
          <w:p>
            <w:pPr>
              <w:spacing w:after="0"/>
              <w:rPr>
                <w:sz w:val="17"/>
                <w:szCs w:val="17"/>
                <w:color w:val="auto"/>
              </w:rPr>
            </w:pPr>
          </w:p>
        </w:tc>
        <w:tc>
          <w:tcPr>
            <w:tcW w:w="3240" w:type="dxa"/>
            <w:vAlign w:val="bottom"/>
            <w:tcBorders>
              <w:top w:val="single" w:sz="8" w:color="auto"/>
              <w:right w:val="single" w:sz="8" w:color="auto"/>
            </w:tcBorders>
            <w:gridSpan w:val="2"/>
          </w:tcPr>
          <w:p>
            <w:pPr>
              <w:spacing w:after="0" w:line="203" w:lineRule="exact"/>
              <w:rPr>
                <w:sz w:val="20"/>
                <w:szCs w:val="20"/>
                <w:color w:val="auto"/>
              </w:rPr>
            </w:pPr>
            <w:r>
              <w:rPr>
                <w:rFonts w:ascii="Arial" w:cs="Arial" w:eastAsia="Arial" w:hAnsi="Arial"/>
                <w:sz w:val="20"/>
                <w:szCs w:val="20"/>
                <w:b w:val="1"/>
                <w:bCs w:val="1"/>
                <w:color w:val="auto"/>
              </w:rPr>
              <w:t>Reporting Covenants</w:t>
            </w:r>
          </w:p>
        </w:tc>
        <w:tc>
          <w:tcPr>
            <w:tcW w:w="3340" w:type="dxa"/>
            <w:vAlign w:val="bottom"/>
            <w:tcBorders>
              <w:top w:val="single" w:sz="8" w:color="auto"/>
              <w:right w:val="single" w:sz="8" w:color="auto"/>
            </w:tcBorders>
            <w:gridSpan w:val="3"/>
          </w:tcPr>
          <w:p>
            <w:pPr>
              <w:ind w:left="1260"/>
              <w:spacing w:after="0" w:line="203" w:lineRule="exact"/>
              <w:rPr>
                <w:sz w:val="20"/>
                <w:szCs w:val="20"/>
                <w:color w:val="auto"/>
              </w:rPr>
            </w:pPr>
            <w:r>
              <w:rPr>
                <w:rFonts w:ascii="Arial" w:cs="Arial" w:eastAsia="Arial" w:hAnsi="Arial"/>
                <w:sz w:val="20"/>
                <w:szCs w:val="20"/>
                <w:b w:val="1"/>
                <w:bCs w:val="1"/>
                <w:color w:val="auto"/>
              </w:rPr>
              <w:t>Required</w:t>
            </w:r>
          </w:p>
        </w:tc>
        <w:tc>
          <w:tcPr>
            <w:tcW w:w="3360" w:type="dxa"/>
            <w:vAlign w:val="bottom"/>
            <w:tcBorders>
              <w:top w:val="single" w:sz="8" w:color="auto"/>
              <w:right w:val="single" w:sz="8" w:color="auto"/>
            </w:tcBorders>
            <w:gridSpan w:val="4"/>
          </w:tcPr>
          <w:p>
            <w:pPr>
              <w:ind w:left="1260"/>
              <w:spacing w:after="0" w:line="203" w:lineRule="exact"/>
              <w:rPr>
                <w:sz w:val="20"/>
                <w:szCs w:val="20"/>
                <w:color w:val="auto"/>
              </w:rPr>
            </w:pPr>
            <w:r>
              <w:rPr>
                <w:rFonts w:ascii="Arial" w:cs="Arial" w:eastAsia="Arial" w:hAnsi="Arial"/>
                <w:sz w:val="20"/>
                <w:szCs w:val="20"/>
                <w:b w:val="1"/>
                <w:bCs w:val="1"/>
                <w:color w:val="auto"/>
              </w:rPr>
              <w:t>Complies</w:t>
            </w:r>
          </w:p>
        </w:tc>
      </w:tr>
      <w:tr>
        <w:trPr>
          <w:trHeight w:val="129"/>
        </w:trPr>
        <w:tc>
          <w:tcPr>
            <w:tcW w:w="140" w:type="dxa"/>
            <w:vAlign w:val="bottom"/>
            <w:tcBorders>
              <w:left w:val="single" w:sz="8" w:color="auto"/>
              <w:bottom w:val="single" w:sz="8" w:color="auto"/>
            </w:tcBorders>
          </w:tcPr>
          <w:p>
            <w:pPr>
              <w:spacing w:after="0"/>
              <w:rPr>
                <w:sz w:val="11"/>
                <w:szCs w:val="11"/>
                <w:color w:val="auto"/>
              </w:rPr>
            </w:pPr>
          </w:p>
        </w:tc>
        <w:tc>
          <w:tcPr>
            <w:tcW w:w="1800" w:type="dxa"/>
            <w:vAlign w:val="bottom"/>
            <w:tcBorders>
              <w:top w:val="single" w:sz="8" w:color="auto"/>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r>
      <w:tr>
        <w:trPr>
          <w:trHeight w:val="331"/>
        </w:trPr>
        <w:tc>
          <w:tcPr>
            <w:tcW w:w="140" w:type="dxa"/>
            <w:vAlign w:val="bottom"/>
            <w:tcBorders>
              <w:left w:val="single" w:sz="8" w:color="auto"/>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206"/>
        </w:trPr>
        <w:tc>
          <w:tcPr>
            <w:tcW w:w="140" w:type="dxa"/>
            <w:vAlign w:val="bottom"/>
            <w:tcBorders>
              <w:left w:val="single" w:sz="8" w:color="auto"/>
            </w:tcBorders>
          </w:tcPr>
          <w:p>
            <w:pPr>
              <w:spacing w:after="0"/>
              <w:rPr>
                <w:sz w:val="17"/>
                <w:szCs w:val="17"/>
                <w:color w:val="auto"/>
              </w:rPr>
            </w:pPr>
          </w:p>
        </w:tc>
        <w:tc>
          <w:tcPr>
            <w:tcW w:w="3240" w:type="dxa"/>
            <w:vAlign w:val="bottom"/>
            <w:tcBorders>
              <w:right w:val="single" w:sz="8" w:color="auto"/>
            </w:tcBorders>
            <w:gridSpan w:val="2"/>
          </w:tcPr>
          <w:p>
            <w:pPr>
              <w:spacing w:after="0" w:line="207" w:lineRule="exact"/>
              <w:rPr>
                <w:sz w:val="20"/>
                <w:szCs w:val="20"/>
                <w:color w:val="auto"/>
              </w:rPr>
            </w:pPr>
            <w:r>
              <w:rPr>
                <w:rFonts w:ascii="Arial" w:cs="Arial" w:eastAsia="Arial" w:hAnsi="Arial"/>
                <w:sz w:val="20"/>
                <w:szCs w:val="20"/>
                <w:color w:val="auto"/>
              </w:rPr>
              <w:t>Monthly financial statements with</w:t>
            </w:r>
          </w:p>
        </w:tc>
        <w:tc>
          <w:tcPr>
            <w:tcW w:w="3340" w:type="dxa"/>
            <w:vAlign w:val="bottom"/>
            <w:tcBorders>
              <w:right w:val="single" w:sz="8" w:color="auto"/>
            </w:tcBorders>
            <w:gridSpan w:val="3"/>
          </w:tcPr>
          <w:p>
            <w:pPr>
              <w:ind w:left="100"/>
              <w:spacing w:after="0" w:line="207" w:lineRule="exact"/>
              <w:rPr>
                <w:sz w:val="20"/>
                <w:szCs w:val="20"/>
                <w:color w:val="auto"/>
              </w:rPr>
            </w:pPr>
            <w:r>
              <w:rPr>
                <w:rFonts w:ascii="Arial" w:cs="Arial" w:eastAsia="Arial" w:hAnsi="Arial"/>
                <w:sz w:val="20"/>
                <w:szCs w:val="20"/>
                <w:color w:val="auto"/>
              </w:rPr>
              <w:t>Monthly within 30 days</w:t>
            </w:r>
          </w:p>
        </w:tc>
        <w:tc>
          <w:tcPr>
            <w:tcW w:w="1260" w:type="dxa"/>
            <w:vAlign w:val="bottom"/>
          </w:tcPr>
          <w:p>
            <w:pPr>
              <w:spacing w:after="0"/>
              <w:rPr>
                <w:sz w:val="17"/>
                <w:szCs w:val="17"/>
                <w:color w:val="auto"/>
              </w:rPr>
            </w:pPr>
          </w:p>
        </w:tc>
        <w:tc>
          <w:tcPr>
            <w:tcW w:w="420" w:type="dxa"/>
            <w:vAlign w:val="bottom"/>
          </w:tcPr>
          <w:p>
            <w:pPr>
              <w:ind w:left="60"/>
              <w:spacing w:after="0" w:line="207" w:lineRule="exact"/>
              <w:rPr>
                <w:sz w:val="20"/>
                <w:szCs w:val="20"/>
                <w:color w:val="auto"/>
              </w:rPr>
            </w:pPr>
            <w:r>
              <w:rPr>
                <w:rFonts w:ascii="Arial" w:cs="Arial" w:eastAsia="Arial" w:hAnsi="Arial"/>
                <w:sz w:val="20"/>
                <w:szCs w:val="20"/>
                <w:color w:val="auto"/>
                <w:w w:val="98"/>
              </w:rPr>
              <w:t>Yes</w:t>
            </w:r>
          </w:p>
        </w:tc>
        <w:tc>
          <w:tcPr>
            <w:tcW w:w="168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rPr>
              <w:t>No</w:t>
            </w:r>
          </w:p>
        </w:tc>
      </w:tr>
      <w:tr>
        <w:trPr>
          <w:trHeight w:val="250"/>
        </w:trPr>
        <w:tc>
          <w:tcPr>
            <w:tcW w:w="140" w:type="dxa"/>
            <w:vAlign w:val="bottom"/>
            <w:tcBorders>
              <w:left w:val="single" w:sz="8" w:color="auto"/>
            </w:tcBorders>
          </w:tcPr>
          <w:p>
            <w:pPr>
              <w:spacing w:after="0"/>
              <w:rPr>
                <w:sz w:val="21"/>
                <w:szCs w:val="21"/>
                <w:color w:val="auto"/>
              </w:rPr>
            </w:pPr>
          </w:p>
        </w:tc>
        <w:tc>
          <w:tcPr>
            <w:tcW w:w="32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Compliance Certificate</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r>
      <w:tr>
        <w:trPr>
          <w:trHeight w:val="104"/>
        </w:trPr>
        <w:tc>
          <w:tcPr>
            <w:tcW w:w="140" w:type="dxa"/>
            <w:vAlign w:val="bottom"/>
            <w:tcBorders>
              <w:left w:val="single" w:sz="8" w:color="auto"/>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r>
      <w:tr>
        <w:trPr>
          <w:trHeight w:val="206"/>
        </w:trPr>
        <w:tc>
          <w:tcPr>
            <w:tcW w:w="140" w:type="dxa"/>
            <w:vAlign w:val="bottom"/>
            <w:tcBorders>
              <w:left w:val="single" w:sz="8" w:color="auto"/>
            </w:tcBorders>
          </w:tcPr>
          <w:p>
            <w:pPr>
              <w:spacing w:after="0"/>
              <w:rPr>
                <w:sz w:val="17"/>
                <w:szCs w:val="17"/>
                <w:color w:val="auto"/>
              </w:rPr>
            </w:pPr>
          </w:p>
        </w:tc>
        <w:tc>
          <w:tcPr>
            <w:tcW w:w="3240" w:type="dxa"/>
            <w:vAlign w:val="bottom"/>
            <w:tcBorders>
              <w:right w:val="single" w:sz="8" w:color="auto"/>
            </w:tcBorders>
            <w:gridSpan w:val="2"/>
          </w:tcPr>
          <w:p>
            <w:pPr>
              <w:spacing w:after="0" w:line="207" w:lineRule="exact"/>
              <w:rPr>
                <w:sz w:val="20"/>
                <w:szCs w:val="20"/>
                <w:color w:val="auto"/>
              </w:rPr>
            </w:pPr>
            <w:r>
              <w:rPr>
                <w:rFonts w:ascii="Arial" w:cs="Arial" w:eastAsia="Arial" w:hAnsi="Arial"/>
                <w:sz w:val="20"/>
                <w:szCs w:val="20"/>
                <w:color w:val="auto"/>
              </w:rPr>
              <w:t>Annual financial statement (CPA</w:t>
            </w:r>
          </w:p>
        </w:tc>
        <w:tc>
          <w:tcPr>
            <w:tcW w:w="3340" w:type="dxa"/>
            <w:vAlign w:val="bottom"/>
            <w:tcBorders>
              <w:right w:val="single" w:sz="8" w:color="auto"/>
            </w:tcBorders>
            <w:gridSpan w:val="3"/>
          </w:tcPr>
          <w:p>
            <w:pPr>
              <w:ind w:left="100"/>
              <w:spacing w:after="0" w:line="207" w:lineRule="exact"/>
              <w:rPr>
                <w:sz w:val="20"/>
                <w:szCs w:val="20"/>
                <w:color w:val="auto"/>
              </w:rPr>
            </w:pPr>
            <w:r>
              <w:rPr>
                <w:rFonts w:ascii="Arial" w:cs="Arial" w:eastAsia="Arial" w:hAnsi="Arial"/>
                <w:sz w:val="20"/>
                <w:szCs w:val="20"/>
                <w:color w:val="auto"/>
              </w:rPr>
              <w:t>FYE within 150 days</w:t>
            </w:r>
          </w:p>
        </w:tc>
        <w:tc>
          <w:tcPr>
            <w:tcW w:w="1260" w:type="dxa"/>
            <w:vAlign w:val="bottom"/>
          </w:tcPr>
          <w:p>
            <w:pPr>
              <w:spacing w:after="0"/>
              <w:rPr>
                <w:sz w:val="17"/>
                <w:szCs w:val="17"/>
                <w:color w:val="auto"/>
              </w:rPr>
            </w:pPr>
          </w:p>
        </w:tc>
        <w:tc>
          <w:tcPr>
            <w:tcW w:w="420" w:type="dxa"/>
            <w:vAlign w:val="bottom"/>
          </w:tcPr>
          <w:p>
            <w:pPr>
              <w:ind w:left="60"/>
              <w:spacing w:after="0" w:line="207" w:lineRule="exact"/>
              <w:rPr>
                <w:sz w:val="20"/>
                <w:szCs w:val="20"/>
                <w:color w:val="auto"/>
              </w:rPr>
            </w:pPr>
            <w:r>
              <w:rPr>
                <w:rFonts w:ascii="Arial" w:cs="Arial" w:eastAsia="Arial" w:hAnsi="Arial"/>
                <w:sz w:val="20"/>
                <w:szCs w:val="20"/>
                <w:color w:val="auto"/>
                <w:w w:val="98"/>
              </w:rPr>
              <w:t>Yes</w:t>
            </w:r>
          </w:p>
        </w:tc>
        <w:tc>
          <w:tcPr>
            <w:tcW w:w="168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rPr>
              <w:t>No</w:t>
            </w:r>
          </w:p>
        </w:tc>
      </w:tr>
      <w:tr>
        <w:trPr>
          <w:trHeight w:val="250"/>
        </w:trPr>
        <w:tc>
          <w:tcPr>
            <w:tcW w:w="140" w:type="dxa"/>
            <w:vAlign w:val="bottom"/>
            <w:tcBorders>
              <w:left w:val="single" w:sz="8" w:color="auto"/>
            </w:tcBorders>
          </w:tcPr>
          <w:p>
            <w:pPr>
              <w:spacing w:after="0"/>
              <w:rPr>
                <w:sz w:val="21"/>
                <w:szCs w:val="21"/>
                <w:color w:val="auto"/>
              </w:rPr>
            </w:pPr>
          </w:p>
        </w:tc>
        <w:tc>
          <w:tcPr>
            <w:tcW w:w="32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Audited)</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r>
      <w:tr>
        <w:trPr>
          <w:trHeight w:val="104"/>
        </w:trPr>
        <w:tc>
          <w:tcPr>
            <w:tcW w:w="140" w:type="dxa"/>
            <w:vAlign w:val="bottom"/>
            <w:tcBorders>
              <w:left w:val="single" w:sz="8" w:color="auto"/>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r>
      <w:tr>
        <w:trPr>
          <w:trHeight w:val="206"/>
        </w:trPr>
        <w:tc>
          <w:tcPr>
            <w:tcW w:w="140" w:type="dxa"/>
            <w:vAlign w:val="bottom"/>
            <w:tcBorders>
              <w:left w:val="single" w:sz="8" w:color="auto"/>
            </w:tcBorders>
          </w:tcPr>
          <w:p>
            <w:pPr>
              <w:spacing w:after="0"/>
              <w:rPr>
                <w:sz w:val="17"/>
                <w:szCs w:val="17"/>
                <w:color w:val="auto"/>
              </w:rPr>
            </w:pPr>
          </w:p>
        </w:tc>
        <w:tc>
          <w:tcPr>
            <w:tcW w:w="3240" w:type="dxa"/>
            <w:vAlign w:val="bottom"/>
            <w:tcBorders>
              <w:right w:val="single" w:sz="8" w:color="auto"/>
            </w:tcBorders>
            <w:gridSpan w:val="2"/>
          </w:tcPr>
          <w:p>
            <w:pPr>
              <w:spacing w:after="0" w:line="207" w:lineRule="exact"/>
              <w:rPr>
                <w:sz w:val="20"/>
                <w:szCs w:val="20"/>
                <w:color w:val="auto"/>
              </w:rPr>
            </w:pPr>
            <w:r>
              <w:rPr>
                <w:rFonts w:ascii="Arial" w:cs="Arial" w:eastAsia="Arial" w:hAnsi="Arial"/>
                <w:sz w:val="20"/>
                <w:szCs w:val="20"/>
                <w:color w:val="auto"/>
              </w:rPr>
              <w:t>Board Projections</w:t>
            </w:r>
          </w:p>
        </w:tc>
        <w:tc>
          <w:tcPr>
            <w:tcW w:w="3340" w:type="dxa"/>
            <w:vAlign w:val="bottom"/>
            <w:tcBorders>
              <w:right w:val="single" w:sz="8" w:color="auto"/>
            </w:tcBorders>
            <w:gridSpan w:val="3"/>
          </w:tcPr>
          <w:p>
            <w:pPr>
              <w:ind w:left="100"/>
              <w:spacing w:after="0" w:line="207" w:lineRule="exact"/>
              <w:rPr>
                <w:sz w:val="20"/>
                <w:szCs w:val="20"/>
                <w:color w:val="auto"/>
              </w:rPr>
            </w:pPr>
            <w:r>
              <w:rPr>
                <w:rFonts w:ascii="Arial" w:cs="Arial" w:eastAsia="Arial" w:hAnsi="Arial"/>
                <w:sz w:val="20"/>
                <w:szCs w:val="20"/>
                <w:color w:val="auto"/>
              </w:rPr>
              <w:t>Earlier of (i) 15 days after board</w:t>
            </w:r>
          </w:p>
        </w:tc>
        <w:tc>
          <w:tcPr>
            <w:tcW w:w="1260" w:type="dxa"/>
            <w:vAlign w:val="bottom"/>
          </w:tcPr>
          <w:p>
            <w:pPr>
              <w:spacing w:after="0"/>
              <w:rPr>
                <w:sz w:val="17"/>
                <w:szCs w:val="17"/>
                <w:color w:val="auto"/>
              </w:rPr>
            </w:pPr>
          </w:p>
        </w:tc>
        <w:tc>
          <w:tcPr>
            <w:tcW w:w="420" w:type="dxa"/>
            <w:vAlign w:val="bottom"/>
          </w:tcPr>
          <w:p>
            <w:pPr>
              <w:ind w:left="60"/>
              <w:spacing w:after="0" w:line="207" w:lineRule="exact"/>
              <w:rPr>
                <w:sz w:val="20"/>
                <w:szCs w:val="20"/>
                <w:color w:val="auto"/>
              </w:rPr>
            </w:pPr>
            <w:r>
              <w:rPr>
                <w:rFonts w:ascii="Arial" w:cs="Arial" w:eastAsia="Arial" w:hAnsi="Arial"/>
                <w:sz w:val="20"/>
                <w:szCs w:val="20"/>
                <w:color w:val="auto"/>
                <w:w w:val="98"/>
              </w:rPr>
              <w:t>Yes</w:t>
            </w:r>
          </w:p>
        </w:tc>
        <w:tc>
          <w:tcPr>
            <w:tcW w:w="168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rPr>
              <w:t>No</w:t>
            </w:r>
          </w:p>
        </w:tc>
      </w:tr>
      <w:tr>
        <w:trPr>
          <w:trHeight w:val="230"/>
        </w:trPr>
        <w:tc>
          <w:tcPr>
            <w:tcW w:w="140" w:type="dxa"/>
            <w:vAlign w:val="bottom"/>
            <w:tcBorders>
              <w:lef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33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w w:val="97"/>
              </w:rPr>
              <w:t>approval or (ii) February 28th of each</w:t>
            </w: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250"/>
        </w:trPr>
        <w:tc>
          <w:tcPr>
            <w:tcW w:w="140" w:type="dxa"/>
            <w:vAlign w:val="bottom"/>
            <w:tcBorders>
              <w:lef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33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calendar year</w:t>
            </w: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r>
      <w:tr>
        <w:trPr>
          <w:trHeight w:val="104"/>
        </w:trPr>
        <w:tc>
          <w:tcPr>
            <w:tcW w:w="140" w:type="dxa"/>
            <w:vAlign w:val="bottom"/>
            <w:tcBorders>
              <w:left w:val="single" w:sz="8" w:color="auto"/>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r>
      <w:tr>
        <w:trPr>
          <w:trHeight w:val="919"/>
        </w:trPr>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116" w:right="919" w:bottom="1440" w:gutter="0" w:footer="0" w:header="0"/>
        </w:sectPr>
      </w:pPr>
    </w:p>
    <w:bookmarkStart w:id="63" w:name="page64"/>
    <w:bookmarkEnd w:id="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820" w:type="dxa"/>
            <w:vAlign w:val="bottom"/>
            <w:tcBorders>
              <w:top w:val="single" w:sz="8" w:color="auto"/>
              <w:left w:val="single" w:sz="8" w:color="auto"/>
            </w:tcBorders>
            <w:gridSpan w:val="3"/>
          </w:tcPr>
          <w:p>
            <w:pPr>
              <w:ind w:left="140"/>
              <w:spacing w:after="0" w:line="230" w:lineRule="exact"/>
              <w:rPr>
                <w:sz w:val="20"/>
                <w:szCs w:val="20"/>
                <w:color w:val="auto"/>
              </w:rPr>
            </w:pPr>
            <w:r>
              <w:rPr>
                <w:rFonts w:ascii="Arial" w:cs="Arial" w:eastAsia="Arial" w:hAnsi="Arial"/>
                <w:sz w:val="20"/>
                <w:szCs w:val="20"/>
                <w:color w:val="auto"/>
              </w:rPr>
              <w:t>10</w:t>
            </w:r>
            <w:r>
              <w:rPr>
                <w:rFonts w:ascii="MS PGothic" w:cs="MS PGothic" w:eastAsia="MS PGothic" w:hAnsi="MS PGothic"/>
                <w:sz w:val="20"/>
                <w:szCs w:val="20"/>
                <w:color w:val="auto"/>
              </w:rPr>
              <w:t>‑</w:t>
            </w:r>
            <w:r>
              <w:rPr>
                <w:rFonts w:ascii="Arial" w:cs="Arial" w:eastAsia="Arial" w:hAnsi="Arial"/>
                <w:sz w:val="20"/>
                <w:szCs w:val="20"/>
                <w:color w:val="auto"/>
              </w:rPr>
              <w:t>Q, 10</w:t>
            </w:r>
            <w:r>
              <w:rPr>
                <w:rFonts w:ascii="MS PGothic" w:cs="MS PGothic" w:eastAsia="MS PGothic" w:hAnsi="MS PGothic"/>
                <w:sz w:val="20"/>
                <w:szCs w:val="20"/>
                <w:color w:val="auto"/>
              </w:rPr>
              <w:t>‑</w:t>
            </w:r>
            <w:r>
              <w:rPr>
                <w:rFonts w:ascii="Arial" w:cs="Arial" w:eastAsia="Arial" w:hAnsi="Arial"/>
                <w:sz w:val="20"/>
                <w:szCs w:val="20"/>
                <w:color w:val="auto"/>
              </w:rPr>
              <w:t>K and 8-K</w:t>
            </w: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right w:val="single" w:sz="8" w:color="auto"/>
            </w:tcBorders>
          </w:tcPr>
          <w:p>
            <w:pPr>
              <w:spacing w:after="0"/>
              <w:rPr>
                <w:sz w:val="22"/>
                <w:szCs w:val="22"/>
                <w:color w:val="auto"/>
              </w:rPr>
            </w:pPr>
          </w:p>
        </w:tc>
        <w:tc>
          <w:tcPr>
            <w:tcW w:w="3340" w:type="dxa"/>
            <w:vAlign w:val="bottom"/>
            <w:tcBorders>
              <w:top w:val="single" w:sz="8" w:color="auto"/>
              <w:right w:val="single" w:sz="8" w:color="auto"/>
            </w:tcBorders>
            <w:gridSpan w:val="5"/>
          </w:tcPr>
          <w:p>
            <w:pPr>
              <w:ind w:left="100"/>
              <w:spacing w:after="0"/>
              <w:rPr>
                <w:sz w:val="20"/>
                <w:szCs w:val="20"/>
                <w:color w:val="auto"/>
              </w:rPr>
            </w:pPr>
            <w:r>
              <w:rPr>
                <w:rFonts w:ascii="Arial" w:cs="Arial" w:eastAsia="Arial" w:hAnsi="Arial"/>
                <w:sz w:val="20"/>
                <w:szCs w:val="20"/>
                <w:color w:val="auto"/>
              </w:rPr>
              <w:t>Within 5 days after filing with SEC</w:t>
            </w:r>
          </w:p>
        </w:tc>
        <w:tc>
          <w:tcPr>
            <w:tcW w:w="9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ind w:left="400"/>
              <w:spacing w:after="0"/>
              <w:rPr>
                <w:sz w:val="20"/>
                <w:szCs w:val="20"/>
                <w:color w:val="auto"/>
              </w:rPr>
            </w:pPr>
            <w:r>
              <w:rPr>
                <w:rFonts w:ascii="Arial" w:cs="Arial" w:eastAsia="Arial" w:hAnsi="Arial"/>
                <w:sz w:val="20"/>
                <w:szCs w:val="20"/>
                <w:color w:val="auto"/>
                <w:w w:val="92"/>
              </w:rPr>
              <w:t>Yes</w:t>
            </w: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No</w:t>
            </w:r>
          </w:p>
        </w:tc>
        <w:tc>
          <w:tcPr>
            <w:tcW w:w="360" w:type="dxa"/>
            <w:vAlign w:val="bottom"/>
            <w:tcBorders>
              <w:top w:val="single" w:sz="8" w:color="auto"/>
            </w:tcBorders>
          </w:tcPr>
          <w:p>
            <w:pPr>
              <w:spacing w:after="0"/>
              <w:rPr>
                <w:sz w:val="22"/>
                <w:szCs w:val="22"/>
                <w:color w:val="auto"/>
              </w:rPr>
            </w:pPr>
          </w:p>
        </w:tc>
        <w:tc>
          <w:tcPr>
            <w:tcW w:w="840" w:type="dxa"/>
            <w:vAlign w:val="bottom"/>
            <w:tcBorders>
              <w:top w:val="single" w:sz="8" w:color="auto"/>
              <w:right w:val="single" w:sz="8" w:color="auto"/>
            </w:tcBorders>
          </w:tcPr>
          <w:p>
            <w:pPr>
              <w:spacing w:after="0"/>
              <w:rPr>
                <w:sz w:val="22"/>
                <w:szCs w:val="22"/>
                <w:color w:val="auto"/>
              </w:rPr>
            </w:pPr>
          </w:p>
        </w:tc>
      </w:tr>
      <w:tr>
        <w:trPr>
          <w:trHeight w:val="128"/>
        </w:trPr>
        <w:tc>
          <w:tcPr>
            <w:tcW w:w="580" w:type="dxa"/>
            <w:vAlign w:val="bottom"/>
            <w:tcBorders>
              <w:left w:val="single" w:sz="8" w:color="auto"/>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r>
      <w:tr>
        <w:trPr>
          <w:trHeight w:val="244"/>
        </w:trPr>
        <w:tc>
          <w:tcPr>
            <w:tcW w:w="2820" w:type="dxa"/>
            <w:vAlign w:val="bottom"/>
            <w:tcBorders>
              <w:left w:val="single" w:sz="8" w:color="auto"/>
            </w:tcBorders>
            <w:gridSpan w:val="3"/>
          </w:tcPr>
          <w:p>
            <w:pPr>
              <w:ind w:left="140"/>
              <w:spacing w:after="0"/>
              <w:rPr>
                <w:sz w:val="20"/>
                <w:szCs w:val="20"/>
                <w:color w:val="auto"/>
              </w:rPr>
            </w:pPr>
            <w:r>
              <w:rPr>
                <w:rFonts w:ascii="Arial" w:cs="Arial" w:eastAsia="Arial" w:hAnsi="Arial"/>
                <w:sz w:val="20"/>
                <w:szCs w:val="20"/>
                <w:color w:val="auto"/>
              </w:rPr>
              <w:t>Board Projections</w:t>
            </w:r>
          </w:p>
        </w:tc>
        <w:tc>
          <w:tcPr>
            <w:tcW w:w="1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1860" w:type="dxa"/>
            <w:vAlign w:val="bottom"/>
            <w:gridSpan w:val="2"/>
          </w:tcPr>
          <w:p>
            <w:pPr>
              <w:ind w:left="100"/>
              <w:spacing w:after="0"/>
              <w:rPr>
                <w:sz w:val="20"/>
                <w:szCs w:val="20"/>
                <w:color w:val="auto"/>
              </w:rPr>
            </w:pPr>
            <w:r>
              <w:rPr>
                <w:rFonts w:ascii="Arial" w:cs="Arial" w:eastAsia="Arial" w:hAnsi="Arial"/>
                <w:sz w:val="20"/>
                <w:szCs w:val="20"/>
                <w:color w:val="auto"/>
              </w:rPr>
              <w:t>FYE within 30 days</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ind w:left="400"/>
              <w:spacing w:after="0"/>
              <w:rPr>
                <w:sz w:val="20"/>
                <w:szCs w:val="20"/>
                <w:color w:val="auto"/>
              </w:rPr>
            </w:pPr>
            <w:r>
              <w:rPr>
                <w:rFonts w:ascii="Arial" w:cs="Arial" w:eastAsia="Arial" w:hAnsi="Arial"/>
                <w:sz w:val="20"/>
                <w:szCs w:val="20"/>
                <w:color w:val="auto"/>
                <w:w w:val="92"/>
              </w:rPr>
              <w:t>Yes</w:t>
            </w:r>
          </w:p>
        </w:tc>
        <w:tc>
          <w:tcPr>
            <w:tcW w:w="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20"/>
                <w:szCs w:val="20"/>
                <w:color w:val="auto"/>
              </w:rPr>
              <w:t>No</w:t>
            </w:r>
          </w:p>
        </w:tc>
        <w:tc>
          <w:tcPr>
            <w:tcW w:w="36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r>
      <w:tr>
        <w:trPr>
          <w:trHeight w:val="87"/>
        </w:trPr>
        <w:tc>
          <w:tcPr>
            <w:tcW w:w="580" w:type="dxa"/>
            <w:vAlign w:val="bottom"/>
            <w:tcBorders>
              <w:left w:val="single" w:sz="8" w:color="auto"/>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r>
      <w:tr>
        <w:trPr>
          <w:trHeight w:val="453"/>
        </w:trPr>
        <w:tc>
          <w:tcPr>
            <w:tcW w:w="5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31"/>
        </w:trPr>
        <w:tc>
          <w:tcPr>
            <w:tcW w:w="580" w:type="dxa"/>
            <w:vAlign w:val="bottom"/>
            <w:tcBorders>
              <w:left w:val="single" w:sz="8" w:color="auto"/>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183"/>
        </w:trPr>
        <w:tc>
          <w:tcPr>
            <w:tcW w:w="2820" w:type="dxa"/>
            <w:vAlign w:val="bottom"/>
            <w:tcBorders>
              <w:left w:val="single" w:sz="8" w:color="auto"/>
              <w:right w:val="single" w:sz="8" w:color="auto"/>
            </w:tcBorders>
            <w:gridSpan w:val="3"/>
          </w:tcPr>
          <w:p>
            <w:pPr>
              <w:ind w:left="580"/>
              <w:spacing w:after="0" w:line="183" w:lineRule="exact"/>
              <w:rPr>
                <w:sz w:val="20"/>
                <w:szCs w:val="20"/>
                <w:color w:val="auto"/>
              </w:rPr>
            </w:pPr>
            <w:r>
              <w:rPr>
                <w:rFonts w:ascii="Arial" w:cs="Arial" w:eastAsia="Arial" w:hAnsi="Arial"/>
                <w:sz w:val="20"/>
                <w:szCs w:val="20"/>
                <w:b w:val="1"/>
                <w:bCs w:val="1"/>
                <w:color w:val="auto"/>
              </w:rPr>
              <w:t>Financial Covenant</w:t>
            </w:r>
          </w:p>
        </w:tc>
        <w:tc>
          <w:tcPr>
            <w:tcW w:w="2420" w:type="dxa"/>
            <w:vAlign w:val="bottom"/>
            <w:tcBorders>
              <w:right w:val="single" w:sz="8" w:color="auto"/>
            </w:tcBorders>
            <w:gridSpan w:val="4"/>
          </w:tcPr>
          <w:p>
            <w:pPr>
              <w:ind w:left="120"/>
              <w:spacing w:after="0" w:line="183" w:lineRule="exact"/>
              <w:rPr>
                <w:sz w:val="20"/>
                <w:szCs w:val="20"/>
                <w:color w:val="auto"/>
              </w:rPr>
            </w:pPr>
            <w:r>
              <w:rPr>
                <w:rFonts w:ascii="Arial" w:cs="Arial" w:eastAsia="Arial" w:hAnsi="Arial"/>
                <w:sz w:val="20"/>
                <w:szCs w:val="20"/>
                <w:b w:val="1"/>
                <w:bCs w:val="1"/>
                <w:color w:val="auto"/>
              </w:rPr>
              <w:t>Required</w:t>
            </w:r>
          </w:p>
        </w:tc>
        <w:tc>
          <w:tcPr>
            <w:tcW w:w="120" w:type="dxa"/>
            <w:vAlign w:val="bottom"/>
          </w:tcPr>
          <w:p>
            <w:pPr>
              <w:spacing w:after="0"/>
              <w:rPr>
                <w:sz w:val="15"/>
                <w:szCs w:val="15"/>
                <w:color w:val="auto"/>
              </w:rPr>
            </w:pPr>
          </w:p>
        </w:tc>
        <w:tc>
          <w:tcPr>
            <w:tcW w:w="1360" w:type="dxa"/>
            <w:vAlign w:val="bottom"/>
            <w:gridSpan w:val="2"/>
          </w:tcPr>
          <w:p>
            <w:pPr>
              <w:spacing w:after="0" w:line="183" w:lineRule="exact"/>
              <w:rPr>
                <w:sz w:val="20"/>
                <w:szCs w:val="20"/>
                <w:color w:val="auto"/>
              </w:rPr>
            </w:pPr>
            <w:r>
              <w:rPr>
                <w:rFonts w:ascii="Arial" w:cs="Arial" w:eastAsia="Arial" w:hAnsi="Arial"/>
                <w:sz w:val="20"/>
                <w:szCs w:val="20"/>
                <w:b w:val="1"/>
                <w:bCs w:val="1"/>
                <w:color w:val="auto"/>
              </w:rPr>
              <w:t>Actual</w:t>
            </w:r>
          </w:p>
        </w:tc>
        <w:tc>
          <w:tcPr>
            <w:tcW w:w="94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1680" w:type="dxa"/>
            <w:vAlign w:val="bottom"/>
            <w:tcBorders>
              <w:right w:val="single" w:sz="8" w:color="auto"/>
            </w:tcBorders>
            <w:gridSpan w:val="4"/>
          </w:tcPr>
          <w:p>
            <w:pPr>
              <w:ind w:left="60"/>
              <w:spacing w:after="0" w:line="183" w:lineRule="exact"/>
              <w:rPr>
                <w:sz w:val="20"/>
                <w:szCs w:val="20"/>
                <w:color w:val="auto"/>
              </w:rPr>
            </w:pPr>
            <w:r>
              <w:rPr>
                <w:rFonts w:ascii="Arial" w:cs="Arial" w:eastAsia="Arial" w:hAnsi="Arial"/>
                <w:sz w:val="20"/>
                <w:szCs w:val="20"/>
                <w:b w:val="1"/>
                <w:bCs w:val="1"/>
                <w:color w:val="auto"/>
              </w:rPr>
              <w:t>Complies</w:t>
            </w:r>
          </w:p>
        </w:tc>
      </w:tr>
      <w:tr>
        <w:trPr>
          <w:trHeight w:val="129"/>
        </w:trPr>
        <w:tc>
          <w:tcPr>
            <w:tcW w:w="580" w:type="dxa"/>
            <w:vAlign w:val="bottom"/>
            <w:tcBorders>
              <w:left w:val="single" w:sz="8" w:color="auto"/>
              <w:bottom w:val="single" w:sz="8" w:color="auto"/>
            </w:tcBorders>
          </w:tcPr>
          <w:p>
            <w:pPr>
              <w:spacing w:after="0"/>
              <w:rPr>
                <w:sz w:val="11"/>
                <w:szCs w:val="11"/>
                <w:color w:val="auto"/>
              </w:rPr>
            </w:pPr>
          </w:p>
        </w:tc>
        <w:tc>
          <w:tcPr>
            <w:tcW w:w="1660" w:type="dxa"/>
            <w:vAlign w:val="bottom"/>
            <w:tcBorders>
              <w:top w:val="single" w:sz="8" w:color="auto"/>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r>
      <w:tr>
        <w:trPr>
          <w:trHeight w:val="331"/>
        </w:trPr>
        <w:tc>
          <w:tcPr>
            <w:tcW w:w="580" w:type="dxa"/>
            <w:vAlign w:val="bottom"/>
            <w:tcBorders>
              <w:left w:val="single" w:sz="8" w:color="auto"/>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244"/>
        </w:trPr>
        <w:tc>
          <w:tcPr>
            <w:tcW w:w="2820" w:type="dxa"/>
            <w:vAlign w:val="bottom"/>
            <w:tcBorders>
              <w:left w:val="single" w:sz="8" w:color="auto"/>
              <w:right w:val="single" w:sz="8" w:color="auto"/>
            </w:tcBorders>
            <w:gridSpan w:val="3"/>
          </w:tcPr>
          <w:p>
            <w:pPr>
              <w:ind w:left="140"/>
              <w:spacing w:after="0"/>
              <w:rPr>
                <w:sz w:val="20"/>
                <w:szCs w:val="20"/>
                <w:color w:val="auto"/>
              </w:rPr>
            </w:pPr>
            <w:r>
              <w:rPr>
                <w:rFonts w:ascii="Arial" w:cs="Arial" w:eastAsia="Arial" w:hAnsi="Arial"/>
                <w:sz w:val="20"/>
                <w:szCs w:val="20"/>
                <w:color w:val="auto"/>
              </w:rPr>
              <w:t>Maintain on a Monthly Basis: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r>
      <w:tr>
        <w:trPr>
          <w:trHeight w:val="87"/>
        </w:trPr>
        <w:tc>
          <w:tcPr>
            <w:tcW w:w="580" w:type="dxa"/>
            <w:vAlign w:val="bottom"/>
            <w:tcBorders>
              <w:left w:val="single" w:sz="8" w:color="auto"/>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r>
      <w:tr>
        <w:trPr>
          <w:trHeight w:val="244"/>
        </w:trPr>
        <w:tc>
          <w:tcPr>
            <w:tcW w:w="2820" w:type="dxa"/>
            <w:vAlign w:val="bottom"/>
            <w:tcBorders>
              <w:left w:val="single" w:sz="8" w:color="auto"/>
              <w:right w:val="single" w:sz="8" w:color="auto"/>
            </w:tcBorders>
            <w:gridSpan w:val="3"/>
          </w:tcPr>
          <w:p>
            <w:pPr>
              <w:ind w:left="260"/>
              <w:spacing w:after="0"/>
              <w:rPr>
                <w:sz w:val="20"/>
                <w:szCs w:val="20"/>
                <w:color w:val="auto"/>
              </w:rPr>
            </w:pPr>
            <w:r>
              <w:rPr>
                <w:rFonts w:ascii="Arial" w:cs="Arial" w:eastAsia="Arial" w:hAnsi="Arial"/>
                <w:sz w:val="20"/>
                <w:szCs w:val="20"/>
                <w:color w:val="auto"/>
              </w:rPr>
              <w:t>Liquidity Ratio</w:t>
            </w:r>
          </w:p>
        </w:tc>
        <w:tc>
          <w:tcPr>
            <w:tcW w:w="900" w:type="dxa"/>
            <w:vAlign w:val="bottom"/>
            <w:gridSpan w:val="3"/>
          </w:tcPr>
          <w:p>
            <w:pPr>
              <w:ind w:left="120"/>
              <w:spacing w:after="0"/>
              <w:rPr>
                <w:sz w:val="20"/>
                <w:szCs w:val="20"/>
                <w:color w:val="auto"/>
              </w:rPr>
            </w:pPr>
            <w:r>
              <w:rPr>
                <w:rFonts w:ascii="Arial" w:cs="Arial" w:eastAsia="Arial" w:hAnsi="Arial"/>
                <w:sz w:val="20"/>
                <w:szCs w:val="20"/>
                <w:color w:val="auto"/>
                <w:w w:val="91"/>
              </w:rPr>
              <w:t>1.50:1.00</w:t>
            </w:r>
          </w:p>
        </w:tc>
        <w:tc>
          <w:tcPr>
            <w:tcW w:w="15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20"/>
                <w:szCs w:val="20"/>
                <w:color w:val="auto"/>
              </w:rPr>
              <w:t>____ to 1.00</w:t>
            </w:r>
          </w:p>
        </w:tc>
        <w:tc>
          <w:tcPr>
            <w:tcW w:w="94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ind w:left="60"/>
              <w:spacing w:after="0"/>
              <w:rPr>
                <w:sz w:val="20"/>
                <w:szCs w:val="20"/>
                <w:color w:val="auto"/>
              </w:rPr>
            </w:pPr>
            <w:r>
              <w:rPr>
                <w:rFonts w:ascii="Arial" w:cs="Arial" w:eastAsia="Arial" w:hAnsi="Arial"/>
                <w:sz w:val="20"/>
                <w:szCs w:val="20"/>
                <w:color w:val="auto"/>
                <w:w w:val="98"/>
              </w:rPr>
              <w:t>Yes</w:t>
            </w:r>
          </w:p>
        </w:tc>
        <w:tc>
          <w:tcPr>
            <w:tcW w:w="120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No</w:t>
            </w:r>
          </w:p>
        </w:tc>
      </w:tr>
      <w:tr>
        <w:trPr>
          <w:trHeight w:val="87"/>
        </w:trPr>
        <w:tc>
          <w:tcPr>
            <w:tcW w:w="580" w:type="dxa"/>
            <w:vAlign w:val="bottom"/>
            <w:tcBorders>
              <w:left w:val="single" w:sz="8" w:color="auto"/>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r>
      <w:tr>
        <w:trPr>
          <w:trHeight w:val="244"/>
        </w:trPr>
        <w:tc>
          <w:tcPr>
            <w:tcW w:w="2820" w:type="dxa"/>
            <w:vAlign w:val="bottom"/>
            <w:tcBorders>
              <w:left w:val="single" w:sz="8" w:color="auto"/>
              <w:right w:val="single" w:sz="8" w:color="auto"/>
            </w:tcBorders>
            <w:gridSpan w:val="3"/>
          </w:tcPr>
          <w:p>
            <w:pPr>
              <w:ind w:left="260"/>
              <w:spacing w:after="0"/>
              <w:rPr>
                <w:sz w:val="20"/>
                <w:szCs w:val="20"/>
                <w:color w:val="auto"/>
              </w:rPr>
            </w:pPr>
            <w:r>
              <w:rPr>
                <w:rFonts w:ascii="Arial" w:cs="Arial" w:eastAsia="Arial" w:hAnsi="Arial"/>
                <w:sz w:val="20"/>
                <w:szCs w:val="20"/>
                <w:color w:val="auto"/>
              </w:rPr>
              <w:t>TFS Revenue</w:t>
            </w:r>
          </w:p>
        </w:tc>
        <w:tc>
          <w:tcPr>
            <w:tcW w:w="2420" w:type="dxa"/>
            <w:vAlign w:val="bottom"/>
            <w:tcBorders>
              <w:right w:val="single" w:sz="8" w:color="auto"/>
            </w:tcBorders>
            <w:gridSpan w:val="4"/>
          </w:tcPr>
          <w:p>
            <w:pPr>
              <w:ind w:left="120"/>
              <w:spacing w:after="0"/>
              <w:rPr>
                <w:sz w:val="20"/>
                <w:szCs w:val="20"/>
                <w:color w:val="auto"/>
              </w:rPr>
            </w:pPr>
            <w:r>
              <w:rPr>
                <w:rFonts w:ascii="Arial" w:cs="Arial" w:eastAsia="Arial" w:hAnsi="Arial"/>
                <w:sz w:val="20"/>
                <w:szCs w:val="20"/>
                <w:color w:val="auto"/>
              </w:rPr>
              <w:t>See Schedule 1</w:t>
            </w:r>
          </w:p>
        </w:tc>
        <w:tc>
          <w:tcPr>
            <w:tcW w:w="1480" w:type="dxa"/>
            <w:vAlign w:val="bottom"/>
            <w:gridSpan w:val="3"/>
          </w:tcPr>
          <w:p>
            <w:pPr>
              <w:ind w:left="120"/>
              <w:spacing w:after="0"/>
              <w:rPr>
                <w:sz w:val="20"/>
                <w:szCs w:val="20"/>
                <w:color w:val="auto"/>
              </w:rPr>
            </w:pPr>
            <w:r>
              <w:rPr>
                <w:rFonts w:ascii="Arial" w:cs="Arial" w:eastAsia="Arial" w:hAnsi="Arial"/>
                <w:sz w:val="20"/>
                <w:szCs w:val="20"/>
                <w:color w:val="auto"/>
              </w:rPr>
              <w:t>$_____</w:t>
            </w:r>
          </w:p>
        </w:tc>
        <w:tc>
          <w:tcPr>
            <w:tcW w:w="94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ind w:left="60"/>
              <w:spacing w:after="0"/>
              <w:rPr>
                <w:sz w:val="20"/>
                <w:szCs w:val="20"/>
                <w:color w:val="auto"/>
              </w:rPr>
            </w:pPr>
            <w:r>
              <w:rPr>
                <w:rFonts w:ascii="Arial" w:cs="Arial" w:eastAsia="Arial" w:hAnsi="Arial"/>
                <w:sz w:val="20"/>
                <w:szCs w:val="20"/>
                <w:color w:val="auto"/>
                <w:w w:val="98"/>
              </w:rPr>
              <w:t>Yes</w:t>
            </w:r>
          </w:p>
        </w:tc>
        <w:tc>
          <w:tcPr>
            <w:tcW w:w="120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No</w:t>
            </w:r>
          </w:p>
        </w:tc>
      </w:tr>
      <w:tr>
        <w:trPr>
          <w:trHeight w:val="87"/>
        </w:trPr>
        <w:tc>
          <w:tcPr>
            <w:tcW w:w="580" w:type="dxa"/>
            <w:vAlign w:val="bottom"/>
            <w:tcBorders>
              <w:left w:val="single" w:sz="8" w:color="auto"/>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r>
    </w:tbl>
    <w:p>
      <w:pPr>
        <w:spacing w:after="0" w:line="213"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The following financial covenant analysis and information set forth in Schedule 1 attached hereto are true and accurate as of the date of this Certificate.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Other Matters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Have there been any amendments of or other changes to the capitalization table of</w:t>
      </w:r>
    </w:p>
    <w:p>
      <w:pPr>
        <w:spacing w:after="0" w:line="16"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Borrower and to the Operating Documents of Borrower or any of its Subsidiaries? If yes, Yes No provide copies of any such amendments or changes with this Compliance Certificate.</w:t>
      </w:r>
    </w:p>
    <w:p>
      <w:pPr>
        <w:spacing w:after="0" w:line="205" w:lineRule="exact"/>
        <w:rPr>
          <w:sz w:val="20"/>
          <w:szCs w:val="20"/>
          <w:color w:val="auto"/>
        </w:rPr>
      </w:pPr>
    </w:p>
    <w:p>
      <w:pPr>
        <w:ind w:right="260" w:firstLine="324"/>
        <w:spacing w:after="0" w:line="260" w:lineRule="auto"/>
        <w:rPr>
          <w:sz w:val="20"/>
          <w:szCs w:val="20"/>
          <w:color w:val="auto"/>
        </w:rPr>
      </w:pPr>
      <w:r>
        <w:rPr>
          <w:rFonts w:ascii="Arial" w:cs="Arial" w:eastAsia="Arial" w:hAnsi="Arial"/>
          <w:sz w:val="20"/>
          <w:szCs w:val="20"/>
          <w:color w:val="auto"/>
        </w:rPr>
        <w:t>The following are the exceptions with respect to the certification above: (If no exceptions exist, state “No exceptions to note.”)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60" w:type="dxa"/>
            <w:vAlign w:val="bottom"/>
            <w:gridSpan w:val="2"/>
          </w:tcPr>
          <w:p>
            <w:pPr>
              <w:spacing w:after="0"/>
              <w:rPr>
                <w:sz w:val="20"/>
                <w:szCs w:val="20"/>
                <w:color w:val="auto"/>
              </w:rPr>
            </w:pPr>
            <w:r>
              <w:rPr>
                <w:rFonts w:ascii="Arial" w:cs="Arial" w:eastAsia="Arial" w:hAnsi="Arial"/>
                <w:sz w:val="20"/>
                <w:szCs w:val="20"/>
                <w:color w:val="auto"/>
              </w:rPr>
              <w:t>EVERSPIN TECHNOLOGIES, INC.</w:t>
            </w:r>
          </w:p>
        </w:tc>
        <w:tc>
          <w:tcPr>
            <w:tcW w:w="5100" w:type="dxa"/>
            <w:vAlign w:val="bottom"/>
            <w:gridSpan w:val="2"/>
          </w:tcPr>
          <w:p>
            <w:pPr>
              <w:ind w:left="260"/>
              <w:spacing w:after="0"/>
              <w:rPr>
                <w:sz w:val="20"/>
                <w:szCs w:val="20"/>
                <w:color w:val="auto"/>
              </w:rPr>
            </w:pPr>
            <w:r>
              <w:rPr>
                <w:rFonts w:ascii="Arial" w:cs="Arial" w:eastAsia="Arial" w:hAnsi="Arial"/>
                <w:sz w:val="20"/>
                <w:szCs w:val="20"/>
                <w:b w:val="1"/>
                <w:bCs w:val="1"/>
                <w:color w:val="auto"/>
              </w:rPr>
              <w:t>BANK USE ONLY</w:t>
            </w:r>
          </w:p>
        </w:tc>
        <w:tc>
          <w:tcPr>
            <w:tcW w:w="0" w:type="dxa"/>
            <w:vAlign w:val="bottom"/>
          </w:tcPr>
          <w:p>
            <w:pPr>
              <w:spacing w:after="0"/>
              <w:rPr>
                <w:sz w:val="1"/>
                <w:szCs w:val="1"/>
                <w:color w:val="auto"/>
              </w:rPr>
            </w:pPr>
          </w:p>
        </w:tc>
      </w:tr>
      <w:tr>
        <w:trPr>
          <w:trHeight w:val="685"/>
        </w:trPr>
        <w:tc>
          <w:tcPr>
            <w:tcW w:w="6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100" w:type="dxa"/>
            <w:vAlign w:val="bottom"/>
            <w:gridSpan w:val="2"/>
          </w:tcPr>
          <w:p>
            <w:pPr>
              <w:ind w:left="260"/>
              <w:spacing w:after="0"/>
              <w:rPr>
                <w:sz w:val="20"/>
                <w:szCs w:val="20"/>
                <w:color w:val="auto"/>
              </w:rPr>
            </w:pPr>
            <w:r>
              <w:rPr>
                <w:rFonts w:ascii="Arial" w:cs="Arial" w:eastAsia="Arial" w:hAnsi="Arial"/>
                <w:sz w:val="20"/>
                <w:szCs w:val="20"/>
                <w:color w:val="auto"/>
              </w:rPr>
              <w:t>Received by:</w:t>
            </w:r>
          </w:p>
        </w:tc>
        <w:tc>
          <w:tcPr>
            <w:tcW w:w="0" w:type="dxa"/>
            <w:vAlign w:val="bottom"/>
          </w:tcPr>
          <w:p>
            <w:pPr>
              <w:spacing w:after="0"/>
              <w:rPr>
                <w:sz w:val="1"/>
                <w:szCs w:val="1"/>
                <w:color w:val="auto"/>
              </w:rPr>
            </w:pPr>
          </w:p>
        </w:tc>
      </w:tr>
      <w:tr>
        <w:trPr>
          <w:trHeight w:val="439"/>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3760" w:type="dxa"/>
            <w:vAlign w:val="bottom"/>
            <w:tcBorders>
              <w:top w:val="single" w:sz="8" w:color="auto"/>
            </w:tcBorders>
          </w:tcPr>
          <w:p>
            <w:pPr>
              <w:ind w:left="320"/>
              <w:spacing w:after="0"/>
              <w:rPr>
                <w:sz w:val="20"/>
                <w:szCs w:val="20"/>
                <w:color w:val="auto"/>
              </w:rPr>
            </w:pPr>
            <w:r>
              <w:rPr>
                <w:rFonts w:ascii="Arial" w:cs="Arial" w:eastAsia="Arial" w:hAnsi="Arial"/>
                <w:sz w:val="20"/>
                <w:szCs w:val="20"/>
                <w:color w:val="auto"/>
              </w:rPr>
              <w:t>AUTHORIZED SIGNER</w:t>
            </w:r>
          </w:p>
        </w:tc>
        <w:tc>
          <w:tcPr>
            <w:tcW w:w="0" w:type="dxa"/>
            <w:vAlign w:val="bottom"/>
          </w:tcPr>
          <w:p>
            <w:pPr>
              <w:spacing w:after="0"/>
              <w:rPr>
                <w:sz w:val="1"/>
                <w:szCs w:val="1"/>
                <w:color w:val="auto"/>
              </w:rPr>
            </w:pPr>
          </w:p>
        </w:tc>
      </w:tr>
      <w:tr>
        <w:trPr>
          <w:trHeight w:val="439"/>
        </w:trPr>
        <w:tc>
          <w:tcPr>
            <w:tcW w:w="600" w:type="dxa"/>
            <w:vAlign w:val="bottom"/>
          </w:tcPr>
          <w:p>
            <w:pPr>
              <w:spacing w:after="0"/>
              <w:rPr>
                <w:sz w:val="20"/>
                <w:szCs w:val="20"/>
                <w:color w:val="auto"/>
              </w:rPr>
            </w:pPr>
            <w:r>
              <w:rPr>
                <w:rFonts w:ascii="Arial" w:cs="Arial" w:eastAsia="Arial" w:hAnsi="Arial"/>
                <w:sz w:val="20"/>
                <w:szCs w:val="20"/>
                <w:color w:val="auto"/>
                <w:w w:val="98"/>
              </w:rPr>
              <w:t>Name:</w:t>
            </w:r>
          </w:p>
        </w:tc>
        <w:tc>
          <w:tcPr>
            <w:tcW w:w="4360" w:type="dxa"/>
            <w:vAlign w:val="bottom"/>
            <w:tcBorders>
              <w:bottom w:val="single" w:sz="8" w:color="auto"/>
            </w:tcBorders>
          </w:tcPr>
          <w:p>
            <w:pPr>
              <w:spacing w:after="0"/>
              <w:rPr>
                <w:sz w:val="24"/>
                <w:szCs w:val="24"/>
                <w:color w:val="auto"/>
              </w:rPr>
            </w:pPr>
          </w:p>
        </w:tc>
        <w:tc>
          <w:tcPr>
            <w:tcW w:w="1340" w:type="dxa"/>
            <w:vAlign w:val="bottom"/>
          </w:tcPr>
          <w:p>
            <w:pPr>
              <w:ind w:left="260"/>
              <w:spacing w:after="0"/>
              <w:rPr>
                <w:sz w:val="20"/>
                <w:szCs w:val="20"/>
                <w:color w:val="auto"/>
              </w:rPr>
            </w:pPr>
            <w:r>
              <w:rPr>
                <w:rFonts w:ascii="Arial" w:cs="Arial" w:eastAsia="Arial" w:hAnsi="Arial"/>
                <w:sz w:val="20"/>
                <w:szCs w:val="20"/>
                <w:color w:val="auto"/>
              </w:rPr>
              <w:t>Date:</w:t>
            </w: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20"/>
                <w:szCs w:val="20"/>
                <w:color w:val="auto"/>
              </w:rPr>
              <w:t>Title:</w:t>
            </w:r>
          </w:p>
        </w:tc>
        <w:tc>
          <w:tcPr>
            <w:tcW w:w="5100" w:type="dxa"/>
            <w:vAlign w:val="bottom"/>
            <w:gridSpan w:val="2"/>
            <w:vMerge w:val="restart"/>
          </w:tcPr>
          <w:p>
            <w:pPr>
              <w:ind w:left="260"/>
              <w:spacing w:after="0"/>
              <w:rPr>
                <w:sz w:val="20"/>
                <w:szCs w:val="20"/>
                <w:color w:val="auto"/>
              </w:rPr>
            </w:pPr>
            <w:r>
              <w:rPr>
                <w:rFonts w:ascii="Arial" w:cs="Arial" w:eastAsia="Arial" w:hAnsi="Arial"/>
                <w:sz w:val="20"/>
                <w:szCs w:val="20"/>
                <w:color w:val="auto"/>
              </w:rPr>
              <w:t>Verified:</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5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6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760" w:type="dxa"/>
            <w:vAlign w:val="bottom"/>
            <w:tcBorders>
              <w:top w:val="single" w:sz="8" w:color="auto"/>
            </w:tcBorders>
          </w:tcPr>
          <w:p>
            <w:pPr>
              <w:ind w:left="320"/>
              <w:spacing w:after="0"/>
              <w:rPr>
                <w:sz w:val="20"/>
                <w:szCs w:val="20"/>
                <w:color w:val="auto"/>
              </w:rPr>
            </w:pPr>
            <w:r>
              <w:rPr>
                <w:rFonts w:ascii="Arial" w:cs="Arial" w:eastAsia="Arial" w:hAnsi="Arial"/>
                <w:sz w:val="20"/>
                <w:szCs w:val="20"/>
                <w:color w:val="auto"/>
              </w:rPr>
              <w:t>AUTHORIZED SIGNER</w:t>
            </w:r>
          </w:p>
        </w:tc>
        <w:tc>
          <w:tcPr>
            <w:tcW w:w="0" w:type="dxa"/>
            <w:vAlign w:val="bottom"/>
          </w:tcPr>
          <w:p>
            <w:pPr>
              <w:spacing w:after="0"/>
              <w:rPr>
                <w:sz w:val="1"/>
                <w:szCs w:val="1"/>
                <w:color w:val="auto"/>
              </w:rPr>
            </w:pPr>
          </w:p>
        </w:tc>
      </w:tr>
      <w:tr>
        <w:trPr>
          <w:trHeight w:val="455"/>
        </w:trPr>
        <w:tc>
          <w:tcPr>
            <w:tcW w:w="6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40" w:type="dxa"/>
            <w:vAlign w:val="bottom"/>
          </w:tcPr>
          <w:p>
            <w:pPr>
              <w:ind w:left="260"/>
              <w:spacing w:after="0"/>
              <w:rPr>
                <w:sz w:val="20"/>
                <w:szCs w:val="20"/>
                <w:color w:val="auto"/>
              </w:rPr>
            </w:pPr>
            <w:r>
              <w:rPr>
                <w:rFonts w:ascii="Arial" w:cs="Arial" w:eastAsia="Arial" w:hAnsi="Arial"/>
                <w:sz w:val="20"/>
                <w:szCs w:val="20"/>
                <w:color w:val="auto"/>
              </w:rPr>
              <w:t>Date:</w:t>
            </w: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3"/>
        </w:trPr>
        <w:tc>
          <w:tcPr>
            <w:tcW w:w="6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100" w:type="dxa"/>
            <w:vAlign w:val="bottom"/>
            <w:gridSpan w:val="2"/>
          </w:tcPr>
          <w:p>
            <w:pPr>
              <w:ind w:left="260"/>
              <w:spacing w:after="0"/>
              <w:rPr>
                <w:sz w:val="20"/>
                <w:szCs w:val="20"/>
                <w:color w:val="auto"/>
              </w:rPr>
            </w:pPr>
            <w:r>
              <w:rPr>
                <w:rFonts w:ascii="Arial" w:cs="Arial" w:eastAsia="Arial" w:hAnsi="Arial"/>
                <w:sz w:val="20"/>
                <w:szCs w:val="20"/>
                <w:color w:val="auto"/>
              </w:rPr>
              <w:t>Compliance Status: Yes No</w:t>
            </w:r>
          </w:p>
        </w:tc>
        <w:tc>
          <w:tcPr>
            <w:tcW w:w="0" w:type="dxa"/>
            <w:vAlign w:val="bottom"/>
          </w:tcPr>
          <w:p>
            <w:pPr>
              <w:spacing w:after="0"/>
              <w:rPr>
                <w:sz w:val="1"/>
                <w:szCs w:val="1"/>
                <w:color w:val="auto"/>
              </w:rPr>
            </w:pPr>
          </w:p>
        </w:tc>
      </w:tr>
      <w:tr>
        <w:trPr>
          <w:trHeight w:val="773"/>
        </w:trPr>
        <w:tc>
          <w:tcPr>
            <w:tcW w:w="6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u w:val="single" w:color="auto"/>
          <w:color w:val="auto"/>
        </w:rPr>
        <w:t>Schedule 1 to Compliance Certificate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Financial Covenants of Borrower</w:t>
      </w:r>
    </w:p>
    <w:p>
      <w:pPr>
        <w:spacing w:after="0" w:line="235" w:lineRule="exact"/>
        <w:rPr>
          <w:sz w:val="20"/>
          <w:szCs w:val="20"/>
          <w:color w:val="auto"/>
        </w:rPr>
      </w:pPr>
    </w:p>
    <w:p>
      <w:pPr>
        <w:ind w:left="641"/>
        <w:spacing w:after="0"/>
        <w:rPr>
          <w:sz w:val="20"/>
          <w:szCs w:val="20"/>
          <w:color w:val="auto"/>
        </w:rPr>
      </w:pPr>
      <w:r>
        <w:rPr>
          <w:rFonts w:ascii="Arial" w:cs="Arial" w:eastAsia="Arial" w:hAnsi="Arial"/>
          <w:sz w:val="18"/>
          <w:szCs w:val="18"/>
          <w:color w:val="auto"/>
        </w:rPr>
        <w:t>In the event of a conflict between this Schedule and the Loan Agreement, the terms of the Loan Agreement shall</w:t>
      </w:r>
    </w:p>
    <w:p>
      <w:pPr>
        <w:spacing w:after="0" w:line="39" w:lineRule="exact"/>
        <w:rPr>
          <w:sz w:val="20"/>
          <w:szCs w:val="20"/>
          <w:color w:val="auto"/>
        </w:rPr>
      </w:pPr>
    </w:p>
    <w:p>
      <w:pPr>
        <w:ind w:left="1"/>
        <w:spacing w:after="0"/>
        <w:rPr>
          <w:sz w:val="20"/>
          <w:szCs w:val="20"/>
          <w:color w:val="auto"/>
        </w:rPr>
      </w:pPr>
      <w:r>
        <w:rPr>
          <w:rFonts w:ascii="Arial" w:cs="Arial" w:eastAsia="Arial" w:hAnsi="Arial"/>
          <w:sz w:val="20"/>
          <w:szCs w:val="20"/>
          <w:color w:val="auto"/>
        </w:rPr>
        <w:t>govern.</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20"/>
          <w:szCs w:val="20"/>
          <w:color w:val="auto"/>
        </w:rPr>
        <w:t>Dated:  ____________________</w:t>
      </w:r>
    </w:p>
    <w:p>
      <w:pPr>
        <w:spacing w:after="0" w:line="223" w:lineRule="exact"/>
        <w:rPr>
          <w:sz w:val="20"/>
          <w:szCs w:val="20"/>
          <w:color w:val="auto"/>
        </w:rPr>
      </w:pPr>
    </w:p>
    <w:p>
      <w:pPr>
        <w:ind w:left="681" w:hanging="681"/>
        <w:spacing w:after="0"/>
        <w:tabs>
          <w:tab w:leader="none" w:pos="681"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Liquidity Ratio </w:t>
      </w:r>
      <w:r>
        <w:rPr>
          <w:rFonts w:ascii="Arial" w:cs="Arial" w:eastAsia="Arial" w:hAnsi="Arial"/>
          <w:sz w:val="20"/>
          <w:szCs w:val="20"/>
          <w:color w:val="auto"/>
        </w:rPr>
        <w:t>(Section 6.7(a))</w:t>
      </w:r>
    </w:p>
    <w:p>
      <w:pPr>
        <w:spacing w:after="0" w:line="222" w:lineRule="exact"/>
        <w:rPr>
          <w:sz w:val="20"/>
          <w:szCs w:val="20"/>
          <w:color w:val="auto"/>
        </w:rPr>
      </w:pPr>
    </w:p>
    <w:tbl>
      <w:tblPr>
        <w:tblLayout w:type="fixed"/>
        <w:tblInd w:w="11" w:type="dxa"/>
        <w:tblCellMar>
          <w:top w:w="0" w:type="dxa"/>
          <w:left w:w="0" w:type="dxa"/>
          <w:bottom w:w="0" w:type="dxa"/>
          <w:right w:w="0" w:type="dxa"/>
        </w:tblCellMar>
      </w:tblPr>
      <w:tr>
        <w:trPr>
          <w:trHeight w:val="250"/>
        </w:trPr>
        <w:tc>
          <w:tcPr>
            <w:tcW w:w="1040" w:type="dxa"/>
            <w:vAlign w:val="bottom"/>
            <w:gridSpan w:val="2"/>
          </w:tcPr>
          <w:p>
            <w:pPr>
              <w:spacing w:after="0"/>
              <w:rPr>
                <w:sz w:val="20"/>
                <w:szCs w:val="20"/>
                <w:color w:val="auto"/>
              </w:rPr>
            </w:pPr>
            <w:r>
              <w:rPr>
                <w:rFonts w:ascii="Arial" w:cs="Arial" w:eastAsia="Arial" w:hAnsi="Arial"/>
                <w:sz w:val="20"/>
                <w:szCs w:val="20"/>
                <w:color w:val="auto"/>
              </w:rPr>
              <w:t>Required:</w:t>
            </w:r>
          </w:p>
        </w:tc>
        <w:tc>
          <w:tcPr>
            <w:tcW w:w="9040" w:type="dxa"/>
            <w:vAlign w:val="bottom"/>
            <w:gridSpan w:val="6"/>
          </w:tcPr>
          <w:p>
            <w:pPr>
              <w:jc w:val="right"/>
              <w:ind w:right="2541"/>
              <w:spacing w:after="0"/>
              <w:rPr>
                <w:sz w:val="20"/>
                <w:szCs w:val="20"/>
                <w:color w:val="auto"/>
              </w:rPr>
            </w:pPr>
            <w:r>
              <w:rPr>
                <w:rFonts w:ascii="Arial" w:cs="Arial" w:eastAsia="Arial" w:hAnsi="Arial"/>
                <w:sz w:val="20"/>
                <w:szCs w:val="20"/>
                <w:color w:val="auto"/>
                <w:w w:val="94"/>
              </w:rPr>
              <w:t>As of the last day of each month, a Liquidity Ratio of not less than 1.50:1.00.</w:t>
            </w:r>
          </w:p>
        </w:tc>
      </w:tr>
      <w:tr>
        <w:trPr>
          <w:trHeight w:val="338"/>
        </w:trPr>
        <w:tc>
          <w:tcPr>
            <w:tcW w:w="640" w:type="dxa"/>
            <w:vAlign w:val="bottom"/>
          </w:tcPr>
          <w:p>
            <w:pPr>
              <w:spacing w:after="0"/>
              <w:rPr>
                <w:sz w:val="20"/>
                <w:szCs w:val="20"/>
                <w:color w:val="auto"/>
              </w:rPr>
            </w:pPr>
            <w:r>
              <w:rPr>
                <w:rFonts w:ascii="Arial" w:cs="Arial" w:eastAsia="Arial" w:hAnsi="Arial"/>
                <w:sz w:val="20"/>
                <w:szCs w:val="20"/>
                <w:color w:val="auto"/>
                <w:w w:val="98"/>
              </w:rPr>
              <w:t>Actual:</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6"/>
        </w:trPr>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r>
      <w:tr>
        <w:trPr>
          <w:trHeight w:val="244"/>
        </w:trPr>
        <w:tc>
          <w:tcPr>
            <w:tcW w:w="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A.</w:t>
            </w:r>
          </w:p>
        </w:tc>
        <w:tc>
          <w:tcPr>
            <w:tcW w:w="5360" w:type="dxa"/>
            <w:vAlign w:val="bottom"/>
            <w:gridSpan w:val="4"/>
          </w:tcPr>
          <w:p>
            <w:pPr>
              <w:ind w:left="120"/>
              <w:spacing w:after="0"/>
              <w:rPr>
                <w:sz w:val="20"/>
                <w:szCs w:val="20"/>
                <w:color w:val="auto"/>
              </w:rPr>
            </w:pPr>
            <w:r>
              <w:rPr>
                <w:rFonts w:ascii="Arial" w:cs="Arial" w:eastAsia="Arial" w:hAnsi="Arial"/>
                <w:sz w:val="20"/>
                <w:szCs w:val="20"/>
                <w:color w:val="auto"/>
                <w:w w:val="98"/>
              </w:rPr>
              <w:t>Unrestricted cash and Cash Equivalents maintained at Bank</w:t>
            </w:r>
          </w:p>
        </w:tc>
        <w:tc>
          <w:tcPr>
            <w:tcW w:w="94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$________</w:t>
            </w:r>
          </w:p>
        </w:tc>
      </w:tr>
      <w:tr>
        <w:trPr>
          <w:trHeight w:val="195"/>
        </w:trPr>
        <w:tc>
          <w:tcPr>
            <w:tcW w:w="640" w:type="dxa"/>
            <w:vAlign w:val="bottom"/>
            <w:tcBorders>
              <w:left w:val="single" w:sz="8" w:color="auto"/>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gridSpan w:val="2"/>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r>
      <w:tr>
        <w:trPr>
          <w:trHeight w:val="244"/>
        </w:trPr>
        <w:tc>
          <w:tcPr>
            <w:tcW w:w="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B.</w:t>
            </w:r>
          </w:p>
        </w:tc>
        <w:tc>
          <w:tcPr>
            <w:tcW w:w="5360" w:type="dxa"/>
            <w:vAlign w:val="bottom"/>
            <w:gridSpan w:val="4"/>
          </w:tcPr>
          <w:p>
            <w:pPr>
              <w:ind w:left="120"/>
              <w:spacing w:after="0"/>
              <w:rPr>
                <w:sz w:val="20"/>
                <w:szCs w:val="20"/>
                <w:color w:val="auto"/>
              </w:rPr>
            </w:pPr>
            <w:r>
              <w:rPr>
                <w:rFonts w:ascii="Arial" w:cs="Arial" w:eastAsia="Arial" w:hAnsi="Arial"/>
                <w:sz w:val="20"/>
                <w:szCs w:val="20"/>
                <w:color w:val="auto"/>
              </w:rPr>
              <w:t>Net accounts receivable</w:t>
            </w:r>
          </w:p>
        </w:tc>
        <w:tc>
          <w:tcPr>
            <w:tcW w:w="94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$________</w:t>
            </w:r>
          </w:p>
        </w:tc>
      </w:tr>
      <w:tr>
        <w:trPr>
          <w:trHeight w:val="195"/>
        </w:trPr>
        <w:tc>
          <w:tcPr>
            <w:tcW w:w="640" w:type="dxa"/>
            <w:vAlign w:val="bottom"/>
            <w:tcBorders>
              <w:left w:val="single" w:sz="8" w:color="auto"/>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gridSpan w:val="2"/>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r>
      <w:tr>
        <w:trPr>
          <w:trHeight w:val="244"/>
        </w:trPr>
        <w:tc>
          <w:tcPr>
            <w:tcW w:w="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w:t>
            </w:r>
          </w:p>
        </w:tc>
        <w:tc>
          <w:tcPr>
            <w:tcW w:w="5360" w:type="dxa"/>
            <w:vAlign w:val="bottom"/>
            <w:gridSpan w:val="4"/>
          </w:tcPr>
          <w:p>
            <w:pPr>
              <w:ind w:left="120"/>
              <w:spacing w:after="0"/>
              <w:rPr>
                <w:sz w:val="20"/>
                <w:szCs w:val="20"/>
                <w:color w:val="auto"/>
              </w:rPr>
            </w:pPr>
            <w:r>
              <w:rPr>
                <w:rFonts w:ascii="Arial" w:cs="Arial" w:eastAsia="Arial" w:hAnsi="Arial"/>
                <w:sz w:val="20"/>
                <w:szCs w:val="20"/>
                <w:color w:val="auto"/>
              </w:rPr>
              <w:t>Liquidity (line A, plus line B)</w:t>
            </w:r>
          </w:p>
        </w:tc>
        <w:tc>
          <w:tcPr>
            <w:tcW w:w="94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$________</w:t>
            </w:r>
          </w:p>
        </w:tc>
      </w:tr>
      <w:tr>
        <w:trPr>
          <w:trHeight w:val="195"/>
        </w:trPr>
        <w:tc>
          <w:tcPr>
            <w:tcW w:w="640" w:type="dxa"/>
            <w:vAlign w:val="bottom"/>
            <w:tcBorders>
              <w:left w:val="single" w:sz="8" w:color="auto"/>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gridSpan w:val="2"/>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r>
      <w:tr>
        <w:trPr>
          <w:trHeight w:val="244"/>
        </w:trPr>
        <w:tc>
          <w:tcPr>
            <w:tcW w:w="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D.</w:t>
            </w:r>
          </w:p>
        </w:tc>
        <w:tc>
          <w:tcPr>
            <w:tcW w:w="5360" w:type="dxa"/>
            <w:vAlign w:val="bottom"/>
            <w:gridSpan w:val="4"/>
          </w:tcPr>
          <w:p>
            <w:pPr>
              <w:ind w:left="120"/>
              <w:spacing w:after="0"/>
              <w:rPr>
                <w:sz w:val="20"/>
                <w:szCs w:val="20"/>
                <w:color w:val="auto"/>
              </w:rPr>
            </w:pPr>
            <w:r>
              <w:rPr>
                <w:rFonts w:ascii="Arial" w:cs="Arial" w:eastAsia="Arial" w:hAnsi="Arial"/>
                <w:sz w:val="20"/>
                <w:szCs w:val="20"/>
                <w:color w:val="auto"/>
              </w:rPr>
              <w:t>Outstanding Obligations</w:t>
            </w:r>
          </w:p>
        </w:tc>
        <w:tc>
          <w:tcPr>
            <w:tcW w:w="94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$________</w:t>
            </w:r>
          </w:p>
        </w:tc>
      </w:tr>
      <w:tr>
        <w:trPr>
          <w:trHeight w:val="195"/>
        </w:trPr>
        <w:tc>
          <w:tcPr>
            <w:tcW w:w="640" w:type="dxa"/>
            <w:vAlign w:val="bottom"/>
            <w:tcBorders>
              <w:left w:val="single" w:sz="8" w:color="auto"/>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gridSpan w:val="2"/>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r>
      <w:tr>
        <w:trPr>
          <w:trHeight w:val="244"/>
        </w:trPr>
        <w:tc>
          <w:tcPr>
            <w:tcW w:w="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E.</w:t>
            </w:r>
          </w:p>
        </w:tc>
        <w:tc>
          <w:tcPr>
            <w:tcW w:w="5360" w:type="dxa"/>
            <w:vAlign w:val="bottom"/>
            <w:gridSpan w:val="4"/>
          </w:tcPr>
          <w:p>
            <w:pPr>
              <w:ind w:left="120"/>
              <w:spacing w:after="0"/>
              <w:rPr>
                <w:sz w:val="20"/>
                <w:szCs w:val="20"/>
                <w:color w:val="auto"/>
              </w:rPr>
            </w:pPr>
            <w:r>
              <w:rPr>
                <w:rFonts w:ascii="Arial" w:cs="Arial" w:eastAsia="Arial" w:hAnsi="Arial"/>
                <w:sz w:val="20"/>
                <w:szCs w:val="20"/>
                <w:color w:val="auto"/>
              </w:rPr>
              <w:t>Liquidity Ratio (line C, divided by line D)</w:t>
            </w:r>
          </w:p>
        </w:tc>
        <w:tc>
          <w:tcPr>
            <w:tcW w:w="94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______</w:t>
            </w:r>
          </w:p>
        </w:tc>
      </w:tr>
      <w:tr>
        <w:trPr>
          <w:trHeight w:val="195"/>
        </w:trPr>
        <w:tc>
          <w:tcPr>
            <w:tcW w:w="640" w:type="dxa"/>
            <w:vAlign w:val="bottom"/>
            <w:tcBorders>
              <w:left w:val="single" w:sz="8" w:color="auto"/>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gridSpan w:val="2"/>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r>
      <w:tr>
        <w:trPr>
          <w:trHeight w:val="443"/>
        </w:trPr>
        <w:tc>
          <w:tcPr>
            <w:tcW w:w="6000" w:type="dxa"/>
            <w:vAlign w:val="bottom"/>
            <w:gridSpan w:val="5"/>
          </w:tcPr>
          <w:p>
            <w:pPr>
              <w:spacing w:after="0"/>
              <w:rPr>
                <w:sz w:val="20"/>
                <w:szCs w:val="20"/>
                <w:color w:val="auto"/>
              </w:rPr>
            </w:pPr>
            <w:r>
              <w:rPr>
                <w:rFonts w:ascii="Arial" w:cs="Arial" w:eastAsia="Arial" w:hAnsi="Arial"/>
                <w:sz w:val="20"/>
                <w:szCs w:val="20"/>
                <w:color w:val="auto"/>
              </w:rPr>
              <w:t>Is line E equal to or greater than 1.50:1.00?</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55"/>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20" w:type="dxa"/>
            <w:vAlign w:val="bottom"/>
            <w:gridSpan w:val="2"/>
          </w:tcPr>
          <w:p>
            <w:pPr>
              <w:ind w:left="940"/>
              <w:spacing w:after="0"/>
              <w:rPr>
                <w:sz w:val="20"/>
                <w:szCs w:val="20"/>
                <w:color w:val="auto"/>
              </w:rPr>
            </w:pPr>
            <w:r>
              <w:rPr>
                <w:rFonts w:ascii="Arial" w:cs="Arial" w:eastAsia="Arial" w:hAnsi="Arial"/>
                <w:sz w:val="20"/>
                <w:szCs w:val="20"/>
                <w:color w:val="auto"/>
              </w:rPr>
              <w:t>No, not in compliance</w:t>
            </w:r>
          </w:p>
        </w:tc>
        <w:tc>
          <w:tcPr>
            <w:tcW w:w="940" w:type="dxa"/>
            <w:vAlign w:val="bottom"/>
          </w:tcPr>
          <w:p>
            <w:pPr>
              <w:spacing w:after="0"/>
              <w:rPr>
                <w:sz w:val="24"/>
                <w:szCs w:val="24"/>
                <w:color w:val="auto"/>
              </w:rPr>
            </w:pPr>
          </w:p>
        </w:tc>
        <w:tc>
          <w:tcPr>
            <w:tcW w:w="3140" w:type="dxa"/>
            <w:vAlign w:val="bottom"/>
            <w:gridSpan w:val="2"/>
          </w:tcPr>
          <w:p>
            <w:pPr>
              <w:jc w:val="right"/>
              <w:ind w:right="1541"/>
              <w:spacing w:after="0"/>
              <w:rPr>
                <w:sz w:val="20"/>
                <w:szCs w:val="20"/>
                <w:color w:val="auto"/>
              </w:rPr>
            </w:pPr>
            <w:r>
              <w:rPr>
                <w:rFonts w:ascii="Arial" w:cs="Arial" w:eastAsia="Arial" w:hAnsi="Arial"/>
                <w:sz w:val="20"/>
                <w:szCs w:val="20"/>
                <w:color w:val="auto"/>
                <w:w w:val="88"/>
              </w:rPr>
              <w:t>Yes, in compliance</w:t>
            </w:r>
          </w:p>
        </w:tc>
      </w:tr>
      <w:tr>
        <w:trPr>
          <w:trHeight w:val="770"/>
        </w:trPr>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118" w:right="919" w:bottom="1440" w:gutter="0" w:footer="0" w:header="0"/>
        </w:sectPr>
      </w:pPr>
    </w:p>
    <w:bookmarkStart w:id="65" w:name="page66"/>
    <w:bookmarkEnd w:id="65"/>
    <w:p>
      <w:pPr>
        <w:ind w:left="681" w:hanging="681"/>
        <w:spacing w:after="0"/>
        <w:tabs>
          <w:tab w:leader="none" w:pos="681"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 xml:space="preserve">Performance to Plan </w:t>
      </w:r>
      <w:r>
        <w:rPr>
          <w:rFonts w:ascii="Arial" w:cs="Arial" w:eastAsia="Arial" w:hAnsi="Arial"/>
          <w:sz w:val="20"/>
          <w:szCs w:val="20"/>
          <w:color w:val="auto"/>
        </w:rPr>
        <w:t>(Section 6.7(b))</w:t>
      </w:r>
    </w:p>
    <w:p>
      <w:pPr>
        <w:spacing w:after="0" w:line="236" w:lineRule="exact"/>
        <w:rPr>
          <w:sz w:val="20"/>
          <w:szCs w:val="20"/>
          <w:color w:val="auto"/>
        </w:rPr>
      </w:pPr>
    </w:p>
    <w:p>
      <w:pPr>
        <w:ind w:left="1"/>
        <w:spacing w:after="0"/>
        <w:rPr>
          <w:sz w:val="20"/>
          <w:szCs w:val="20"/>
          <w:color w:val="auto"/>
        </w:rPr>
      </w:pPr>
      <w:r>
        <w:rPr>
          <w:rFonts w:ascii="Arial" w:cs="Arial" w:eastAsia="Arial" w:hAnsi="Arial"/>
          <w:sz w:val="19"/>
          <w:szCs w:val="19"/>
          <w:color w:val="auto"/>
        </w:rPr>
        <w:t>Required TFS Revenue of Borrower for such month (calculated on a cumulative fiscal year to date basis):</w:t>
      </w:r>
    </w:p>
    <w:p>
      <w:pPr>
        <w:spacing w:after="0" w:line="251" w:lineRule="exact"/>
        <w:rPr>
          <w:sz w:val="20"/>
          <w:szCs w:val="20"/>
          <w:color w:val="auto"/>
        </w:rPr>
      </w:pPr>
    </w:p>
    <w:tbl>
      <w:tblPr>
        <w:tblLayout w:type="fixed"/>
        <w:tblInd w:w="1031" w:type="dxa"/>
        <w:tblCellMar>
          <w:top w:w="0" w:type="dxa"/>
          <w:left w:w="0" w:type="dxa"/>
          <w:bottom w:w="0" w:type="dxa"/>
          <w:right w:w="0" w:type="dxa"/>
        </w:tblCellMar>
      </w:tblPr>
      <w:tr>
        <w:trPr>
          <w:trHeight w:val="203"/>
        </w:trPr>
        <w:tc>
          <w:tcPr>
            <w:tcW w:w="4440" w:type="dxa"/>
            <w:vAlign w:val="bottom"/>
            <w:tcBorders>
              <w:top w:val="single" w:sz="8" w:color="auto"/>
              <w:left w:val="single" w:sz="8" w:color="auto"/>
              <w:right w:val="single" w:sz="8" w:color="auto"/>
            </w:tcBorders>
            <w:gridSpan w:val="3"/>
          </w:tcPr>
          <w:p>
            <w:pPr>
              <w:jc w:val="center"/>
              <w:ind w:right="40"/>
              <w:spacing w:after="0" w:line="203" w:lineRule="exact"/>
              <w:rPr>
                <w:sz w:val="20"/>
                <w:szCs w:val="20"/>
                <w:color w:val="auto"/>
              </w:rPr>
            </w:pPr>
            <w:r>
              <w:rPr>
                <w:rFonts w:ascii="Arial" w:cs="Arial" w:eastAsia="Arial" w:hAnsi="Arial"/>
                <w:sz w:val="20"/>
                <w:szCs w:val="20"/>
                <w:color w:val="auto"/>
                <w:w w:val="93"/>
              </w:rPr>
              <w:t>Month Ending</w:t>
            </w:r>
          </w:p>
        </w:tc>
        <w:tc>
          <w:tcPr>
            <w:tcW w:w="3620" w:type="dxa"/>
            <w:vAlign w:val="bottom"/>
            <w:tcBorders>
              <w:top w:val="single" w:sz="8" w:color="auto"/>
              <w:right w:val="single" w:sz="8" w:color="auto"/>
            </w:tcBorders>
            <w:gridSpan w:val="3"/>
          </w:tcPr>
          <w:p>
            <w:pPr>
              <w:jc w:val="center"/>
              <w:ind w:right="40"/>
              <w:spacing w:after="0" w:line="203" w:lineRule="exact"/>
              <w:rPr>
                <w:sz w:val="20"/>
                <w:szCs w:val="20"/>
                <w:color w:val="auto"/>
              </w:rPr>
            </w:pPr>
            <w:r>
              <w:rPr>
                <w:rFonts w:ascii="Arial" w:cs="Arial" w:eastAsia="Arial" w:hAnsi="Arial"/>
                <w:sz w:val="20"/>
                <w:szCs w:val="20"/>
                <w:color w:val="auto"/>
                <w:w w:val="92"/>
              </w:rPr>
              <w:t>Minimum TFS Revenue</w:t>
            </w:r>
          </w:p>
        </w:tc>
      </w:tr>
      <w:tr>
        <w:trPr>
          <w:trHeight w:val="129"/>
        </w:trPr>
        <w:tc>
          <w:tcPr>
            <w:tcW w:w="1620" w:type="dxa"/>
            <w:vAlign w:val="bottom"/>
            <w:tcBorders>
              <w:left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940" w:type="dxa"/>
            <w:vAlign w:val="bottom"/>
            <w:tcBorders>
              <w:top w:val="single" w:sz="8" w:color="auto"/>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r>
      <w:tr>
        <w:trPr>
          <w:trHeight w:val="244"/>
        </w:trPr>
        <w:tc>
          <w:tcPr>
            <w:tcW w:w="1620" w:type="dxa"/>
            <w:vAlign w:val="bottom"/>
            <w:tcBorders>
              <w:left w:val="single" w:sz="8" w:color="auto"/>
            </w:tcBorders>
          </w:tcPr>
          <w:p>
            <w:pPr>
              <w:spacing w:after="0"/>
              <w:rPr>
                <w:sz w:val="21"/>
                <w:szCs w:val="21"/>
                <w:color w:val="auto"/>
              </w:rPr>
            </w:pPr>
          </w:p>
        </w:tc>
        <w:tc>
          <w:tcPr>
            <w:tcW w:w="2820" w:type="dxa"/>
            <w:vAlign w:val="bottom"/>
            <w:tcBorders>
              <w:right w:val="single" w:sz="8" w:color="auto"/>
            </w:tcBorders>
            <w:gridSpan w:val="2"/>
          </w:tcPr>
          <w:p>
            <w:pPr>
              <w:jc w:val="center"/>
              <w:ind w:right="1640"/>
              <w:spacing w:after="0"/>
              <w:rPr>
                <w:sz w:val="20"/>
                <w:szCs w:val="20"/>
                <w:color w:val="auto"/>
              </w:rPr>
            </w:pPr>
            <w:r>
              <w:rPr>
                <w:rFonts w:ascii="Arial" w:cs="Arial" w:eastAsia="Arial" w:hAnsi="Arial"/>
                <w:sz w:val="20"/>
                <w:szCs w:val="20"/>
                <w:color w:val="auto"/>
                <w:w w:val="86"/>
              </w:rPr>
              <w:t>June 30, 2019</w:t>
            </w:r>
          </w:p>
        </w:tc>
        <w:tc>
          <w:tcPr>
            <w:tcW w:w="2760" w:type="dxa"/>
            <w:vAlign w:val="bottom"/>
            <w:gridSpan w:val="2"/>
          </w:tcPr>
          <w:p>
            <w:pPr>
              <w:jc w:val="center"/>
              <w:ind w:left="721"/>
              <w:spacing w:after="0"/>
              <w:rPr>
                <w:sz w:val="20"/>
                <w:szCs w:val="20"/>
                <w:color w:val="auto"/>
              </w:rPr>
            </w:pPr>
            <w:r>
              <w:rPr>
                <w:rFonts w:ascii="Arial" w:cs="Arial" w:eastAsia="Arial" w:hAnsi="Arial"/>
                <w:sz w:val="20"/>
                <w:szCs w:val="20"/>
                <w:color w:val="auto"/>
                <w:w w:val="88"/>
              </w:rPr>
              <w:t>$17,806,000</w:t>
            </w:r>
          </w:p>
        </w:tc>
        <w:tc>
          <w:tcPr>
            <w:tcW w:w="860" w:type="dxa"/>
            <w:vAlign w:val="bottom"/>
            <w:tcBorders>
              <w:right w:val="single" w:sz="8" w:color="auto"/>
            </w:tcBorders>
          </w:tcPr>
          <w:p>
            <w:pPr>
              <w:spacing w:after="0"/>
              <w:rPr>
                <w:sz w:val="21"/>
                <w:szCs w:val="21"/>
                <w:color w:val="auto"/>
              </w:rPr>
            </w:pPr>
          </w:p>
        </w:tc>
      </w:tr>
      <w:tr>
        <w:trPr>
          <w:trHeight w:val="87"/>
        </w:trPr>
        <w:tc>
          <w:tcPr>
            <w:tcW w:w="1620" w:type="dxa"/>
            <w:vAlign w:val="bottom"/>
            <w:tcBorders>
              <w:left w:val="single" w:sz="8" w:color="auto"/>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r>
      <w:tr>
        <w:trPr>
          <w:trHeight w:val="244"/>
        </w:trPr>
        <w:tc>
          <w:tcPr>
            <w:tcW w:w="1620" w:type="dxa"/>
            <w:vAlign w:val="bottom"/>
            <w:tcBorders>
              <w:left w:val="single" w:sz="8" w:color="auto"/>
            </w:tcBorders>
          </w:tcPr>
          <w:p>
            <w:pPr>
              <w:spacing w:after="0"/>
              <w:rPr>
                <w:sz w:val="21"/>
                <w:szCs w:val="21"/>
                <w:color w:val="auto"/>
              </w:rPr>
            </w:pPr>
          </w:p>
        </w:tc>
        <w:tc>
          <w:tcPr>
            <w:tcW w:w="2820" w:type="dxa"/>
            <w:vAlign w:val="bottom"/>
            <w:tcBorders>
              <w:right w:val="single" w:sz="8" w:color="auto"/>
            </w:tcBorders>
            <w:gridSpan w:val="2"/>
          </w:tcPr>
          <w:p>
            <w:pPr>
              <w:jc w:val="center"/>
              <w:ind w:right="1660"/>
              <w:spacing w:after="0"/>
              <w:rPr>
                <w:sz w:val="20"/>
                <w:szCs w:val="20"/>
                <w:color w:val="auto"/>
              </w:rPr>
            </w:pPr>
            <w:r>
              <w:rPr>
                <w:rFonts w:ascii="Arial" w:cs="Arial" w:eastAsia="Arial" w:hAnsi="Arial"/>
                <w:sz w:val="20"/>
                <w:szCs w:val="20"/>
                <w:color w:val="auto"/>
                <w:w w:val="90"/>
              </w:rPr>
              <w:t>July 31, 2019</w:t>
            </w:r>
          </w:p>
        </w:tc>
        <w:tc>
          <w:tcPr>
            <w:tcW w:w="2760" w:type="dxa"/>
            <w:vAlign w:val="bottom"/>
            <w:gridSpan w:val="2"/>
          </w:tcPr>
          <w:p>
            <w:pPr>
              <w:jc w:val="center"/>
              <w:ind w:left="721"/>
              <w:spacing w:after="0"/>
              <w:rPr>
                <w:sz w:val="20"/>
                <w:szCs w:val="20"/>
                <w:color w:val="auto"/>
              </w:rPr>
            </w:pPr>
            <w:r>
              <w:rPr>
                <w:rFonts w:ascii="Arial" w:cs="Arial" w:eastAsia="Arial" w:hAnsi="Arial"/>
                <w:sz w:val="20"/>
                <w:szCs w:val="20"/>
                <w:color w:val="auto"/>
                <w:w w:val="88"/>
              </w:rPr>
              <w:t>$19,500,000</w:t>
            </w:r>
          </w:p>
        </w:tc>
        <w:tc>
          <w:tcPr>
            <w:tcW w:w="860" w:type="dxa"/>
            <w:vAlign w:val="bottom"/>
            <w:tcBorders>
              <w:right w:val="single" w:sz="8" w:color="auto"/>
            </w:tcBorders>
          </w:tcPr>
          <w:p>
            <w:pPr>
              <w:spacing w:after="0"/>
              <w:rPr>
                <w:sz w:val="21"/>
                <w:szCs w:val="21"/>
                <w:color w:val="auto"/>
              </w:rPr>
            </w:pPr>
          </w:p>
        </w:tc>
      </w:tr>
      <w:tr>
        <w:trPr>
          <w:trHeight w:val="87"/>
        </w:trPr>
        <w:tc>
          <w:tcPr>
            <w:tcW w:w="1620" w:type="dxa"/>
            <w:vAlign w:val="bottom"/>
            <w:tcBorders>
              <w:left w:val="single" w:sz="8" w:color="auto"/>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r>
      <w:tr>
        <w:trPr>
          <w:trHeight w:val="244"/>
        </w:trPr>
        <w:tc>
          <w:tcPr>
            <w:tcW w:w="4440" w:type="dxa"/>
            <w:vAlign w:val="bottom"/>
            <w:tcBorders>
              <w:left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0"/>
              </w:rPr>
              <w:t>August 31, 2019</w:t>
            </w:r>
          </w:p>
        </w:tc>
        <w:tc>
          <w:tcPr>
            <w:tcW w:w="2760" w:type="dxa"/>
            <w:vAlign w:val="bottom"/>
            <w:gridSpan w:val="2"/>
          </w:tcPr>
          <w:p>
            <w:pPr>
              <w:jc w:val="center"/>
              <w:ind w:left="721"/>
              <w:spacing w:after="0"/>
              <w:rPr>
                <w:sz w:val="20"/>
                <w:szCs w:val="20"/>
                <w:color w:val="auto"/>
              </w:rPr>
            </w:pPr>
            <w:r>
              <w:rPr>
                <w:rFonts w:ascii="Arial" w:cs="Arial" w:eastAsia="Arial" w:hAnsi="Arial"/>
                <w:sz w:val="20"/>
                <w:szCs w:val="20"/>
                <w:color w:val="auto"/>
                <w:w w:val="88"/>
              </w:rPr>
              <w:t>$22,000,000</w:t>
            </w:r>
          </w:p>
        </w:tc>
        <w:tc>
          <w:tcPr>
            <w:tcW w:w="860" w:type="dxa"/>
            <w:vAlign w:val="bottom"/>
            <w:tcBorders>
              <w:right w:val="single" w:sz="8" w:color="auto"/>
            </w:tcBorders>
          </w:tcPr>
          <w:p>
            <w:pPr>
              <w:spacing w:after="0"/>
              <w:rPr>
                <w:sz w:val="21"/>
                <w:szCs w:val="21"/>
                <w:color w:val="auto"/>
              </w:rPr>
            </w:pPr>
          </w:p>
        </w:tc>
      </w:tr>
      <w:tr>
        <w:trPr>
          <w:trHeight w:val="87"/>
        </w:trPr>
        <w:tc>
          <w:tcPr>
            <w:tcW w:w="1620" w:type="dxa"/>
            <w:vAlign w:val="bottom"/>
            <w:tcBorders>
              <w:left w:val="single" w:sz="8" w:color="auto"/>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r>
      <w:tr>
        <w:trPr>
          <w:trHeight w:val="244"/>
        </w:trPr>
        <w:tc>
          <w:tcPr>
            <w:tcW w:w="444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7"/>
              </w:rPr>
              <w:t>September 30, 2019</w:t>
            </w:r>
          </w:p>
        </w:tc>
        <w:tc>
          <w:tcPr>
            <w:tcW w:w="2760" w:type="dxa"/>
            <w:vAlign w:val="bottom"/>
            <w:gridSpan w:val="2"/>
          </w:tcPr>
          <w:p>
            <w:pPr>
              <w:jc w:val="center"/>
              <w:ind w:left="721"/>
              <w:spacing w:after="0"/>
              <w:rPr>
                <w:sz w:val="20"/>
                <w:szCs w:val="20"/>
                <w:color w:val="auto"/>
              </w:rPr>
            </w:pPr>
            <w:r>
              <w:rPr>
                <w:rFonts w:ascii="Arial" w:cs="Arial" w:eastAsia="Arial" w:hAnsi="Arial"/>
                <w:sz w:val="20"/>
                <w:szCs w:val="20"/>
                <w:color w:val="auto"/>
                <w:w w:val="88"/>
              </w:rPr>
              <w:t>$26,147,000</w:t>
            </w:r>
          </w:p>
        </w:tc>
        <w:tc>
          <w:tcPr>
            <w:tcW w:w="860" w:type="dxa"/>
            <w:vAlign w:val="bottom"/>
            <w:tcBorders>
              <w:right w:val="single" w:sz="8" w:color="auto"/>
            </w:tcBorders>
          </w:tcPr>
          <w:p>
            <w:pPr>
              <w:spacing w:after="0"/>
              <w:rPr>
                <w:sz w:val="21"/>
                <w:szCs w:val="21"/>
                <w:color w:val="auto"/>
              </w:rPr>
            </w:pPr>
          </w:p>
        </w:tc>
      </w:tr>
      <w:tr>
        <w:trPr>
          <w:trHeight w:val="87"/>
        </w:trPr>
        <w:tc>
          <w:tcPr>
            <w:tcW w:w="1620" w:type="dxa"/>
            <w:vAlign w:val="bottom"/>
            <w:tcBorders>
              <w:left w:val="single" w:sz="8" w:color="auto"/>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r>
      <w:tr>
        <w:trPr>
          <w:trHeight w:val="244"/>
        </w:trPr>
        <w:tc>
          <w:tcPr>
            <w:tcW w:w="444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9"/>
              </w:rPr>
              <w:t>October 31, 2019</w:t>
            </w:r>
          </w:p>
        </w:tc>
        <w:tc>
          <w:tcPr>
            <w:tcW w:w="2760" w:type="dxa"/>
            <w:vAlign w:val="bottom"/>
            <w:gridSpan w:val="2"/>
          </w:tcPr>
          <w:p>
            <w:pPr>
              <w:jc w:val="center"/>
              <w:ind w:left="721"/>
              <w:spacing w:after="0"/>
              <w:rPr>
                <w:sz w:val="20"/>
                <w:szCs w:val="20"/>
                <w:color w:val="auto"/>
              </w:rPr>
            </w:pPr>
            <w:r>
              <w:rPr>
                <w:rFonts w:ascii="Arial" w:cs="Arial" w:eastAsia="Arial" w:hAnsi="Arial"/>
                <w:sz w:val="20"/>
                <w:szCs w:val="20"/>
                <w:color w:val="auto"/>
                <w:w w:val="88"/>
              </w:rPr>
              <w:t>$28,200,000</w:t>
            </w:r>
          </w:p>
        </w:tc>
        <w:tc>
          <w:tcPr>
            <w:tcW w:w="860" w:type="dxa"/>
            <w:vAlign w:val="bottom"/>
            <w:tcBorders>
              <w:right w:val="single" w:sz="8" w:color="auto"/>
            </w:tcBorders>
          </w:tcPr>
          <w:p>
            <w:pPr>
              <w:spacing w:after="0"/>
              <w:rPr>
                <w:sz w:val="21"/>
                <w:szCs w:val="21"/>
                <w:color w:val="auto"/>
              </w:rPr>
            </w:pPr>
          </w:p>
        </w:tc>
      </w:tr>
      <w:tr>
        <w:trPr>
          <w:trHeight w:val="87"/>
        </w:trPr>
        <w:tc>
          <w:tcPr>
            <w:tcW w:w="1620" w:type="dxa"/>
            <w:vAlign w:val="bottom"/>
            <w:tcBorders>
              <w:left w:val="single" w:sz="8" w:color="auto"/>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r>
      <w:tr>
        <w:trPr>
          <w:trHeight w:val="244"/>
        </w:trPr>
        <w:tc>
          <w:tcPr>
            <w:tcW w:w="444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9"/>
              </w:rPr>
              <w:t>November 30, 2019</w:t>
            </w:r>
          </w:p>
        </w:tc>
        <w:tc>
          <w:tcPr>
            <w:tcW w:w="2760" w:type="dxa"/>
            <w:vAlign w:val="bottom"/>
            <w:gridSpan w:val="2"/>
          </w:tcPr>
          <w:p>
            <w:pPr>
              <w:jc w:val="center"/>
              <w:ind w:left="721"/>
              <w:spacing w:after="0"/>
              <w:rPr>
                <w:sz w:val="20"/>
                <w:szCs w:val="20"/>
                <w:color w:val="auto"/>
              </w:rPr>
            </w:pPr>
            <w:r>
              <w:rPr>
                <w:rFonts w:ascii="Arial" w:cs="Arial" w:eastAsia="Arial" w:hAnsi="Arial"/>
                <w:sz w:val="20"/>
                <w:szCs w:val="20"/>
                <w:color w:val="auto"/>
                <w:w w:val="88"/>
              </w:rPr>
              <w:t>$31,300,000</w:t>
            </w:r>
          </w:p>
        </w:tc>
        <w:tc>
          <w:tcPr>
            <w:tcW w:w="860" w:type="dxa"/>
            <w:vAlign w:val="bottom"/>
            <w:tcBorders>
              <w:right w:val="single" w:sz="8" w:color="auto"/>
            </w:tcBorders>
          </w:tcPr>
          <w:p>
            <w:pPr>
              <w:spacing w:after="0"/>
              <w:rPr>
                <w:sz w:val="21"/>
                <w:szCs w:val="21"/>
                <w:color w:val="auto"/>
              </w:rPr>
            </w:pPr>
          </w:p>
        </w:tc>
      </w:tr>
      <w:tr>
        <w:trPr>
          <w:trHeight w:val="87"/>
        </w:trPr>
        <w:tc>
          <w:tcPr>
            <w:tcW w:w="1620" w:type="dxa"/>
            <w:vAlign w:val="bottom"/>
            <w:tcBorders>
              <w:left w:val="single" w:sz="8" w:color="auto"/>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r>
      <w:tr>
        <w:trPr>
          <w:trHeight w:val="244"/>
        </w:trPr>
        <w:tc>
          <w:tcPr>
            <w:tcW w:w="4440" w:type="dxa"/>
            <w:vAlign w:val="bottom"/>
            <w:tcBorders>
              <w:left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December 31, 2019</w:t>
            </w:r>
          </w:p>
        </w:tc>
        <w:tc>
          <w:tcPr>
            <w:tcW w:w="2760" w:type="dxa"/>
            <w:vAlign w:val="bottom"/>
            <w:gridSpan w:val="2"/>
          </w:tcPr>
          <w:p>
            <w:pPr>
              <w:jc w:val="center"/>
              <w:ind w:left="721"/>
              <w:spacing w:after="0"/>
              <w:rPr>
                <w:sz w:val="20"/>
                <w:szCs w:val="20"/>
                <w:color w:val="auto"/>
              </w:rPr>
            </w:pPr>
            <w:r>
              <w:rPr>
                <w:rFonts w:ascii="Arial" w:cs="Arial" w:eastAsia="Arial" w:hAnsi="Arial"/>
                <w:sz w:val="20"/>
                <w:szCs w:val="20"/>
                <w:color w:val="auto"/>
                <w:w w:val="88"/>
              </w:rPr>
              <w:t>$36,426,000</w:t>
            </w:r>
          </w:p>
        </w:tc>
        <w:tc>
          <w:tcPr>
            <w:tcW w:w="860" w:type="dxa"/>
            <w:vAlign w:val="bottom"/>
            <w:tcBorders>
              <w:right w:val="single" w:sz="8" w:color="auto"/>
            </w:tcBorders>
          </w:tcPr>
          <w:p>
            <w:pPr>
              <w:spacing w:after="0"/>
              <w:rPr>
                <w:sz w:val="21"/>
                <w:szCs w:val="21"/>
                <w:color w:val="auto"/>
              </w:rPr>
            </w:pPr>
          </w:p>
        </w:tc>
      </w:tr>
      <w:tr>
        <w:trPr>
          <w:trHeight w:val="87"/>
        </w:trPr>
        <w:tc>
          <w:tcPr>
            <w:tcW w:w="1620" w:type="dxa"/>
            <w:vAlign w:val="bottom"/>
            <w:tcBorders>
              <w:left w:val="single" w:sz="8" w:color="auto"/>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r>
    </w:tbl>
    <w:p>
      <w:pPr>
        <w:spacing w:after="0" w:line="199" w:lineRule="exact"/>
        <w:rPr>
          <w:sz w:val="20"/>
          <w:szCs w:val="20"/>
          <w:color w:val="auto"/>
        </w:rPr>
      </w:pPr>
    </w:p>
    <w:p>
      <w:pPr>
        <w:ind w:left="1"/>
        <w:spacing w:after="0"/>
        <w:rPr>
          <w:sz w:val="20"/>
          <w:szCs w:val="20"/>
          <w:color w:val="auto"/>
        </w:rPr>
      </w:pPr>
      <w:r>
        <w:rPr>
          <w:rFonts w:ascii="Arial" w:cs="Arial" w:eastAsia="Arial" w:hAnsi="Arial"/>
          <w:sz w:val="20"/>
          <w:szCs w:val="20"/>
          <w:color w:val="auto"/>
        </w:rPr>
        <w:t>Actual:</w:t>
      </w:r>
    </w:p>
    <w:p>
      <w:pPr>
        <w:spacing w:after="0" w:line="280" w:lineRule="exact"/>
        <w:rPr>
          <w:sz w:val="20"/>
          <w:szCs w:val="20"/>
          <w:color w:val="auto"/>
        </w:rPr>
      </w:pPr>
    </w:p>
    <w:tbl>
      <w:tblPr>
        <w:tblLayout w:type="fixed"/>
        <w:tblInd w:w="1031" w:type="dxa"/>
        <w:tblCellMar>
          <w:top w:w="0" w:type="dxa"/>
          <w:left w:w="0" w:type="dxa"/>
          <w:bottom w:w="0" w:type="dxa"/>
          <w:right w:w="0" w:type="dxa"/>
        </w:tblCellMar>
      </w:tblPr>
      <w:tr>
        <w:trPr>
          <w:trHeight w:val="203"/>
        </w:trPr>
        <w:tc>
          <w:tcPr>
            <w:tcW w:w="460" w:type="dxa"/>
            <w:vAlign w:val="bottom"/>
            <w:tcBorders>
              <w:top w:val="single" w:sz="8" w:color="auto"/>
              <w:left w:val="single" w:sz="8" w:color="auto"/>
              <w:right w:val="single" w:sz="8" w:color="auto"/>
            </w:tcBorders>
          </w:tcPr>
          <w:p>
            <w:pPr>
              <w:ind w:left="120"/>
              <w:spacing w:after="0" w:line="203" w:lineRule="exact"/>
              <w:rPr>
                <w:sz w:val="20"/>
                <w:szCs w:val="20"/>
                <w:color w:val="auto"/>
              </w:rPr>
            </w:pPr>
            <w:r>
              <w:rPr>
                <w:rFonts w:ascii="Arial" w:cs="Arial" w:eastAsia="Arial" w:hAnsi="Arial"/>
                <w:sz w:val="20"/>
                <w:szCs w:val="20"/>
                <w:color w:val="auto"/>
              </w:rPr>
              <w:t>A.</w:t>
            </w:r>
          </w:p>
        </w:tc>
        <w:tc>
          <w:tcPr>
            <w:tcW w:w="6160" w:type="dxa"/>
            <w:vAlign w:val="bottom"/>
            <w:tcBorders>
              <w:top w:val="single" w:sz="8" w:color="auto"/>
              <w:right w:val="single" w:sz="8" w:color="auto"/>
            </w:tcBorders>
          </w:tcPr>
          <w:p>
            <w:pPr>
              <w:ind w:left="100"/>
              <w:spacing w:after="0" w:line="203" w:lineRule="exact"/>
              <w:rPr>
                <w:sz w:val="20"/>
                <w:szCs w:val="20"/>
                <w:color w:val="auto"/>
              </w:rPr>
            </w:pPr>
            <w:r>
              <w:rPr>
                <w:rFonts w:ascii="Arial" w:cs="Arial" w:eastAsia="Arial" w:hAnsi="Arial"/>
                <w:sz w:val="20"/>
                <w:szCs w:val="20"/>
                <w:color w:val="auto"/>
              </w:rPr>
              <w:t>Actual TFS Revenue of Borrower for such month (calculated on a</w:t>
            </w:r>
          </w:p>
        </w:tc>
        <w:tc>
          <w:tcPr>
            <w:tcW w:w="130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20"/>
                <w:szCs w:val="20"/>
                <w:color w:val="auto"/>
                <w:w w:val="95"/>
              </w:rPr>
              <w:t>$___________</w:t>
            </w:r>
          </w:p>
        </w:tc>
        <w:tc>
          <w:tcPr>
            <w:tcW w:w="140" w:type="dxa"/>
            <w:vAlign w:val="bottom"/>
            <w:tcBorders>
              <w:top w:val="single" w:sz="8" w:color="auto"/>
              <w:right w:val="single" w:sz="8" w:color="auto"/>
            </w:tcBorders>
          </w:tcPr>
          <w:p>
            <w:pPr>
              <w:spacing w:after="0"/>
              <w:rPr>
                <w:sz w:val="17"/>
                <w:szCs w:val="17"/>
                <w:color w:val="auto"/>
              </w:rPr>
            </w:pPr>
          </w:p>
        </w:tc>
      </w:tr>
      <w:tr>
        <w:trPr>
          <w:trHeight w:val="254"/>
        </w:trPr>
        <w:tc>
          <w:tcPr>
            <w:tcW w:w="460" w:type="dxa"/>
            <w:vAlign w:val="bottom"/>
            <w:tcBorders>
              <w:left w:val="single" w:sz="8" w:color="auto"/>
              <w:right w:val="single" w:sz="8" w:color="auto"/>
            </w:tcBorders>
          </w:tcPr>
          <w:p>
            <w:pPr>
              <w:spacing w:after="0"/>
              <w:rPr>
                <w:sz w:val="22"/>
                <w:szCs w:val="22"/>
                <w:color w:val="auto"/>
              </w:rPr>
            </w:pP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cumulative year to date basis):</w:t>
            </w:r>
          </w:p>
        </w:tc>
        <w:tc>
          <w:tcPr>
            <w:tcW w:w="22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r>
      <w:tr>
        <w:trPr>
          <w:trHeight w:val="9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616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r>
    </w:tbl>
    <w:p>
      <w:pPr>
        <w:spacing w:after="0" w:line="199" w:lineRule="exact"/>
        <w:rPr>
          <w:sz w:val="20"/>
          <w:szCs w:val="20"/>
          <w:color w:val="auto"/>
        </w:rPr>
      </w:pPr>
    </w:p>
    <w:p>
      <w:pPr>
        <w:ind w:left="1"/>
        <w:spacing w:after="0"/>
        <w:rPr>
          <w:sz w:val="20"/>
          <w:szCs w:val="20"/>
          <w:color w:val="auto"/>
        </w:rPr>
      </w:pPr>
      <w:r>
        <w:rPr>
          <w:rFonts w:ascii="Arial" w:cs="Arial" w:eastAsia="Arial" w:hAnsi="Arial"/>
          <w:sz w:val="20"/>
          <w:szCs w:val="20"/>
          <w:color w:val="auto"/>
        </w:rPr>
        <w:t>Is line A equal to or greater than the amount required above?</w:t>
      </w:r>
    </w:p>
    <w:p>
      <w:pPr>
        <w:spacing w:after="0" w:line="229" w:lineRule="exact"/>
        <w:rPr>
          <w:sz w:val="20"/>
          <w:szCs w:val="20"/>
          <w:color w:val="auto"/>
        </w:rPr>
      </w:pPr>
    </w:p>
    <w:p>
      <w:pPr>
        <w:ind w:left="2921"/>
        <w:spacing w:after="0"/>
        <w:tabs>
          <w:tab w:leader="none" w:pos="6940" w:val="left"/>
        </w:tabs>
        <w:rPr>
          <w:sz w:val="20"/>
          <w:szCs w:val="20"/>
          <w:color w:val="auto"/>
        </w:rPr>
      </w:pPr>
      <w:r>
        <w:rPr>
          <w:rFonts w:ascii="Arial" w:cs="Arial" w:eastAsia="Arial" w:hAnsi="Arial"/>
          <w:sz w:val="20"/>
          <w:szCs w:val="20"/>
          <w:color w:val="auto"/>
        </w:rPr>
        <w:t>No, not in compliance</w:t>
      </w:r>
      <w:r>
        <w:rPr>
          <w:sz w:val="20"/>
          <w:szCs w:val="20"/>
          <w:color w:val="auto"/>
        </w:rPr>
        <w:tab/>
      </w:r>
      <w:r>
        <w:rPr>
          <w:rFonts w:ascii="Arial" w:cs="Arial" w:eastAsia="Arial" w:hAnsi="Arial"/>
          <w:sz w:val="16"/>
          <w:szCs w:val="16"/>
          <w:color w:val="auto"/>
        </w:rPr>
        <w:t>Yes,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10160</wp:posOffset>
            </wp:positionV>
            <wp:extent cx="6172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1245870</wp:posOffset>
            </wp:positionH>
            <wp:positionV relativeFrom="paragraph">
              <wp:posOffset>10160</wp:posOffset>
            </wp:positionV>
            <wp:extent cx="6089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508000</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16" w:right="1440" w:bottom="1440" w:gutter="0" w:footer="0" w:header="0"/>
        </w:sectPr>
      </w:pPr>
    </w:p>
    <w:bookmarkStart w:id="66" w:name="page67"/>
    <w:bookmarkEnd w:id="66"/>
    <w:p>
      <w:pPr>
        <w:jc w:val="right"/>
        <w:ind w:right="139"/>
        <w:spacing w:after="0"/>
        <w:rPr>
          <w:sz w:val="20"/>
          <w:szCs w:val="20"/>
          <w:color w:val="auto"/>
        </w:rPr>
      </w:pPr>
      <w:r>
        <w:rPr>
          <w:rFonts w:ascii="Arial" w:cs="Arial" w:eastAsia="Arial" w:hAnsi="Arial"/>
          <w:sz w:val="20"/>
          <w:szCs w:val="20"/>
          <w:b w:val="1"/>
          <w:bCs w:val="1"/>
          <w:color w:val="313131"/>
        </w:rPr>
        <w:t>Exhibit 10.2</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3"/>
          <w:szCs w:val="13"/>
          <w:b w:val="1"/>
          <w:bCs w:val="1"/>
          <w:color w:val="auto"/>
        </w:rPr>
        <w:t>ON</w:t>
      </w:r>
      <w:r>
        <w:rPr>
          <w:rFonts w:ascii="Arial" w:cs="Arial" w:eastAsia="Arial" w:hAnsi="Arial"/>
          <w:sz w:val="18"/>
          <w:szCs w:val="18"/>
          <w:b w:val="1"/>
          <w:bCs w:val="1"/>
          <w:color w:val="auto"/>
        </w:rPr>
        <w:t>-E</w:t>
      </w:r>
      <w:r>
        <w:rPr>
          <w:rFonts w:ascii="Arial" w:cs="Arial" w:eastAsia="Arial" w:hAnsi="Arial"/>
          <w:sz w:val="13"/>
          <w:szCs w:val="13"/>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OMPENSATION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Compensation</w:t>
      </w:r>
    </w:p>
    <w:p>
      <w:pPr>
        <w:spacing w:after="0" w:line="162" w:lineRule="exact"/>
        <w:rPr>
          <w:sz w:val="20"/>
          <w:szCs w:val="20"/>
          <w:color w:val="auto"/>
        </w:rPr>
      </w:pPr>
    </w:p>
    <w:p>
      <w:pPr>
        <w:jc w:val="both"/>
        <w:ind w:left="160" w:right="199" w:firstLine="441"/>
        <w:spacing w:after="0" w:line="264" w:lineRule="auto"/>
        <w:rPr>
          <w:sz w:val="20"/>
          <w:szCs w:val="20"/>
          <w:color w:val="auto"/>
        </w:rPr>
      </w:pPr>
      <w:r>
        <w:rPr>
          <w:rFonts w:ascii="Arial" w:cs="Arial" w:eastAsia="Arial" w:hAnsi="Arial"/>
          <w:sz w:val="18"/>
          <w:szCs w:val="18"/>
          <w:color w:val="auto"/>
        </w:rPr>
        <w:t>Each non-employee director receives an annual fee of $24,000 in cash for serving on the Board of Directors. The Chairman of the Audit Committee of the Board of Directors receives an additional annual cash fee of $7,500. All fees in cash are payable in equal quarterly installments, payable in arrears.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Compensation</w:t>
      </w:r>
    </w:p>
    <w:p>
      <w:pPr>
        <w:spacing w:after="0" w:line="148" w:lineRule="exact"/>
        <w:rPr>
          <w:sz w:val="20"/>
          <w:szCs w:val="20"/>
          <w:color w:val="auto"/>
        </w:rPr>
      </w:pPr>
    </w:p>
    <w:p>
      <w:pPr>
        <w:ind w:left="160" w:right="239" w:firstLine="441"/>
        <w:spacing w:after="0" w:line="257" w:lineRule="auto"/>
        <w:rPr>
          <w:sz w:val="20"/>
          <w:szCs w:val="20"/>
          <w:color w:val="auto"/>
        </w:rPr>
      </w:pPr>
      <w:r>
        <w:rPr>
          <w:rFonts w:ascii="Arial" w:cs="Arial" w:eastAsia="Arial" w:hAnsi="Arial"/>
          <w:sz w:val="18"/>
          <w:szCs w:val="18"/>
          <w:i w:val="1"/>
          <w:iCs w:val="1"/>
          <w:color w:val="auto"/>
        </w:rPr>
        <w:t>Initial Grants</w:t>
      </w:r>
      <w:r>
        <w:rPr>
          <w:rFonts w:ascii="Arial" w:cs="Arial" w:eastAsia="Arial" w:hAnsi="Arial"/>
          <w:sz w:val="18"/>
          <w:szCs w:val="18"/>
          <w:color w:val="auto"/>
        </w:rPr>
        <w:t>. Newly-elected non-employee directors will be granted an option to purchase 30,000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Everspin common stock (the “Initial Grant”). The shares underlying the Initial Grant will vest monthly over three years subject to continued service on each vesting date. In the event of a change in control, any unvested portion of the shares underlying an Initial Grant will fully vest and become exercisable immediately prior to the effective time of the change in control.</w:t>
      </w:r>
    </w:p>
    <w:p>
      <w:pPr>
        <w:spacing w:after="0" w:line="188" w:lineRule="exact"/>
        <w:rPr>
          <w:sz w:val="20"/>
          <w:szCs w:val="20"/>
          <w:color w:val="auto"/>
        </w:rPr>
      </w:pPr>
    </w:p>
    <w:p>
      <w:pPr>
        <w:ind w:left="160" w:right="179" w:firstLine="441"/>
        <w:spacing w:after="0" w:line="273" w:lineRule="auto"/>
        <w:rPr>
          <w:sz w:val="20"/>
          <w:szCs w:val="20"/>
          <w:color w:val="auto"/>
        </w:rPr>
      </w:pPr>
      <w:r>
        <w:rPr>
          <w:rFonts w:ascii="Arial" w:cs="Arial" w:eastAsia="Arial" w:hAnsi="Arial"/>
          <w:sz w:val="17"/>
          <w:szCs w:val="17"/>
          <w:i w:val="1"/>
          <w:iCs w:val="1"/>
          <w:color w:val="auto"/>
        </w:rPr>
        <w:t xml:space="preserve">Annual Grants. </w:t>
      </w:r>
      <w:r>
        <w:rPr>
          <w:rFonts w:ascii="Arial" w:cs="Arial" w:eastAsia="Arial" w:hAnsi="Arial"/>
          <w:sz w:val="17"/>
          <w:szCs w:val="17"/>
          <w:color w:val="auto"/>
        </w:rPr>
        <w:t>On the date of each annual meeting of stockholders, each then current non-employee director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additional annual stock option grants or restricted stock unit grants (the “Annual Grant”), in an amount to be determined by the Compensation Committee. All stock options underlying an Annual Grant will vest monthly over one year from the date of grant. The restricted stock units vest in full one year after the date of grant. In the event of a change in control, any unvested portion of the shares underlying an Annual Grant will fully vest and become exercisable immediately prior to the effective time of such change in control.</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336550</wp:posOffset>
            </wp:positionV>
            <wp:extent cx="554863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Kevin Conley, certify that:</w:t>
      </w:r>
    </w:p>
    <w:p>
      <w:pPr>
        <w:spacing w:after="0" w:line="144" w:lineRule="exact"/>
        <w:rPr>
          <w:sz w:val="20"/>
          <w:szCs w:val="20"/>
          <w:color w:val="auto"/>
        </w:rPr>
      </w:pPr>
    </w:p>
    <w:p>
      <w:pPr>
        <w:ind w:left="320" w:hanging="317"/>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380" w:right="240" w:hanging="377"/>
        <w:spacing w:after="0" w:line="238"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320" w:firstLine="7"/>
        <w:spacing w:after="0" w:line="219" w:lineRule="auto"/>
        <w:tabs>
          <w:tab w:leader="none" w:pos="572"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320" w:firstLine="7"/>
        <w:spacing w:after="0" w:line="259" w:lineRule="auto"/>
        <w:tabs>
          <w:tab w:leader="none" w:pos="5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320" w:firstLine="7"/>
        <w:spacing w:after="0" w:line="224" w:lineRule="auto"/>
        <w:tabs>
          <w:tab w:leader="none" w:pos="5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20" w:firstLine="7"/>
        <w:spacing w:after="0" w:line="219" w:lineRule="auto"/>
        <w:tabs>
          <w:tab w:leader="none" w:pos="5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320" w:firstLine="7"/>
        <w:spacing w:after="0" w:line="224" w:lineRule="auto"/>
        <w:tabs>
          <w:tab w:leader="none" w:pos="59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20" w:firstLine="7"/>
        <w:spacing w:after="0" w:line="235" w:lineRule="auto"/>
        <w:tabs>
          <w:tab w:leader="none" w:pos="58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Kevin Conley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-121920</wp:posOffset>
            </wp:positionV>
            <wp:extent cx="25387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Jeffrey Winzeler, certify that:</w:t>
      </w:r>
    </w:p>
    <w:p>
      <w:pPr>
        <w:spacing w:after="0" w:line="144"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ind w:left="660" w:right="380" w:hanging="333"/>
        <w:spacing w:after="0" w:line="22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80" w:hanging="333"/>
        <w:spacing w:after="0" w:line="22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hanging="333"/>
        <w:spacing w:after="0" w:line="23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980" w:hanging="329"/>
        <w:spacing w:after="0" w:line="219"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980" w:hanging="329"/>
        <w:spacing w:after="0" w:line="219"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980" w:hanging="329"/>
        <w:spacing w:after="0" w:line="219"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660" w:right="80" w:hanging="333"/>
        <w:spacing w:after="0" w:line="22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980" w:hanging="329"/>
        <w:spacing w:after="0" w:line="235"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Jeffrey Winzeler</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-121920</wp:posOffset>
            </wp:positionV>
            <wp:extent cx="23926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8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Kevin Conley, President and Chief Executive Officer of Everspin Technologies, Inc. (the “Company”), and Jeffrey Winzeler, Chief Financial Officer of the Company, each hereby certifies that, to the best of his knowledge:</w:t>
      </w:r>
    </w:p>
    <w:p>
      <w:pPr>
        <w:spacing w:after="0" w:line="163" w:lineRule="exact"/>
        <w:rPr>
          <w:sz w:val="20"/>
          <w:szCs w:val="20"/>
          <w:color w:val="auto"/>
        </w:rPr>
      </w:pPr>
    </w:p>
    <w:p>
      <w:pPr>
        <w:ind w:right="60" w:firstLine="3"/>
        <w:spacing w:after="0" w:line="22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2019, to which this Certification is attached as Exhibit 32.1 (the “Periodic Report”), fully complies with the requirements of Section 13(a) or Section 15(d) of the Exchange Act; and</w:t>
      </w:r>
    </w:p>
    <w:p>
      <w:pPr>
        <w:spacing w:after="0" w:line="163" w:lineRule="exact"/>
        <w:rPr>
          <w:rFonts w:ascii="Arial" w:cs="Arial" w:eastAsia="Arial" w:hAnsi="Arial"/>
          <w:sz w:val="18"/>
          <w:szCs w:val="18"/>
          <w:color w:val="auto"/>
        </w:rPr>
      </w:pPr>
    </w:p>
    <w:p>
      <w:pPr>
        <w:ind w:right="20" w:firstLine="3"/>
        <w:spacing w:after="0" w:line="235"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754370" cy="857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5754370" cy="857885"/>
                    </a:xfrm>
                    <a:prstGeom prst="rect">
                      <a:avLst/>
                    </a:prstGeom>
                    <a:noFill/>
                  </pic:spPr>
                </pic:pic>
              </a:graphicData>
            </a:graphic>
          </wp:anchor>
        </w:drawing>
      </w:r>
    </w:p>
    <w:p>
      <w:pPr>
        <w:ind w:left="5440"/>
        <w:spacing w:after="0" w:line="232" w:lineRule="auto"/>
        <w:rPr>
          <w:sz w:val="20"/>
          <w:szCs w:val="20"/>
          <w:color w:val="auto"/>
        </w:rPr>
      </w:pPr>
      <w:r>
        <w:rPr>
          <w:rFonts w:ascii="Arial" w:cs="Arial" w:eastAsia="Arial" w:hAnsi="Arial"/>
          <w:sz w:val="18"/>
          <w:szCs w:val="18"/>
          <w:color w:val="auto"/>
        </w:rPr>
        <w:t>Kevin Conley</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Jeffrey Winzeler</w:t>
      </w:r>
    </w:p>
    <w:p>
      <w:pPr>
        <w:ind w:left="5440"/>
        <w:spacing w:after="0" w:line="232" w:lineRule="auto"/>
        <w:rPr>
          <w:sz w:val="20"/>
          <w:szCs w:val="20"/>
          <w:color w:val="auto"/>
        </w:rPr>
      </w:pPr>
      <w:r>
        <w:rPr>
          <w:rFonts w:ascii="Arial" w:cs="Arial" w:eastAsia="Arial" w:hAnsi="Arial"/>
          <w:sz w:val="18"/>
          <w:szCs w:val="18"/>
          <w:color w:val="auto"/>
        </w:rPr>
        <w:t>Jeffrey Winzeler</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Financial Officer)</w:t>
      </w:r>
    </w:p>
    <w:p>
      <w:pPr>
        <w:spacing w:after="0" w:line="14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326390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2"/>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upperLetter"/>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lowerLetter"/>
      <w:start w:val="2"/>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1."/>
      <w:numFmt w:val="decimal"/>
      <w:start w:val="3"/>
    </w:lvl>
  </w:abstractNum>
  <w:abstractNum w:abstractNumId="10">
    <w:nsid w:val="1BEFD79F"/>
    <w:multiLevelType w:val="hybridMultilevel"/>
    <w:lvl w:ilvl="0">
      <w:lvlJc w:val="left"/>
      <w:lvlText w:val="%1."/>
      <w:numFmt w:val="decimal"/>
      <w:start w:val="4"/>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decimal"/>
      <w:start w:val="1"/>
    </w:lvl>
    <w:lvl w:ilvl="1">
      <w:lvlJc w:val="left"/>
      <w:lvlText w:val="(%2)"/>
      <w:numFmt w:val="decimal"/>
      <w:start w:val="1"/>
    </w:lvl>
  </w:abstractNum>
  <w:abstractNum w:abstractNumId="13">
    <w:nsid w:val="4E6AFB66"/>
    <w:multiLevelType w:val="hybridMultilevel"/>
    <w:lvl w:ilvl="0">
      <w:lvlJc w:val="left"/>
      <w:lvlText w:val="(%1)"/>
      <w:numFmt w:val="decimal"/>
      <w:start w:val="5"/>
    </w:lvl>
    <w:lvl w:ilvl="1">
      <w:lvlJc w:val="left"/>
      <w:lvlText w:val="%2"/>
      <w:numFmt w:val="decimal"/>
      <w:start w:val="1"/>
    </w:lvl>
  </w:abstractNum>
  <w:abstractNum w:abstractNumId="14">
    <w:nsid w:val="25E45D32"/>
    <w:multiLevelType w:val="hybridMultilevel"/>
    <w:lvl w:ilvl="0">
      <w:lvlJc w:val="left"/>
      <w:lvlText w:val="%1."/>
      <w:numFmt w:val="upperLetter"/>
      <w:start w:val="9"/>
    </w:lvl>
  </w:abstractNum>
  <w:abstractNum w:abstractNumId="15">
    <w:nsid w:val="519B500D"/>
    <w:multiLevelType w:val="hybridMultilevel"/>
    <w:lvl w:ilvl="0">
      <w:lvlJc w:val="left"/>
      <w:lvlText w:val="%1."/>
      <w:numFmt w:val="upperLetter"/>
      <w:start w:val="35"/>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68" Type="http://schemas.openxmlformats.org/officeDocument/2006/relationships/hyperlink" Target="http://www.sec.gov/Archives/edgar/data/1438423/000119312516737688/d271840dex31.htm" TargetMode="External"/><Relationship Id="rId69" Type="http://schemas.openxmlformats.org/officeDocument/2006/relationships/hyperlink" Target="http://www.sec.gov/Archives/edgar/data/1438423/000119312519154165/d752899dex31.htm" TargetMode="External"/><Relationship Id="rId70" Type="http://schemas.openxmlformats.org/officeDocument/2006/relationships/hyperlink" Target="http://www.sec.gov/Archives/edgar/data/1438423/000119312519154165/d752899dex32.htm" TargetMode="External"/><Relationship Id="rId71" Type="http://schemas.openxmlformats.org/officeDocument/2006/relationships/hyperlink" Target="http://www.sec.gov/Archives/edgar/data/1438423/000119312516706479/d180963dex41.htm" TargetMode="External"/><Relationship Id="rId72" Type="http://schemas.openxmlformats.org/officeDocument/2006/relationships/hyperlink" Target="http://www.sec.gov/Archives/edgar/data/1438423/000155837018006798/mram-20180630ex42c5286a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2019-12-28T08:12:58Z</dcterms:created>
  <dcterms:modified xsi:type="dcterms:W3CDTF">2019-12-28T08:12:58Z</dcterms:modified>
</cp:coreProperties>
</file>