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August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Everspin Technologies,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318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Delaware</w:t>
            </w:r>
          </w:p>
        </w:tc>
        <w:tc>
          <w:tcPr>
            <w:tcW w:w="34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001-37900</w:t>
            </w:r>
          </w:p>
        </w:tc>
        <w:tc>
          <w:tcPr>
            <w:tcW w:w="270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26-2640654</w:t>
            </w:r>
          </w:p>
        </w:tc>
      </w:tr>
      <w:tr>
        <w:trPr>
          <w:trHeight w:val="216"/>
        </w:trPr>
        <w:tc>
          <w:tcPr>
            <w:tcW w:w="3180" w:type="dxa"/>
            <w:vAlign w:val="bottom"/>
          </w:tcPr>
          <w:p>
            <w:pPr>
              <w:jc w:val="center"/>
              <w:ind w:right="1050"/>
              <w:spacing w:after="0"/>
              <w:rPr>
                <w:sz w:val="20"/>
                <w:szCs w:val="20"/>
                <w:color w:val="auto"/>
              </w:rPr>
            </w:pPr>
            <w:r>
              <w:rPr>
                <w:rFonts w:ascii="Arial" w:cs="Arial" w:eastAsia="Arial" w:hAnsi="Arial"/>
                <w:sz w:val="18"/>
                <w:szCs w:val="18"/>
                <w:b w:val="1"/>
                <w:bCs w:val="1"/>
                <w:color w:val="auto"/>
                <w:w w:val="90"/>
              </w:rPr>
              <w:t>(State or other jurisdiction</w:t>
            </w:r>
          </w:p>
        </w:tc>
        <w:tc>
          <w:tcPr>
            <w:tcW w:w="346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2700" w:type="dxa"/>
            <w:vAlign w:val="bottom"/>
          </w:tcPr>
          <w:p>
            <w:pPr>
              <w:jc w:val="center"/>
              <w:ind w:left="1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18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of incorporation)</w:t>
            </w:r>
          </w:p>
        </w:tc>
        <w:tc>
          <w:tcPr>
            <w:tcW w:w="346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2700" w:type="dxa"/>
            <w:vAlign w:val="bottom"/>
          </w:tcPr>
          <w:p>
            <w:pPr>
              <w:jc w:val="center"/>
              <w:ind w:left="1210"/>
              <w:spacing w:after="0"/>
              <w:rPr>
                <w:sz w:val="20"/>
                <w:szCs w:val="20"/>
                <w:color w:val="auto"/>
              </w:rPr>
            </w:pPr>
            <w:r>
              <w:rPr>
                <w:rFonts w:ascii="Arial" w:cs="Arial" w:eastAsia="Arial" w:hAnsi="Arial"/>
                <w:sz w:val="18"/>
                <w:szCs w:val="18"/>
                <w:b w:val="1"/>
                <w:bCs w:val="1"/>
                <w:color w:val="auto"/>
                <w:w w:val="92"/>
              </w:rPr>
              <w:t>Identification No.)</w:t>
            </w:r>
          </w:p>
        </w:tc>
      </w:tr>
    </w:tbl>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5670 W. Chandler Blvd.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Suite 100</w:t>
      </w:r>
    </w:p>
    <w:p>
      <w:pPr>
        <w:jc w:val="center"/>
        <w:spacing w:after="0" w:line="230" w:lineRule="auto"/>
        <w:rPr>
          <w:sz w:val="20"/>
          <w:szCs w:val="20"/>
          <w:color w:val="auto"/>
        </w:rPr>
      </w:pPr>
      <w:r>
        <w:rPr>
          <w:rFonts w:ascii="Arial" w:cs="Arial" w:eastAsia="Arial" w:hAnsi="Arial"/>
          <w:sz w:val="22"/>
          <w:szCs w:val="22"/>
          <w:b w:val="1"/>
          <w:bCs w:val="1"/>
          <w:color w:val="auto"/>
        </w:rPr>
        <w:t>Chandler, Arizona 85226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(Address of principal executive offices, including zip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(480) 347-1111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right="40"/>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7"/>
              </w:rPr>
              <w:t>Title of each class</w:t>
            </w:r>
          </w:p>
        </w:tc>
        <w:tc>
          <w:tcPr>
            <w:tcW w:w="29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9"/>
              </w:rPr>
              <w:t>Trading Symbol(s)</w:t>
            </w:r>
          </w:p>
        </w:tc>
        <w:tc>
          <w:tcPr>
            <w:tcW w:w="42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4"/>
        </w:trPr>
        <w:tc>
          <w:tcPr>
            <w:tcW w:w="40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Common Stock, par value $0.0001</w:t>
            </w:r>
          </w:p>
        </w:tc>
        <w:tc>
          <w:tcPr>
            <w:tcW w:w="2920" w:type="dxa"/>
            <w:vAlign w:val="bottom"/>
          </w:tcPr>
          <w:p>
            <w:pPr>
              <w:jc w:val="center"/>
              <w:ind w:left="110"/>
              <w:spacing w:after="0"/>
              <w:rPr>
                <w:sz w:val="20"/>
                <w:szCs w:val="20"/>
                <w:color w:val="auto"/>
              </w:rPr>
            </w:pPr>
            <w:r>
              <w:rPr>
                <w:rFonts w:ascii="Arial" w:cs="Arial" w:eastAsia="Arial" w:hAnsi="Arial"/>
                <w:sz w:val="18"/>
                <w:szCs w:val="18"/>
                <w:b w:val="1"/>
                <w:bCs w:val="1"/>
                <w:color w:val="auto"/>
              </w:rPr>
              <w:t>MRAM</w:t>
            </w:r>
          </w:p>
        </w:tc>
        <w:tc>
          <w:tcPr>
            <w:tcW w:w="4240" w:type="dxa"/>
            <w:vAlign w:val="bottom"/>
          </w:tcPr>
          <w:p>
            <w:pPr>
              <w:jc w:val="center"/>
              <w:ind w:left="330"/>
              <w:spacing w:after="0"/>
              <w:rPr>
                <w:sz w:val="20"/>
                <w:szCs w:val="20"/>
                <w:color w:val="auto"/>
              </w:rPr>
            </w:pPr>
            <w:r>
              <w:rPr>
                <w:rFonts w:ascii="Arial" w:cs="Arial" w:eastAsia="Arial" w:hAnsi="Arial"/>
                <w:sz w:val="18"/>
                <w:szCs w:val="18"/>
                <w:b w:val="1"/>
                <w:bCs w:val="1"/>
                <w:color w:val="auto"/>
                <w:w w:val="92"/>
              </w:rPr>
              <w:t>The Nasdaq Stock Market</w:t>
            </w:r>
          </w:p>
        </w:tc>
      </w:tr>
    </w:tbl>
    <w:p>
      <w:pPr>
        <w:spacing w:after="0" w:line="203" w:lineRule="exact"/>
        <w:rPr>
          <w:sz w:val="24"/>
          <w:szCs w:val="24"/>
          <w:color w:val="auto"/>
        </w:rPr>
      </w:pPr>
    </w:p>
    <w:p>
      <w:pPr>
        <w:ind w:right="380"/>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05"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ectPr>
          <w:pgSz w:w="11900" w:h="16838" w:orient="portrait"/>
          <w:cols w:equalWidth="0" w:num="1">
            <w:col w:w="11240"/>
          </w:cols>
          <w:pgMar w:left="320" w:top="936" w:right="339" w:bottom="0" w:gutter="0" w:footer="0" w:header="0"/>
        </w:sectPr>
      </w:pPr>
    </w:p>
    <w:bookmarkStart w:id="1" w:name="page2"/>
    <w:bookmarkEnd w:id="1"/>
    <w:p>
      <w:pPr>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361" w:right="47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40" w:lineRule="exact"/>
        <w:rPr>
          <w:sz w:val="20"/>
          <w:szCs w:val="20"/>
          <w:color w:val="auto"/>
        </w:rPr>
      </w:pPr>
    </w:p>
    <w:p>
      <w:pPr>
        <w:ind w:right="1040" w:firstLine="405"/>
        <w:spacing w:after="0" w:line="250" w:lineRule="auto"/>
        <w:rPr>
          <w:sz w:val="20"/>
          <w:szCs w:val="20"/>
          <w:color w:val="auto"/>
        </w:rPr>
      </w:pPr>
      <w:r>
        <w:rPr>
          <w:rFonts w:ascii="Arial" w:cs="Arial" w:eastAsia="Arial" w:hAnsi="Arial"/>
          <w:sz w:val="22"/>
          <w:szCs w:val="22"/>
          <w:color w:val="auto"/>
        </w:rPr>
        <w:t>On August 6, 2020, the Company issued a press release, a copy of which is attached hereto as Exhibit 99.1 and is incorporated herein by reference.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300" w:type="dxa"/>
            <w:vAlign w:val="bottom"/>
          </w:tcPr>
          <w:p>
            <w:pPr>
              <w:spacing w:after="0"/>
              <w:rPr>
                <w:sz w:val="20"/>
                <w:szCs w:val="20"/>
                <w:color w:val="auto"/>
              </w:rPr>
            </w:pPr>
          </w:p>
        </w:tc>
        <w:tc>
          <w:tcPr>
            <w:tcW w:w="10040" w:type="dxa"/>
            <w:vAlign w:val="bottom"/>
            <w:tcBorders>
              <w:bottom w:val="single" w:sz="8" w:color="auto"/>
            </w:tcBorders>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900" w:type="dxa"/>
            <w:vAlign w:val="bottom"/>
          </w:tcPr>
          <w:p>
            <w:pPr>
              <w:jc w:val="center"/>
              <w:ind w:right="17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10340" w:type="dxa"/>
            <w:vAlign w:val="bottom"/>
            <w:gridSpan w:val="2"/>
          </w:tcPr>
          <w:p>
            <w:pPr>
              <w:ind w:left="3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August 6, 2020.</w:t>
              </w:r>
            </w:hyperlink>
          </w:p>
        </w:tc>
      </w:tr>
      <w:tr>
        <w:trPr>
          <w:trHeight w:val="496"/>
        </w:trPr>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40" w:type="dxa"/>
            <w:vAlign w:val="bottom"/>
          </w:tcPr>
          <w:p>
            <w:pPr>
              <w:ind w:left="3720"/>
              <w:spacing w:after="0"/>
              <w:rPr>
                <w:sz w:val="20"/>
                <w:szCs w:val="20"/>
                <w:color w:val="auto"/>
              </w:rPr>
            </w:pPr>
            <w:r>
              <w:rPr>
                <w:rFonts w:ascii="Arial" w:cs="Arial" w:eastAsia="Arial" w:hAnsi="Arial"/>
                <w:sz w:val="22"/>
                <w:szCs w:val="22"/>
                <w:b w:val="1"/>
                <w:bCs w:val="1"/>
                <w:color w:val="auto"/>
              </w:rPr>
              <w:t>SIGNATURES</w:t>
            </w:r>
          </w:p>
        </w:tc>
      </w:tr>
    </w:tbl>
    <w:p>
      <w:pPr>
        <w:spacing w:after="0" w:line="212" w:lineRule="exact"/>
        <w:rPr>
          <w:sz w:val="20"/>
          <w:szCs w:val="20"/>
          <w:color w:val="auto"/>
        </w:rPr>
      </w:pPr>
    </w:p>
    <w:p>
      <w:pPr>
        <w:ind w:right="58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Dated:  August 6, 2020</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Daniel Berenbaum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Daniel Berenbaum</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Everspin Reports Second Quarter 2020 Financial Results</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i w:val="1"/>
          <w:iCs w:val="1"/>
          <w:color w:val="auto"/>
        </w:rPr>
        <w:t>Achieves Another Quarter of Sequential Growth Driven by Record STT-MRAM Revenue</w:t>
      </w:r>
    </w:p>
    <w:p>
      <w:pPr>
        <w:spacing w:after="0" w:line="206"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CHANDLER, Ariz.--(BUSINESS WIRE)--August 6, 2020--Everspin Technologies, Inc. (NASDAQ: MRAM), the market leader in MRAM, today announced financial results for the second quarter ended June 30, 2020.</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and Recent Highlights</w:t>
      </w:r>
    </w:p>
    <w:p>
      <w:pPr>
        <w:spacing w:after="0" w:line="212" w:lineRule="exact"/>
        <w:rPr>
          <w:sz w:val="20"/>
          <w:szCs w:val="20"/>
          <w:color w:val="auto"/>
        </w:rPr>
      </w:pPr>
    </w:p>
    <w:p>
      <w:pPr>
        <w:ind w:left="540" w:right="3540"/>
        <w:spacing w:after="0" w:line="250" w:lineRule="auto"/>
        <w:rPr>
          <w:sz w:val="20"/>
          <w:szCs w:val="20"/>
          <w:color w:val="auto"/>
        </w:rPr>
      </w:pPr>
      <w:r>
        <w:rPr>
          <w:rFonts w:ascii="Arial" w:cs="Arial" w:eastAsia="Arial" w:hAnsi="Arial"/>
          <w:sz w:val="21"/>
          <w:szCs w:val="21"/>
          <w:color w:val="auto"/>
        </w:rPr>
        <w:t>Total revenue increased 37% year-over-year and 17% sequentially to $11.8 million Operating expenses declined 18% over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-245110</wp:posOffset>
            </wp:positionV>
            <wp:extent cx="4254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45" cy="4318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-90805</wp:posOffset>
            </wp:positionV>
            <wp:extent cx="4254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right="360"/>
        <w:spacing w:after="0" w:line="230" w:lineRule="auto"/>
        <w:rPr>
          <w:sz w:val="20"/>
          <w:szCs w:val="20"/>
          <w:color w:val="auto"/>
        </w:rPr>
      </w:pPr>
      <w:r>
        <w:rPr>
          <w:rFonts w:ascii="Arial" w:cs="Arial" w:eastAsia="Arial" w:hAnsi="Arial"/>
          <w:sz w:val="22"/>
          <w:szCs w:val="22"/>
          <w:color w:val="auto"/>
        </w:rPr>
        <w:t>GAAP loss improved to $1.3 million, or ($0.07) per share, and non-GAAP loss to $0.4 million, or ($0.02), compared to $3.7 million, or ($0.21) per share, and $2.9 million, or ($0.17) per share, respectively, in the second quarter of 2019 Achieved positive adjusted EBITDA of $0.2 million, compared to a negative ($2.2) million in the year-ago quarter Appointed Daniel Berenbaum CFO bringing strong semiconductor finance and Wall Street experience to the executive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-706755</wp:posOffset>
            </wp:positionV>
            <wp:extent cx="4254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545" cy="4318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-398145</wp:posOffset>
            </wp:positionV>
            <wp:extent cx="4254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545" cy="4318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-243840</wp:posOffset>
            </wp:positionV>
            <wp:extent cx="4254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Ended quarter with cash and equivalents of $12.9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-97790</wp:posOffset>
            </wp:positionV>
            <wp:extent cx="4254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168" w:lineRule="exact"/>
        <w:rPr>
          <w:sz w:val="20"/>
          <w:szCs w:val="20"/>
          <w:color w:val="auto"/>
        </w:rPr>
      </w:pPr>
    </w:p>
    <w:p>
      <w:pPr>
        <w:ind w:right="260"/>
        <w:spacing w:after="0" w:line="238" w:lineRule="auto"/>
        <w:rPr>
          <w:sz w:val="20"/>
          <w:szCs w:val="20"/>
          <w:color w:val="auto"/>
        </w:rPr>
      </w:pPr>
      <w:r>
        <w:rPr>
          <w:rFonts w:ascii="Arial" w:cs="Arial" w:eastAsia="Arial" w:hAnsi="Arial"/>
          <w:sz w:val="22"/>
          <w:szCs w:val="22"/>
          <w:color w:val="auto"/>
        </w:rPr>
        <w:t>“We extended our momentum into the second quarter, achieving the fourth consecutive quarter of growth including record revenue from the ramp of our 1Gb STT-MRAM product,” stated Kevin Conley, Everspin’s President and CEO. “A significant contributor to this growth was our ability to respond to a surge in demand from our OEM customers that supply the data center market.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“Entering the third quarter, we are seeing a delay of customers’ new product introduction plans, resulting in reduced visibility and expectations for the quarter. Despite these current market challenges, we remain encouraged about our future growth opportunities, growing pipeline of business and improved financial positioning.”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Second Quarter 2020 Results</w:t>
      </w:r>
    </w:p>
    <w:p>
      <w:pPr>
        <w:spacing w:after="0" w:line="212"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Total revenue for the second quarter of 2020 was $11.8 million, an increase of 17% from the $10.1 million last quarter and 37% over the $8.6 million reported in the second quarter of 2019.</w:t>
      </w:r>
    </w:p>
    <w:p>
      <w:pPr>
        <w:spacing w:after="0" w:line="175"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Gross margin for the second quarter of 2020 was 43.9%, compared to 52.9% in the prior quarter and 46.5% in the second quarter of 2019.</w:t>
      </w:r>
    </w:p>
    <w:p>
      <w:pPr>
        <w:spacing w:after="0" w:line="17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GAAP operating expenses for the second quarter of 2020 decreased to $6.3 million, compared to $6.9 million in the first quarter of 2020 and $7.6 million in the second quarter of 2019. On a non-GAAP basis, operating expenses for the second quarter of 2020 were $5.4 million, compared to $6.2 million in the prior quarter and $6.8 million in the year-ago quarter.</w:t>
      </w:r>
    </w:p>
    <w:p>
      <w:pPr>
        <w:spacing w:after="0" w:line="134" w:lineRule="exact"/>
        <w:rPr>
          <w:sz w:val="20"/>
          <w:szCs w:val="20"/>
          <w:color w:val="auto"/>
        </w:rPr>
      </w:pPr>
    </w:p>
    <w:p>
      <w:pPr>
        <w:ind w:right="140"/>
        <w:spacing w:after="0"/>
        <w:rPr>
          <w:sz w:val="20"/>
          <w:szCs w:val="20"/>
          <w:color w:val="auto"/>
        </w:rPr>
      </w:pPr>
      <w:r>
        <w:rPr>
          <w:rFonts w:ascii="Arial" w:cs="Arial" w:eastAsia="Arial" w:hAnsi="Arial"/>
          <w:sz w:val="22"/>
          <w:szCs w:val="22"/>
          <w:color w:val="auto"/>
        </w:rPr>
        <w:t>GAAP net loss for the second quarter of 2020 was $1.3 million, or ($0.07) per share, based on 18.7 million weighted-average shares outstanding. This compares to a net loss of $1.7 million, or ($0.10) per share, in the first quarter of 2020 and a net loss of $3.7 million, or ($0.21) per share, in the second quarter of 2019.</w:t>
      </w:r>
    </w:p>
    <w:p>
      <w:pPr>
        <w:spacing w:after="0" w:line="18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On a non-GAAP basis, net loss for the second quarter of 2020 was $0.4 million, or ($0.02) per share, compared to a net loss of $1.0 million, or ($0.05) per share, in the prior quarter, and a net loss of $2.9 million, or ($0.17) per share, in the second quarter of 2019.</w:t>
      </w:r>
    </w:p>
    <w:p>
      <w:pPr>
        <w:spacing w:after="0" w:line="186"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Adjusted EBITDA for the second quarter of 2020 improved to a positive $0.2 million, compared to a negative ($0.3) million last quarter and a negative ($2.2) million in the prior year period.</w:t>
      </w:r>
    </w:p>
    <w:p>
      <w:pPr>
        <w:spacing w:after="0" w:line="175"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Cash and cash equivalents as of June 30, 2020 were $12.9 million, compared to $14.0 million at the end of the first quarter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Business Outlook</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For the third quarter of 2020, Everspin expects total revenue of between $10.0 million and $10.8 million, compared to $9.2 million in the year-ago quarter. GAAP net loss is expected to range between ($0.11) and ($0.05) per share. Excluding stock-based compensation expense of $0.05 per share, non-GAAP net loss is expected to range between a loss of ($0.06) per share and breakeven.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w:t>
      </w:r>
    </w:p>
    <w:p>
      <w:pPr>
        <w:spacing w:after="0" w:line="212"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 xml:space="preserve">Everspin will host a conference call for analysts and investors today at 5:00 p.m. Eastern Time. Interested participants can access the call by dialing </w:t>
      </w:r>
      <w:r>
        <w:rPr>
          <w:rFonts w:ascii="Arial" w:cs="Arial" w:eastAsia="Arial" w:hAnsi="Arial"/>
          <w:sz w:val="22"/>
          <w:szCs w:val="22"/>
          <w:b w:val="1"/>
          <w:bCs w:val="1"/>
          <w:color w:val="auto"/>
        </w:rPr>
        <w:t>1-844-889-7788</w:t>
      </w:r>
      <w:r>
        <w:rPr>
          <w:rFonts w:ascii="Arial" w:cs="Arial" w:eastAsia="Arial" w:hAnsi="Arial"/>
          <w:sz w:val="22"/>
          <w:szCs w:val="22"/>
          <w:color w:val="auto"/>
        </w:rPr>
        <w:t xml:space="preserve"> and providing passcode 3958179. International callers may join the call by dialing +1-661-378-9932, using the same code. The call will also be available as a live and archived webcast in the Investor Relations section of the company’s website at investor.everspin.com.</w:t>
      </w:r>
    </w:p>
    <w:p>
      <w:pPr>
        <w:spacing w:after="0" w:line="185" w:lineRule="exact"/>
        <w:rPr>
          <w:sz w:val="20"/>
          <w:szCs w:val="20"/>
          <w:color w:val="auto"/>
        </w:rPr>
      </w:pPr>
    </w:p>
    <w:p>
      <w:pPr>
        <w:ind w:right="40"/>
        <w:spacing w:after="0"/>
        <w:rPr>
          <w:sz w:val="20"/>
          <w:szCs w:val="20"/>
          <w:color w:val="auto"/>
        </w:rPr>
      </w:pPr>
      <w:r>
        <w:rPr>
          <w:rFonts w:ascii="Arial" w:cs="Arial" w:eastAsia="Arial" w:hAnsi="Arial"/>
          <w:sz w:val="22"/>
          <w:szCs w:val="22"/>
          <w:color w:val="auto"/>
        </w:rPr>
        <w:t>A telephone replay of the conference call will be available approximately two hours after the call through August 13, 2020. The replay can be accessed by dialing 1-855-859-2056 and using the passcode 3958179. International callers should dial +1-404-537-3406 and enter the same passcode at the prompt.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Everspin Technologies</w:t>
      </w:r>
    </w:p>
    <w:p>
      <w:pPr>
        <w:spacing w:after="0" w:line="212"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Everspin Technologies, Inc. is the world’s leading provider of Magnetoresistive RAM (MRAM). Everspin MRAM delivers the industry’s most robust, highest performance non-volatile memory for Industrial IoT, Data Center, and other mission-critical applications where data persistence is paramount. Headquartered in Chandler, Arizona, Everspin provides commercially available MRAM solutions to a large and diverse customer base. For more information, visit www.everspin.com. NASDAQ: MRAM.</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12" w:lineRule="exact"/>
        <w:rPr>
          <w:sz w:val="20"/>
          <w:szCs w:val="20"/>
          <w:color w:val="auto"/>
        </w:rPr>
      </w:pPr>
    </w:p>
    <w:p>
      <w:pPr>
        <w:ind w:right="160"/>
        <w:spacing w:after="0" w:line="277" w:lineRule="auto"/>
        <w:rPr>
          <w:sz w:val="20"/>
          <w:szCs w:val="20"/>
          <w:color w:val="auto"/>
        </w:rPr>
      </w:pPr>
      <w:r>
        <w:rPr>
          <w:rFonts w:ascii="Arial" w:cs="Arial" w:eastAsia="Arial" w:hAnsi="Arial"/>
          <w:sz w:val="19"/>
          <w:szCs w:val="19"/>
          <w:color w:val="auto"/>
        </w:rPr>
        <w:t>This press release contains forward-looking statements regarding future results that involve risks and uncertainties that could cause actual results or events to differ materially from the expectations disclosed in the forward-looking statements, including, but not limited to the statements made under the caption “Business Outlook.” Actual results could differ materially from these forward-looking statements as a result of certain factors, including, without limitation, the risks set forth in Everspin’s Form 10-Qs filed with the Securities and Exchange Commission on May 8, 2020, and August 6, 2020, under the caption “Risk Factors.” Subsequent events may cause these expectations to change, and Everspin disclaims any obligations to update or alter these forward-looking statements in the future,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w:t>
            </w:r>
          </w:p>
        </w:tc>
      </w:tr>
      <w:tr>
        <w:trPr>
          <w:trHeight w:val="250"/>
        </w:trPr>
        <w:tc>
          <w:tcPr>
            <w:tcW w:w="7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43"/>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37"/>
        </w:trPr>
        <w:tc>
          <w:tcPr>
            <w:tcW w:w="7480" w:type="dxa"/>
            <w:vAlign w:val="bottom"/>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9"/>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12,916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14,487</w:t>
            </w:r>
          </w:p>
        </w:tc>
      </w:tr>
      <w:tr>
        <w:trPr>
          <w:trHeight w:val="237"/>
        </w:trPr>
        <w:tc>
          <w:tcPr>
            <w:tcW w:w="748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7,339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5,799</w:t>
            </w:r>
          </w:p>
        </w:tc>
      </w:tr>
      <w:tr>
        <w:trPr>
          <w:trHeight w:val="249"/>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w:t>
            </w: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8,368</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7,863</w:t>
            </w:r>
          </w:p>
        </w:tc>
      </w:tr>
      <w:tr>
        <w:trPr>
          <w:trHeight w:val="243"/>
        </w:trPr>
        <w:tc>
          <w:tcPr>
            <w:tcW w:w="748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501</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539</w:t>
            </w:r>
          </w:p>
        </w:tc>
      </w:tr>
      <w:tr>
        <w:trPr>
          <w:trHeight w:val="237"/>
        </w:trPr>
        <w:tc>
          <w:tcPr>
            <w:tcW w:w="7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29,124</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28,688</w:t>
            </w:r>
          </w:p>
        </w:tc>
      </w:tr>
      <w:tr>
        <w:trPr>
          <w:trHeight w:val="237"/>
        </w:trPr>
        <w:tc>
          <w:tcPr>
            <w:tcW w:w="74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2,908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3,479</w:t>
            </w:r>
          </w:p>
        </w:tc>
      </w:tr>
      <w:tr>
        <w:trPr>
          <w:trHeight w:val="249"/>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2,985</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3,132</w:t>
            </w:r>
          </w:p>
        </w:tc>
      </w:tr>
      <w:tr>
        <w:trPr>
          <w:trHeight w:val="243"/>
        </w:trPr>
        <w:tc>
          <w:tcPr>
            <w:tcW w:w="7480" w:type="dxa"/>
            <w:vAlign w:val="bottom"/>
          </w:tcPr>
          <w:p>
            <w:pPr>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73</w:t>
            </w:r>
          </w:p>
        </w:tc>
      </w:tr>
      <w:tr>
        <w:trPr>
          <w:trHeight w:val="276"/>
        </w:trPr>
        <w:tc>
          <w:tcPr>
            <w:tcW w:w="74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35,090</w:t>
            </w: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35,372</w:t>
            </w:r>
          </w:p>
        </w:tc>
      </w:tr>
      <w:tr>
        <w:trPr>
          <w:trHeight w:val="224"/>
        </w:trPr>
        <w:tc>
          <w:tcPr>
            <w:tcW w:w="7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3"/>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37"/>
        </w:trPr>
        <w:tc>
          <w:tcPr>
            <w:tcW w:w="7480" w:type="dxa"/>
            <w:vAlign w:val="bottom"/>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9"/>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68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2,074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2,873</w:t>
            </w:r>
          </w:p>
        </w:tc>
      </w:tr>
      <w:tr>
        <w:trPr>
          <w:trHeight w:val="237"/>
        </w:trPr>
        <w:tc>
          <w:tcPr>
            <w:tcW w:w="748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1,392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2,727</w:t>
            </w:r>
          </w:p>
        </w:tc>
      </w:tr>
      <w:tr>
        <w:trPr>
          <w:trHeight w:val="249"/>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1,073</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670</w:t>
            </w:r>
          </w:p>
        </w:tc>
      </w:tr>
      <w:tr>
        <w:trPr>
          <w:trHeight w:val="237"/>
        </w:trPr>
        <w:tc>
          <w:tcPr>
            <w:tcW w:w="7480" w:type="dxa"/>
            <w:vAlign w:val="bottom"/>
          </w:tcPr>
          <w:p>
            <w:pPr>
              <w:ind w:left="220"/>
              <w:spacing w:after="0"/>
              <w:rPr>
                <w:sz w:val="20"/>
                <w:szCs w:val="20"/>
                <w:color w:val="auto"/>
              </w:rPr>
            </w:pPr>
            <w:r>
              <w:rPr>
                <w:rFonts w:ascii="Arial" w:cs="Arial" w:eastAsia="Arial" w:hAnsi="Arial"/>
                <w:sz w:val="18"/>
                <w:szCs w:val="18"/>
                <w:color w:val="auto"/>
              </w:rPr>
              <w:t>Operating lease liabilities</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1,546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1,582</w:t>
            </w:r>
          </w:p>
        </w:tc>
      </w:tr>
      <w:tr>
        <w:trPr>
          <w:trHeight w:val="249"/>
        </w:trPr>
        <w:tc>
          <w:tcPr>
            <w:tcW w:w="7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r>
      <w:tr>
        <w:trPr>
          <w:trHeight w:val="230"/>
        </w:trPr>
        <w:tc>
          <w:tcPr>
            <w:tcW w:w="748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6,129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7,894</w:t>
            </w:r>
          </w:p>
        </w:tc>
      </w:tr>
      <w:tr>
        <w:trPr>
          <w:trHeight w:val="249"/>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6,893</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7,149</w:t>
            </w:r>
          </w:p>
        </w:tc>
      </w:tr>
      <w:tr>
        <w:trPr>
          <w:trHeight w:val="243"/>
        </w:trPr>
        <w:tc>
          <w:tcPr>
            <w:tcW w:w="748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4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1,656</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1,840</w:t>
            </w:r>
          </w:p>
        </w:tc>
      </w:tr>
      <w:tr>
        <w:trPr>
          <w:trHeight w:val="237"/>
        </w:trPr>
        <w:tc>
          <w:tcPr>
            <w:tcW w:w="74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14,678</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16,883</w:t>
            </w: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49"/>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15"/>
        </w:trPr>
        <w:tc>
          <w:tcPr>
            <w:tcW w:w="7480" w:type="dxa"/>
            <w:vAlign w:val="bottom"/>
          </w:tcPr>
          <w:p>
            <w:pPr>
              <w:ind w:left="220"/>
              <w:spacing w:after="0"/>
              <w:rPr>
                <w:sz w:val="20"/>
                <w:szCs w:val="20"/>
                <w:color w:val="auto"/>
              </w:rPr>
            </w:pPr>
            <w:r>
              <w:rPr>
                <w:rFonts w:ascii="Arial" w:cs="Arial" w:eastAsia="Arial" w:hAnsi="Arial"/>
                <w:sz w:val="18"/>
                <w:szCs w:val="18"/>
                <w:color w:val="auto"/>
                <w:w w:val="93"/>
              </w:rPr>
              <w:t>Preferred stock, $0.0001 par value per share; 5,000,000 shares authorized; no shares issued and</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7"/>
        </w:trPr>
        <w:tc>
          <w:tcPr>
            <w:tcW w:w="7480" w:type="dxa"/>
            <w:vAlign w:val="bottom"/>
          </w:tcPr>
          <w:p>
            <w:pPr>
              <w:ind w:left="220"/>
              <w:spacing w:after="0"/>
              <w:rPr>
                <w:sz w:val="20"/>
                <w:szCs w:val="20"/>
                <w:color w:val="auto"/>
              </w:rPr>
            </w:pPr>
            <w:r>
              <w:rPr>
                <w:rFonts w:ascii="Arial" w:cs="Arial" w:eastAsia="Arial" w:hAnsi="Arial"/>
                <w:sz w:val="18"/>
                <w:szCs w:val="18"/>
                <w:color w:val="auto"/>
              </w:rPr>
              <w:t>outstanding as of June 30, 2020 and December 31, 2019</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2"/>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Common stock, $0.0001 par value per share; 100,000,000 shares authorized; 18,869,775 and</w:t>
            </w: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4"/>
        </w:trPr>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18,081,753 shares issued and outstanding as of June 30, 2020 and December 31, 2019</w:t>
            </w: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r>
      <w:tr>
        <w:trPr>
          <w:trHeight w:val="237"/>
        </w:trPr>
        <w:tc>
          <w:tcPr>
            <w:tcW w:w="74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172,098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167,149</w:t>
            </w:r>
          </w:p>
        </w:tc>
      </w:tr>
      <w:tr>
        <w:trPr>
          <w:trHeight w:val="249"/>
        </w:trPr>
        <w:tc>
          <w:tcPr>
            <w:tcW w:w="7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Accumulated deficit</w:t>
            </w: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(151,688)</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(148,662)</w:t>
            </w:r>
          </w:p>
        </w:tc>
      </w:tr>
      <w:tr>
        <w:trPr>
          <w:trHeight w:val="236"/>
        </w:trPr>
        <w:tc>
          <w:tcPr>
            <w:tcW w:w="7480" w:type="dxa"/>
            <w:vAlign w:val="bottom"/>
          </w:tcPr>
          <w:p>
            <w:pPr>
              <w:ind w:left="420"/>
              <w:spacing w:after="0"/>
              <w:rPr>
                <w:sz w:val="20"/>
                <w:szCs w:val="20"/>
                <w:color w:val="auto"/>
              </w:rPr>
            </w:pPr>
            <w:r>
              <w:rPr>
                <w:rFonts w:ascii="Arial" w:cs="Arial" w:eastAsia="Arial" w:hAnsi="Arial"/>
                <w:sz w:val="18"/>
                <w:szCs w:val="18"/>
                <w:color w:val="auto"/>
              </w:rPr>
              <w:t>Total stockholders’ equity</w:t>
            </w:r>
          </w:p>
        </w:tc>
        <w:tc>
          <w:tcPr>
            <w:tcW w:w="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20,412</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18,489</w:t>
            </w:r>
          </w:p>
        </w:tc>
      </w:tr>
      <w:tr>
        <w:trPr>
          <w:trHeight w:val="277"/>
        </w:trPr>
        <w:tc>
          <w:tcPr>
            <w:tcW w:w="74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35,090</w:t>
            </w: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35,372</w:t>
            </w:r>
          </w:p>
        </w:tc>
      </w:tr>
      <w:tr>
        <w:trPr>
          <w:trHeight w:val="163"/>
        </w:trPr>
        <w:tc>
          <w:tcPr>
            <w:tcW w:w="7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6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20" w:type="dxa"/>
            <w:vAlign w:val="bottom"/>
          </w:tcPr>
          <w:p>
            <w:pPr>
              <w:spacing w:after="0"/>
              <w:rPr>
                <w:sz w:val="20"/>
                <w:szCs w:val="20"/>
                <w:color w:val="auto"/>
              </w:rPr>
            </w:pPr>
          </w:p>
        </w:tc>
        <w:tc>
          <w:tcPr>
            <w:tcW w:w="23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1"/>
              </w:rPr>
              <w:t>Three Months Ended June 30,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w:t>
            </w:r>
          </w:p>
        </w:tc>
        <w:tc>
          <w:tcPr>
            <w:tcW w:w="100" w:type="dxa"/>
            <w:vAlign w:val="bottom"/>
          </w:tcPr>
          <w:p>
            <w:pPr>
              <w:spacing w:after="0"/>
              <w:rPr>
                <w:sz w:val="20"/>
                <w:szCs w:val="20"/>
                <w:color w:val="auto"/>
              </w:rPr>
            </w:pPr>
          </w:p>
        </w:tc>
      </w:tr>
      <w:tr>
        <w:trPr>
          <w:trHeight w:val="239"/>
        </w:trPr>
        <w:tc>
          <w:tcPr>
            <w:tcW w:w="6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41"/>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10,927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17,026</w:t>
            </w:r>
          </w:p>
        </w:tc>
        <w:tc>
          <w:tcPr>
            <w:tcW w:w="100" w:type="dxa"/>
            <w:vAlign w:val="bottom"/>
            <w:shd w:val="clear" w:color="auto" w:fill="CCEEFF"/>
          </w:tcPr>
          <w:p>
            <w:pPr>
              <w:spacing w:after="0"/>
              <w:rPr>
                <w:sz w:val="20"/>
                <w:szCs w:val="20"/>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Licensing, royalty, and other revenue</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1"/>
                <w:szCs w:val="21"/>
                <w:color w:val="auto"/>
              </w:rPr>
            </w:pPr>
          </w:p>
        </w:tc>
      </w:tr>
      <w:tr>
        <w:trPr>
          <w:trHeight w:val="237"/>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11,826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8,646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21,934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18,672</w:t>
            </w:r>
          </w:p>
        </w:tc>
        <w:tc>
          <w:tcPr>
            <w:tcW w:w="100" w:type="dxa"/>
            <w:vAlign w:val="bottom"/>
            <w:shd w:val="clear" w:color="auto" w:fill="CCEEFF"/>
          </w:tcPr>
          <w:p>
            <w:pPr>
              <w:spacing w:after="0"/>
              <w:rPr>
                <w:sz w:val="20"/>
                <w:szCs w:val="20"/>
                <w:color w:val="auto"/>
              </w:rPr>
            </w:pPr>
          </w:p>
        </w:tc>
      </w:t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6,635</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4,627</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11,392</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9,868</w:t>
            </w:r>
          </w:p>
        </w:tc>
        <w:tc>
          <w:tcPr>
            <w:tcW w:w="100" w:type="dxa"/>
            <w:vAlign w:val="bottom"/>
          </w:tcPr>
          <w:p>
            <w:pPr>
              <w:spacing w:after="0"/>
              <w:rPr>
                <w:sz w:val="21"/>
                <w:szCs w:val="21"/>
                <w:color w:val="auto"/>
              </w:rPr>
            </w:pPr>
          </w:p>
        </w:tc>
      </w:tr>
      <w:tr>
        <w:trPr>
          <w:trHeight w:val="237"/>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5,191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10,542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8,804</w:t>
            </w:r>
          </w:p>
        </w:tc>
        <w:tc>
          <w:tcPr>
            <w:tcW w:w="100" w:type="dxa"/>
            <w:vAlign w:val="bottom"/>
            <w:shd w:val="clear" w:color="auto" w:fill="CCEEFF"/>
          </w:tcPr>
          <w:p>
            <w:pPr>
              <w:spacing w:after="0"/>
              <w:rPr>
                <w:sz w:val="20"/>
                <w:szCs w:val="20"/>
                <w:color w:val="auto"/>
              </w:rPr>
            </w:pPr>
          </w:p>
        </w:tc>
      </w:tr>
      <w:tr>
        <w:trPr>
          <w:trHeight w:val="243"/>
        </w:trPr>
        <w:tc>
          <w:tcPr>
            <w:tcW w:w="6320" w:type="dxa"/>
            <w:vAlign w:val="bottom"/>
          </w:tcPr>
          <w:p>
            <w:pPr>
              <w:spacing w:after="0" w:line="243" w:lineRule="exact"/>
              <w:rPr>
                <w:sz w:val="20"/>
                <w:szCs w:val="20"/>
                <w:color w:val="auto"/>
              </w:rPr>
            </w:pPr>
            <w:r>
              <w:rPr>
                <w:rFonts w:ascii="Arial" w:cs="Arial" w:eastAsia="Arial" w:hAnsi="Arial"/>
                <w:sz w:val="17"/>
                <w:szCs w:val="17"/>
                <w:color w:val="auto"/>
              </w:rPr>
              <w:t>Operating expenses:</w:t>
            </w:r>
            <w:r>
              <w:rPr>
                <w:rFonts w:ascii="Arial" w:cs="Arial" w:eastAsia="Arial" w:hAnsi="Arial"/>
                <w:sz w:val="28"/>
                <w:szCs w:val="28"/>
                <w:color w:val="auto"/>
                <w:vertAlign w:val="superscript"/>
              </w:rPr>
              <w:t>1</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7,517</w:t>
            </w:r>
          </w:p>
        </w:tc>
        <w:tc>
          <w:tcPr>
            <w:tcW w:w="100" w:type="dxa"/>
            <w:vAlign w:val="bottom"/>
            <w:shd w:val="clear" w:color="auto" w:fill="CCEEFF"/>
          </w:tcPr>
          <w:p>
            <w:pPr>
              <w:spacing w:after="0"/>
              <w:rPr>
                <w:sz w:val="21"/>
                <w:szCs w:val="21"/>
                <w:color w:val="auto"/>
              </w:rPr>
            </w:pPr>
          </w:p>
        </w:tc>
      </w:tr>
      <w:tr>
        <w:trPr>
          <w:trHeight w:val="237"/>
        </w:trPr>
        <w:tc>
          <w:tcPr>
            <w:tcW w:w="63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2,448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6,451</w:t>
            </w:r>
          </w:p>
        </w:tc>
        <w:tc>
          <w:tcPr>
            <w:tcW w:w="100" w:type="dxa"/>
            <w:vAlign w:val="bottom"/>
          </w:tcPr>
          <w:p>
            <w:pPr>
              <w:spacing w:after="0"/>
              <w:rPr>
                <w:sz w:val="20"/>
                <w:szCs w:val="20"/>
                <w:color w:val="auto"/>
              </w:rPr>
            </w:pPr>
          </w:p>
        </w:tc>
      </w:tr>
      <w:tr>
        <w:trPr>
          <w:trHeight w:val="249"/>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2,603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632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6,278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7,614</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13,211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16,571</w:t>
            </w:r>
          </w:p>
        </w:tc>
        <w:tc>
          <w:tcPr>
            <w:tcW w:w="100" w:type="dxa"/>
            <w:vAlign w:val="bottom"/>
          </w:tcPr>
          <w:p>
            <w:pPr>
              <w:spacing w:after="0"/>
              <w:rPr>
                <w:sz w:val="20"/>
                <w:szCs w:val="20"/>
                <w:color w:val="auto"/>
              </w:rPr>
            </w:pPr>
          </w:p>
        </w:tc>
      </w:tr>
      <w:tr>
        <w:trPr>
          <w:trHeight w:val="237"/>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100" w:type="dxa"/>
            <w:vAlign w:val="bottom"/>
            <w:shd w:val="clear" w:color="auto" w:fill="CCEEFF"/>
          </w:tcPr>
          <w:p>
            <w:pPr>
              <w:spacing w:after="0"/>
              <w:rPr>
                <w:sz w:val="20"/>
                <w:szCs w:val="20"/>
                <w:color w:val="auto"/>
              </w:rPr>
            </w:pPr>
          </w:p>
        </w:tc>
      </w:tr>
      <w:tr>
        <w:trPr>
          <w:trHeight w:val="237"/>
        </w:trPr>
        <w:tc>
          <w:tcPr>
            <w:tcW w:w="632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0"/>
                <w:szCs w:val="20"/>
                <w:color w:val="auto"/>
              </w:rPr>
            </w:pPr>
          </w:p>
        </w:tc>
      </w:tr>
      <w:tr>
        <w:trPr>
          <w:trHeight w:val="249"/>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632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(7,926)</w:t>
            </w:r>
          </w:p>
        </w:tc>
        <w:tc>
          <w:tcPr>
            <w:tcW w:w="100" w:type="dxa"/>
            <w:vAlign w:val="bottom"/>
          </w:tcPr>
          <w:p>
            <w:pPr>
              <w:spacing w:after="0"/>
              <w:rPr>
                <w:sz w:val="20"/>
                <w:szCs w:val="20"/>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6"/>
        </w:trPr>
        <w:tc>
          <w:tcPr>
            <w:tcW w:w="6320" w:type="dxa"/>
            <w:vAlign w:val="bottom"/>
          </w:tcPr>
          <w:p>
            <w:pPr>
              <w:spacing w:after="0" w:line="195" w:lineRule="exact"/>
              <w:rPr>
                <w:sz w:val="20"/>
                <w:szCs w:val="20"/>
                <w:color w:val="auto"/>
              </w:rPr>
            </w:pPr>
            <w:r>
              <w:rPr>
                <w:rFonts w:ascii="Arial" w:cs="Arial" w:eastAsia="Arial" w:hAnsi="Arial"/>
                <w:sz w:val="18"/>
                <w:szCs w:val="18"/>
                <w:color w:val="auto"/>
                <w:w w:val="96"/>
              </w:rPr>
              <w:t>Weighted-average shares used to compute net loss per common share, basic and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6320" w:type="dxa"/>
            <w:vAlign w:val="bottom"/>
          </w:tcPr>
          <w:p>
            <w:pPr>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18,747,124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w w:val="95"/>
              </w:rPr>
              <w:t>17,137,338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18,585,339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w w:val="93"/>
              </w:rPr>
              <w:t>17,117,777</w:t>
            </w:r>
          </w:p>
        </w:tc>
        <w:tc>
          <w:tcPr>
            <w:tcW w:w="100" w:type="dxa"/>
            <w:vAlign w:val="bottom"/>
          </w:tcPr>
          <w:p>
            <w:pPr>
              <w:spacing w:after="0"/>
              <w:rPr>
                <w:sz w:val="20"/>
                <w:szCs w:val="20"/>
                <w:color w:val="auto"/>
              </w:rPr>
            </w:pPr>
          </w:p>
        </w:tc>
      </w:tr>
      <w:tr>
        <w:trPr>
          <w:trHeight w:val="250"/>
        </w:trPr>
        <w:tc>
          <w:tcPr>
            <w:tcW w:w="6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6320" w:type="dxa"/>
            <w:vAlign w:val="bottom"/>
          </w:tcPr>
          <w:p>
            <w:pPr>
              <w:spacing w:after="0" w:line="243" w:lineRule="exact"/>
              <w:rPr>
                <w:sz w:val="20"/>
                <w:szCs w:val="20"/>
                <w:color w:val="auto"/>
              </w:rPr>
            </w:pPr>
            <w:r>
              <w:rPr>
                <w:rFonts w:ascii="Arial" w:cs="Arial" w:eastAsia="Arial" w:hAnsi="Arial"/>
                <w:sz w:val="28"/>
                <w:szCs w:val="28"/>
                <w:color w:val="auto"/>
                <w:vertAlign w:val="superscript"/>
              </w:rPr>
              <w:t>1</w:t>
            </w:r>
            <w:r>
              <w:rPr>
                <w:rFonts w:ascii="Arial" w:cs="Arial" w:eastAsia="Arial" w:hAnsi="Arial"/>
                <w:sz w:val="17"/>
                <w:szCs w:val="17"/>
                <w:color w:val="auto"/>
              </w:rPr>
              <w:t>Operating expenses include stock-based compensation as follows: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21"/>
                <w:szCs w:val="21"/>
                <w:color w:val="auto"/>
              </w:rPr>
            </w:pPr>
          </w:p>
        </w:tc>
      </w:tr>
      <w:tr>
        <w:trPr>
          <w:trHeight w:val="237"/>
        </w:trPr>
        <w:tc>
          <w:tcPr>
            <w:tcW w:w="63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0"/>
                <w:szCs w:val="20"/>
                <w:color w:val="auto"/>
              </w:rPr>
            </w:pPr>
          </w:p>
        </w:tc>
      </w:tr>
      <w:tr>
        <w:trPr>
          <w:trHeight w:val="249"/>
        </w:trPr>
        <w:tc>
          <w:tcPr>
            <w:tcW w:w="6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6"/>
        </w:trPr>
        <w:tc>
          <w:tcPr>
            <w:tcW w:w="6320" w:type="dxa"/>
            <w:vAlign w:val="bottom"/>
          </w:tcPr>
          <w:p>
            <w:pPr>
              <w:ind w:left="420"/>
              <w:spacing w:after="0"/>
              <w:rPr>
                <w:sz w:val="20"/>
                <w:szCs w:val="20"/>
                <w:color w:val="auto"/>
              </w:rPr>
            </w:pPr>
            <w:r>
              <w:rPr>
                <w:rFonts w:ascii="Arial" w:cs="Arial" w:eastAsia="Arial" w:hAnsi="Arial"/>
                <w:sz w:val="18"/>
                <w:szCs w:val="18"/>
                <w:color w:val="auto"/>
              </w:rPr>
              <w:t>Total stock-based compensation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798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0"/>
                <w:szCs w:val="20"/>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6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6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and Non-GAAP Financial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Jun 30,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6"/>
              </w:rPr>
              <w:t>Mar 31,</w:t>
            </w:r>
          </w:p>
        </w:tc>
        <w:tc>
          <w:tcPr>
            <w:tcW w:w="280" w:type="dxa"/>
            <w:vAlign w:val="bottom"/>
          </w:tcPr>
          <w:p>
            <w:pPr>
              <w:spacing w:after="0"/>
              <w:rPr>
                <w:sz w:val="18"/>
                <w:szCs w:val="18"/>
                <w:color w:val="auto"/>
              </w:rPr>
            </w:pPr>
          </w:p>
        </w:tc>
        <w:tc>
          <w:tcPr>
            <w:tcW w:w="104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Jun 30,</w:t>
            </w:r>
          </w:p>
        </w:tc>
        <w:tc>
          <w:tcPr>
            <w:tcW w:w="0" w:type="dxa"/>
            <w:vAlign w:val="bottom"/>
          </w:tcPr>
          <w:p>
            <w:pPr>
              <w:spacing w:after="0"/>
              <w:rPr>
                <w:sz w:val="1"/>
                <w:szCs w:val="1"/>
                <w:color w:val="auto"/>
              </w:rPr>
            </w:pPr>
          </w:p>
        </w:tc>
      </w:tr>
      <w:tr>
        <w:trPr>
          <w:trHeight w:val="241"/>
        </w:trPr>
        <w:tc>
          <w:tcPr>
            <w:tcW w:w="6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GAAP and non-GAAP operating expenses</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Arial" w:cs="Arial" w:eastAsia="Arial" w:hAnsi="Arial"/>
                <w:sz w:val="18"/>
                <w:szCs w:val="18"/>
                <w:color w:val="auto"/>
              </w:rPr>
              <w:t>GAAP operating expenses</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6,278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6,933</w:t>
            </w:r>
          </w:p>
        </w:tc>
        <w:tc>
          <w:tcPr>
            <w:tcW w:w="2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7,614</w:t>
            </w:r>
          </w:p>
        </w:tc>
        <w:tc>
          <w:tcPr>
            <w:tcW w:w="0" w:type="dxa"/>
            <w:vAlign w:val="bottom"/>
          </w:tcPr>
          <w:p>
            <w:pPr>
              <w:spacing w:after="0"/>
              <w:rPr>
                <w:sz w:val="1"/>
                <w:szCs w:val="1"/>
                <w:color w:val="auto"/>
              </w:rPr>
            </w:pPr>
          </w:p>
        </w:tc>
      </w:tr>
      <w:tr>
        <w:trPr>
          <w:trHeight w:val="24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Reconciling item included in research and development</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62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Reconciling item included in selling, general and administrative</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62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724</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643</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36"/>
        </w:trPr>
        <w:tc>
          <w:tcPr>
            <w:tcW w:w="67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 reconciling items included in operating expenses</w:t>
            </w:r>
          </w:p>
        </w:tc>
        <w:tc>
          <w:tcPr>
            <w:tcW w:w="3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884</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780</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Non-GAAP operating expenses</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5,394</w:t>
            </w:r>
          </w:p>
        </w:tc>
        <w:tc>
          <w:tcPr>
            <w:tcW w:w="240" w:type="dxa"/>
            <w:vAlign w:val="bottom"/>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6,153</w:t>
            </w:r>
          </w:p>
        </w:tc>
        <w:tc>
          <w:tcPr>
            <w:tcW w:w="220" w:type="dxa"/>
            <w:vAlign w:val="bottom"/>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6,845</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GAAP NET INCOME (LOSS)</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760" w:type="dxa"/>
            <w:vAlign w:val="bottom"/>
            <w:vMerge w:val="continue"/>
          </w:tcPr>
          <w:p>
            <w:pPr>
              <w:spacing w:after="0"/>
              <w:rPr>
                <w:sz w:val="24"/>
                <w:szCs w:val="24"/>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(1,294)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(1,732)</w:t>
            </w:r>
          </w:p>
        </w:tc>
        <w:tc>
          <w:tcPr>
            <w:tcW w:w="2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Reconciling items included in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884</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780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Non-GAAP net income (loss)</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(951)</w:t>
            </w:r>
          </w:p>
        </w:tc>
        <w:tc>
          <w:tcPr>
            <w:tcW w:w="220" w:type="dxa"/>
            <w:vAlign w:val="bottom"/>
          </w:tcPr>
          <w:p>
            <w:pPr>
              <w:spacing w:after="0"/>
              <w:rPr>
                <w:sz w:val="21"/>
                <w:szCs w:val="2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(loss) per share, basic and diluted</w:t>
            </w:r>
          </w:p>
        </w:tc>
        <w:tc>
          <w:tcPr>
            <w:tcW w:w="3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Weighted average shares to compute net loss per common share, basic and diluted</w:t>
            </w:r>
          </w:p>
        </w:tc>
        <w:tc>
          <w:tcPr>
            <w:tcW w:w="34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18,747</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18,056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17,137</w:t>
            </w:r>
          </w:p>
        </w:tc>
        <w:tc>
          <w:tcPr>
            <w:tcW w:w="0" w:type="dxa"/>
            <w:vAlign w:val="bottom"/>
          </w:tcPr>
          <w:p>
            <w:pPr>
              <w:spacing w:after="0"/>
              <w:rPr>
                <w:sz w:val="1"/>
                <w:szCs w:val="1"/>
                <w:color w:val="auto"/>
              </w:rPr>
            </w:pPr>
          </w:p>
        </w:tc>
      </w:tr>
      <w:tr>
        <w:trPr>
          <w:trHeight w:val="845"/>
        </w:trPr>
        <w:tc>
          <w:tcPr>
            <w:tcW w:w="7100" w:type="dxa"/>
            <w:vAlign w:val="bottom"/>
            <w:gridSpan w:val="2"/>
          </w:tcPr>
          <w:p>
            <w:pPr>
              <w:jc w:val="center"/>
              <w:ind w:left="4050"/>
              <w:spacing w:after="0"/>
              <w:rPr>
                <w:sz w:val="20"/>
                <w:szCs w:val="20"/>
                <w:color w:val="auto"/>
              </w:rPr>
            </w:pPr>
            <w:r>
              <w:rPr>
                <w:rFonts w:ascii="Arial" w:cs="Arial" w:eastAsia="Arial" w:hAnsi="Arial"/>
                <w:sz w:val="18"/>
                <w:szCs w:val="18"/>
                <w:b w:val="1"/>
                <w:bCs w:val="1"/>
                <w:color w:val="auto"/>
              </w:rPr>
              <w:t>EVERSPIN TECHNOLOGIES, INC.</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jc w:val="center"/>
              <w:ind w:left="4050"/>
              <w:spacing w:after="0"/>
              <w:rPr>
                <w:sz w:val="20"/>
                <w:szCs w:val="20"/>
                <w:color w:val="auto"/>
              </w:rPr>
            </w:pPr>
            <w:r>
              <w:rPr>
                <w:rFonts w:ascii="Arial" w:cs="Arial" w:eastAsia="Arial" w:hAnsi="Arial"/>
                <w:sz w:val="18"/>
                <w:szCs w:val="18"/>
                <w:b w:val="1"/>
                <w:bCs w:val="1"/>
                <w:color w:val="auto"/>
                <w:w w:val="92"/>
              </w:rPr>
              <w:t>Reconciliation of Adjusted EBITDA</w:t>
            </w: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jc w:val="center"/>
              <w:ind w:left="4390"/>
              <w:spacing w:after="0"/>
              <w:rPr>
                <w:sz w:val="20"/>
                <w:szCs w:val="20"/>
                <w:color w:val="auto"/>
              </w:rPr>
            </w:pPr>
            <w:r>
              <w:rPr>
                <w:rFonts w:ascii="Arial" w:cs="Arial" w:eastAsia="Arial" w:hAnsi="Arial"/>
                <w:sz w:val="18"/>
                <w:szCs w:val="18"/>
                <w:b w:val="1"/>
                <w:bCs w:val="1"/>
                <w:color w:val="auto"/>
                <w:w w:val="90"/>
              </w:rPr>
              <w:t>(In thousands)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60" w:type="dxa"/>
            <w:vAlign w:val="bottom"/>
          </w:tcPr>
          <w:p>
            <w:pPr>
              <w:jc w:val="center"/>
              <w:ind w:left="4390"/>
              <w:spacing w:after="0"/>
              <w:rPr>
                <w:sz w:val="20"/>
                <w:szCs w:val="20"/>
                <w:color w:val="auto"/>
              </w:rPr>
            </w:pPr>
            <w:r>
              <w:rPr>
                <w:rFonts w:ascii="Arial" w:cs="Arial" w:eastAsia="Arial" w:hAnsi="Arial"/>
                <w:sz w:val="18"/>
                <w:szCs w:val="18"/>
                <w:b w:val="1"/>
                <w:bCs w:val="1"/>
                <w:color w:val="auto"/>
                <w:w w:val="91"/>
              </w:rPr>
              <w:t>(Unaudited)</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6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Jun 30,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6"/>
              </w:rPr>
              <w:t>Mar 31,</w:t>
            </w:r>
          </w:p>
        </w:tc>
        <w:tc>
          <w:tcPr>
            <w:tcW w:w="280" w:type="dxa"/>
            <w:vAlign w:val="bottom"/>
          </w:tcPr>
          <w:p>
            <w:pPr>
              <w:spacing w:after="0"/>
              <w:rPr>
                <w:sz w:val="18"/>
                <w:szCs w:val="18"/>
                <w:color w:val="auto"/>
              </w:rPr>
            </w:pPr>
          </w:p>
        </w:tc>
        <w:tc>
          <w:tcPr>
            <w:tcW w:w="104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Jun 30,</w:t>
            </w:r>
          </w:p>
        </w:tc>
        <w:tc>
          <w:tcPr>
            <w:tcW w:w="0" w:type="dxa"/>
            <w:vAlign w:val="bottom"/>
          </w:tcPr>
          <w:p>
            <w:pPr>
              <w:spacing w:after="0"/>
              <w:rPr>
                <w:sz w:val="1"/>
                <w:szCs w:val="1"/>
                <w:color w:val="auto"/>
              </w:rPr>
            </w:pPr>
          </w:p>
        </w:tc>
      </w:tr>
      <w:tr>
        <w:trPr>
          <w:trHeight w:val="241"/>
        </w:trPr>
        <w:tc>
          <w:tcPr>
            <w:tcW w:w="67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2020</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reconciliation:</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(1,294)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(1,732)</w:t>
            </w:r>
          </w:p>
        </w:tc>
        <w:tc>
          <w:tcPr>
            <w:tcW w:w="2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(3,670)</w:t>
            </w:r>
          </w:p>
        </w:tc>
        <w:tc>
          <w:tcPr>
            <w:tcW w:w="0" w:type="dxa"/>
            <w:vAlign w:val="bottom"/>
          </w:tcPr>
          <w:p>
            <w:pPr>
              <w:spacing w:after="0"/>
              <w:rPr>
                <w:sz w:val="1"/>
                <w:szCs w:val="1"/>
                <w:color w:val="auto"/>
              </w:rPr>
            </w:pPr>
          </w:p>
        </w:tc>
      </w:tr>
      <w:tr>
        <w:trPr>
          <w:trHeight w:val="249"/>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404</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409</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918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805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43"/>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172</w:t>
            </w: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Adjusted EBITDA</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200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Our management and board of directors use Non-GAAP operating expenses, Non-GAAP net income (loss) and Adjusted EBITDA to understand and evaluate our operating performance and trends, to prepare and approve our annual budget and to develop short-term and long-term operating and financing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9" w:name="page10"/>
    <w:bookmarkEnd w:id="9"/>
    <w:p>
      <w:pPr>
        <w:jc w:val="center"/>
        <w:ind w:right="-219"/>
        <w:spacing w:after="0"/>
        <w:rPr>
          <w:sz w:val="20"/>
          <w:szCs w:val="20"/>
          <w:color w:val="auto"/>
        </w:rPr>
      </w:pPr>
      <w:r>
        <w:rPr>
          <w:rFonts w:ascii="Arial" w:cs="Arial" w:eastAsia="Arial" w:hAnsi="Arial"/>
          <w:sz w:val="18"/>
          <w:szCs w:val="18"/>
          <w:b w:val="1"/>
          <w:bCs w:val="1"/>
          <w:color w:val="auto"/>
        </w:rPr>
        <w:t>EVERSPIN TECHNOLOGIES,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Condensed Statement of Cash Flows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37"/>
        </w:trPr>
        <w:tc>
          <w:tcPr>
            <w:tcW w:w="8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(3,026)</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(7,926)</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813</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Loss on disposal of property and equipment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1,723</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Non-cash gain on warrant revaluation</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Non-cash interest expense</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(1,540)</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(505)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(776)</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3"/>
        </w:trPr>
        <w:tc>
          <w:tcPr>
            <w:tcW w:w="856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(1,008)</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57"/>
        </w:trPr>
        <w:tc>
          <w:tcPr>
            <w:tcW w:w="8560" w:type="dxa"/>
            <w:vAlign w:val="bottom"/>
          </w:tcPr>
          <w:p>
            <w:pPr>
              <w:ind w:left="220"/>
              <w:spacing w:after="0"/>
              <w:rPr>
                <w:sz w:val="20"/>
                <w:szCs w:val="20"/>
                <w:color w:val="auto"/>
              </w:rPr>
            </w:pPr>
            <w:r>
              <w:rPr>
                <w:rFonts w:ascii="Arial" w:cs="Arial" w:eastAsia="Arial" w:hAnsi="Arial"/>
                <w:sz w:val="18"/>
                <w:szCs w:val="18"/>
                <w:color w:val="auto"/>
              </w:rPr>
              <w:t>Lease liabilities</w:t>
            </w: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6"/>
        </w:trPr>
        <w:tc>
          <w:tcPr>
            <w:tcW w:w="8560" w:type="dxa"/>
            <w:vAlign w:val="bottom"/>
          </w:tcPr>
          <w:p>
            <w:pPr>
              <w:ind w:left="22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(4,200)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vMerge w:val="restart"/>
          </w:tcPr>
          <w:p>
            <w:pPr>
              <w:jc w:val="right"/>
              <w:ind w:right="7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57"/>
        </w:trPr>
        <w:tc>
          <w:tcPr>
            <w:tcW w:w="85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8560" w:type="dxa"/>
            <w:vAlign w:val="bottom"/>
          </w:tcPr>
          <w:p>
            <w:pPr>
              <w:ind w:left="22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Arial" w:cs="Arial" w:eastAsia="Arial" w:hAnsi="Arial"/>
                <w:sz w:val="18"/>
                <w:szCs w:val="18"/>
                <w:color w:val="auto"/>
              </w:rPr>
              <w:t>Payments on debt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Arial" w:cs="Arial" w:eastAsia="Arial" w:hAnsi="Arial"/>
                <w:sz w:val="18"/>
                <w:szCs w:val="18"/>
                <w:color w:val="auto"/>
              </w:rPr>
              <w:t>Payments on finance lease obligation</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8560" w:type="dxa"/>
            <w:vAlign w:val="bottom"/>
          </w:tcPr>
          <w:p>
            <w:pPr>
              <w:spacing w:after="0"/>
              <w:rPr>
                <w:sz w:val="20"/>
                <w:szCs w:val="20"/>
                <w:color w:val="auto"/>
              </w:rPr>
            </w:pPr>
            <w:r>
              <w:rPr>
                <w:rFonts w:ascii="Arial" w:cs="Arial" w:eastAsia="Arial" w:hAnsi="Arial"/>
                <w:sz w:val="18"/>
                <w:szCs w:val="18"/>
                <w:color w:val="auto"/>
              </w:rPr>
              <w:t>Proceeds from exercise of stock options and purchase of shares in employee stock purchase plan</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827</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56"/>
        </w:trPr>
        <w:tc>
          <w:tcPr>
            <w:tcW w:w="8560" w:type="dxa"/>
            <w:vAlign w:val="bottom"/>
          </w:tcPr>
          <w:p>
            <w:pPr>
              <w:spacing w:after="0"/>
              <w:rPr>
                <w:sz w:val="20"/>
                <w:szCs w:val="20"/>
                <w:color w:val="auto"/>
              </w:rPr>
            </w:pPr>
            <w:r>
              <w:rPr>
                <w:rFonts w:ascii="Arial" w:cs="Arial" w:eastAsia="Arial" w:hAnsi="Arial"/>
                <w:sz w:val="18"/>
                <w:szCs w:val="18"/>
                <w:color w:val="auto"/>
              </w:rPr>
              <w:t>Proceeds from issuance of common stock in at-the-market offering, net of issuance costs</w:t>
            </w: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2,084</w:t>
            </w: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560" w:type="dxa"/>
            <w:vAlign w:val="bottom"/>
          </w:tcPr>
          <w:p>
            <w:pPr>
              <w:ind w:left="220"/>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2,906</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24"/>
        </w:trPr>
        <w:tc>
          <w:tcPr>
            <w:tcW w:w="85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(1,571)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(8,106)</w:t>
            </w:r>
          </w:p>
        </w:tc>
        <w:tc>
          <w:tcPr>
            <w:tcW w:w="0" w:type="dxa"/>
            <w:vAlign w:val="bottom"/>
          </w:tcPr>
          <w:p>
            <w:pPr>
              <w:spacing w:after="0"/>
              <w:rPr>
                <w:sz w:val="1"/>
                <w:szCs w:val="1"/>
                <w:color w:val="auto"/>
              </w:rPr>
            </w:pPr>
          </w:p>
        </w:tc>
      </w:tr>
      <w:tr>
        <w:trPr>
          <w:trHeight w:val="256"/>
        </w:trPr>
        <w:tc>
          <w:tcPr>
            <w:tcW w:w="85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14,487</w:t>
            </w: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23,379</w:t>
            </w:r>
          </w:p>
        </w:tc>
        <w:tc>
          <w:tcPr>
            <w:tcW w:w="0" w:type="dxa"/>
            <w:vAlign w:val="bottom"/>
          </w:tcPr>
          <w:p>
            <w:pPr>
              <w:spacing w:after="0"/>
              <w:rPr>
                <w:sz w:val="1"/>
                <w:szCs w:val="1"/>
                <w:color w:val="auto"/>
              </w:rPr>
            </w:pPr>
          </w:p>
        </w:tc>
      </w:tr>
      <w:tr>
        <w:trPr>
          <w:trHeight w:val="236"/>
        </w:trPr>
        <w:tc>
          <w:tcPr>
            <w:tcW w:w="85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12,916</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15,273</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vMerge w:val="continue"/>
          </w:tcPr>
          <w:p>
            <w:pPr>
              <w:spacing w:after="0"/>
              <w:rPr>
                <w:sz w:val="18"/>
                <w:szCs w:val="18"/>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ind w:right="130"/>
              <w:spacing w:after="0"/>
              <w:rPr>
                <w:sz w:val="20"/>
                <w:szCs w:val="20"/>
                <w:color w:val="auto"/>
              </w:rPr>
            </w:pPr>
            <w:r>
              <w:rPr>
                <w:rFonts w:ascii="Arial" w:cs="Arial" w:eastAsia="Arial" w:hAnsi="Arial"/>
                <w:sz w:val="18"/>
                <w:szCs w:val="18"/>
                <w:color w:val="auto"/>
              </w:rPr>
              <w:t>197</w:t>
            </w:r>
          </w:p>
        </w:tc>
        <w:tc>
          <w:tcPr>
            <w:tcW w:w="460" w:type="dxa"/>
            <w:vAlign w:val="bottom"/>
            <w:gridSpan w:val="2"/>
            <w:vMerge w:val="restart"/>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3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57"/>
        </w:trPr>
        <w:tc>
          <w:tcPr>
            <w:tcW w:w="8560" w:type="dxa"/>
            <w:vAlign w:val="bottom"/>
          </w:tcPr>
          <w:p>
            <w:pPr>
              <w:spacing w:after="0"/>
              <w:rPr>
                <w:sz w:val="20"/>
                <w:szCs w:val="20"/>
                <w:color w:val="auto"/>
              </w:rPr>
            </w:pPr>
            <w:r>
              <w:rPr>
                <w:rFonts w:ascii="Arial" w:cs="Arial" w:eastAsia="Arial" w:hAnsi="Arial"/>
                <w:sz w:val="18"/>
                <w:szCs w:val="18"/>
                <w:color w:val="auto"/>
              </w:rPr>
              <w:t>Interest paid</w:t>
            </w:r>
          </w:p>
        </w:tc>
        <w:tc>
          <w:tcPr>
            <w:tcW w:w="12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Borders>
              <w:top w:val="single" w:sz="8" w:color="auto"/>
            </w:tcBorders>
            <w:gridSpan w:val="2"/>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Operating cash flows paid for operating leases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862</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Financing cash flows paid for finance leases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vMerge w:val="continue"/>
          </w:tcPr>
          <w:p>
            <w:pPr>
              <w:spacing w:after="0"/>
              <w:rPr>
                <w:sz w:val="18"/>
                <w:szCs w:val="18"/>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vMerge w:val="restart"/>
          </w:tcPr>
          <w:p>
            <w:pPr>
              <w:jc w:val="right"/>
              <w:ind w:right="130"/>
              <w:spacing w:after="0"/>
              <w:rPr>
                <w:sz w:val="20"/>
                <w:szCs w:val="20"/>
                <w:color w:val="auto"/>
              </w:rPr>
            </w:pPr>
            <w:r>
              <w:rPr>
                <w:rFonts w:ascii="Arial" w:cs="Arial" w:eastAsia="Arial" w:hAnsi="Arial"/>
                <w:sz w:val="18"/>
                <w:szCs w:val="18"/>
                <w:color w:val="auto"/>
              </w:rPr>
              <w:t>—</w:t>
            </w:r>
          </w:p>
        </w:tc>
        <w:tc>
          <w:tcPr>
            <w:tcW w:w="460" w:type="dxa"/>
            <w:vAlign w:val="bottom"/>
            <w:gridSpan w:val="2"/>
            <w:vMerge w:val="restart"/>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6"/>
        </w:trPr>
        <w:tc>
          <w:tcPr>
            <w:tcW w:w="8560" w:type="dxa"/>
            <w:vAlign w:val="bottom"/>
          </w:tcPr>
          <w:p>
            <w:pPr>
              <w:spacing w:after="0"/>
              <w:rPr>
                <w:sz w:val="20"/>
                <w:szCs w:val="20"/>
                <w:color w:val="auto"/>
              </w:rPr>
            </w:pPr>
            <w:r>
              <w:rPr>
                <w:rFonts w:ascii="Arial" w:cs="Arial" w:eastAsia="Arial" w:hAnsi="Arial"/>
                <w:sz w:val="18"/>
                <w:szCs w:val="18"/>
                <w:color w:val="auto"/>
              </w:rPr>
              <w:t>Right-of-use assets obtained in exchange for new operating leases</w:t>
            </w:r>
          </w:p>
        </w:tc>
        <w:tc>
          <w:tcPr>
            <w:tcW w:w="12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460" w:type="dxa"/>
            <w:vAlign w:val="bottom"/>
            <w:gridSpan w:val="2"/>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Borders>
              <w:top w:val="single" w:sz="8" w:color="auto"/>
            </w:tcBorders>
            <w:gridSpan w:val="2"/>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Increase of right-of-use asset and lease liability due to lease modification</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545</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60" w:type="dxa"/>
            <w:vAlign w:val="bottom"/>
          </w:tcPr>
          <w:p>
            <w:pPr>
              <w:spacing w:after="0"/>
              <w:rPr>
                <w:sz w:val="20"/>
                <w:szCs w:val="20"/>
                <w:color w:val="auto"/>
              </w:rPr>
            </w:pPr>
            <w:r>
              <w:rPr>
                <w:rFonts w:ascii="Arial" w:cs="Arial" w:eastAsia="Arial" w:hAnsi="Arial"/>
                <w:sz w:val="18"/>
                <w:szCs w:val="18"/>
                <w:color w:val="auto"/>
              </w:rPr>
              <w:t>Purchase of property and equipment in accounts payable and accrued liabilities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8"/>
                <w:szCs w:val="18"/>
                <w:color w:val="auto"/>
              </w:rPr>
              <w:t>Bonus settled in shares of common stock</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Daniel Berenbaum, CFO</w:t>
      </w:r>
    </w:p>
    <w:p>
      <w:pPr>
        <w:spacing w:after="0" w:line="230" w:lineRule="auto"/>
        <w:rPr>
          <w:sz w:val="20"/>
          <w:szCs w:val="20"/>
          <w:color w:val="auto"/>
        </w:rPr>
      </w:pPr>
      <w:r>
        <w:rPr>
          <w:rFonts w:ascii="Arial" w:cs="Arial" w:eastAsia="Arial" w:hAnsi="Arial"/>
          <w:sz w:val="22"/>
          <w:szCs w:val="22"/>
          <w:color w:val="auto"/>
        </w:rPr>
        <w:t>T: 480-347-1099</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 daniel.berenbaum@everspin.com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Relations 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Leanne K. Sievers, President</w:t>
      </w:r>
    </w:p>
    <w:p>
      <w:pPr>
        <w:spacing w:after="0" w:line="230" w:lineRule="auto"/>
        <w:rPr>
          <w:sz w:val="20"/>
          <w:szCs w:val="20"/>
          <w:color w:val="auto"/>
        </w:rPr>
      </w:pPr>
      <w:r>
        <w:rPr>
          <w:rFonts w:ascii="Arial" w:cs="Arial" w:eastAsia="Arial" w:hAnsi="Arial"/>
          <w:sz w:val="22"/>
          <w:szCs w:val="22"/>
          <w:color w:val="auto"/>
        </w:rPr>
        <w:t>Shelton Group Investor Relations</w:t>
      </w:r>
    </w:p>
    <w:p>
      <w:pPr>
        <w:spacing w:after="0" w:line="231" w:lineRule="auto"/>
        <w:rPr>
          <w:sz w:val="20"/>
          <w:szCs w:val="20"/>
          <w:color w:val="auto"/>
        </w:rPr>
      </w:pPr>
      <w:r>
        <w:rPr>
          <w:rFonts w:ascii="Arial" w:cs="Arial" w:eastAsia="Arial" w:hAnsi="Arial"/>
          <w:sz w:val="22"/>
          <w:szCs w:val="22"/>
          <w:color w:val="auto"/>
        </w:rPr>
        <w:t>T: 949-224-3874</w:t>
      </w:r>
    </w:p>
    <w:p>
      <w:pPr>
        <w:spacing w:after="0"/>
        <w:rPr>
          <w:sz w:val="20"/>
          <w:szCs w:val="20"/>
          <w:color w:val="auto"/>
        </w:rPr>
      </w:pPr>
      <w:r>
        <w:rPr>
          <w:rFonts w:ascii="Arial" w:cs="Arial" w:eastAsia="Arial" w:hAnsi="Arial"/>
          <w:sz w:val="22"/>
          <w:szCs w:val="22"/>
          <w:color w:val="auto"/>
        </w:rPr>
        <w:t>E: sheltonir@sheltongroup.com</w:t>
      </w:r>
    </w:p>
    <w:sectPr>
      <w:pgSz w:w="11900" w:h="16838" w:orient="portrait"/>
      <w:cols w:equalWidth="0" w:num="1">
        <w:col w:w="11020"/>
      </w:cols>
      <w:pgMar w:left="320" w:top="621" w:right="559" w:bottom="99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2020-08-06T15:55:42Z</dcterms:created>
  <dcterms:modified xsi:type="dcterms:W3CDTF">2020-08-06T15:55:42Z</dcterms:modified>
</cp:coreProperties>
</file>