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4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1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9" w:right="12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1347 N. Alma School Road, Suite 220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85224</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9"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left="9" w:right="28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464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line="175" w:lineRule="exact"/>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40" w:type="dxa"/>
            <w:vAlign w:val="bottom"/>
          </w:tcPr>
          <w:p>
            <w:pPr>
              <w:spacing w:after="0"/>
              <w:rPr>
                <w:sz w:val="20"/>
                <w:szCs w:val="20"/>
                <w:color w:val="auto"/>
              </w:rPr>
            </w:pPr>
          </w:p>
        </w:tc>
      </w:tr>
    </w:tbl>
    <w:p>
      <w:pPr>
        <w:spacing w:after="0" w:line="156"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November 6, 2017 was 12,766,546.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September 30, 2017 (unaudited) and December 31, 2016</w:t>
              </w:r>
            </w:hyperlink>
          </w:p>
        </w:tc>
        <w:tc>
          <w:tcPr>
            <w:tcW w:w="84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nine months ended</w:t>
              </w:r>
            </w:hyperlink>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2017 and 2016 (unaudited)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Statements of Cash Flows for the nine months ended September 30, 2017 and 2016</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6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3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to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$0.0001 par value per share; 5,000,000 shares authorized as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September 30, 2017 and December 31, 2016; no shares issued and outstanding as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30, 2017 and December 31, 2016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$0.0001 par value per share; 100,000,000 shares authorized as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w w:val="89"/>
              </w:rPr>
              <w:t>September 30, 2017 and December 31, 2016; 12,746,399 and 12,498,128 shares issued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outstanding as of September 30, 2017 and December 31, 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Product sales - related party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Licensing and royalty revenue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Licensing and royalty revenue - related party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Weighted-average shares used to compute net loss per</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12,559,812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2,657,574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12,425,390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2,589,704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 basic and diluted</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Nine Months Ended</w:t>
      </w:r>
    </w:p>
    <w:p>
      <w:pPr>
        <w:ind w:left="71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Net loss</w:t>
            </w:r>
          </w:p>
        </w:tc>
        <w:tc>
          <w:tcPr>
            <w:tcW w:w="5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(16,719)</w:t>
            </w:r>
          </w:p>
        </w:tc>
        <w:tc>
          <w:tcPr>
            <w:tcW w:w="26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(11,400)</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Non-cash loss on extinguishment of debt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derivative liability</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Non-cash interest expense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1,066</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related to vesting of common stock to GLOBALFOUNDRIES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Amounts due from related parties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Amounts due to related parties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2,959</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on shipments to distributors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spacing w:after="0"/>
              <w:rPr>
                <w:sz w:val="17"/>
                <w:szCs w:val="17"/>
                <w:color w:val="auto"/>
              </w:rPr>
            </w:pPr>
          </w:p>
        </w:tc>
      </w:tr>
      <w:tr>
        <w:trPr>
          <w:trHeight w:val="196"/>
        </w:trPr>
        <w:tc>
          <w:tcPr>
            <w:tcW w:w="6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260" w:type="dxa"/>
            <w:vAlign w:val="bottom"/>
            <w:tcBorders>
              <w:top w:val="single" w:sz="8" w:color="CCEEFF"/>
            </w:tcBorders>
            <w:shd w:val="clear" w:color="auto" w:fill="CCEEFF"/>
          </w:tcPr>
          <w:p>
            <w:pPr>
              <w:spacing w:after="0"/>
              <w:rPr>
                <w:sz w:val="17"/>
                <w:szCs w:val="17"/>
                <w:color w:val="auto"/>
              </w:rPr>
            </w:pPr>
          </w:p>
        </w:tc>
      </w:tr>
      <w:tr>
        <w:trPr>
          <w:trHeight w:val="190"/>
        </w:trPr>
        <w:tc>
          <w:tcPr>
            <w:tcW w:w="62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260" w:type="dxa"/>
            <w:vAlign w:val="bottom"/>
            <w:shd w:val="clear" w:color="auto" w:fill="CCEEFF"/>
          </w:tcPr>
          <w:p>
            <w:pPr>
              <w:spacing w:after="0"/>
              <w:rPr>
                <w:sz w:val="18"/>
                <w:szCs w:val="18"/>
                <w:color w:val="auto"/>
              </w:rPr>
            </w:pPr>
          </w:p>
        </w:tc>
      </w:tr>
      <w:tr>
        <w:trPr>
          <w:trHeight w:val="19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260" w:type="dxa"/>
            <w:vAlign w:val="bottom"/>
            <w:tcBorders>
              <w:bottom w:val="single" w:sz="8" w:color="CCEEFF"/>
            </w:tcBorders>
          </w:tcPr>
          <w:p>
            <w:pPr>
              <w:spacing w:after="0"/>
              <w:rPr>
                <w:sz w:val="17"/>
                <w:szCs w:val="17"/>
                <w:color w:val="auto"/>
              </w:rPr>
            </w:pPr>
          </w:p>
        </w:tc>
      </w:tr>
      <w:tr>
        <w:trPr>
          <w:trHeight w:val="196"/>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Proceeds from convertible promissory notes-related party</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8,500</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Payments on debt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(8,356)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Payments of debt issuance costs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Payments on capital lease obligation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Payments of deferred offering costs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260" w:type="dxa"/>
            <w:vAlign w:val="bottom"/>
            <w:shd w:val="clear" w:color="auto" w:fill="CCEEFF"/>
          </w:tcPr>
          <w:p>
            <w:pPr>
              <w:spacing w:after="0"/>
              <w:rPr>
                <w:sz w:val="17"/>
                <w:szCs w:val="17"/>
                <w:color w:val="auto"/>
              </w:rPr>
            </w:pPr>
          </w:p>
        </w:tc>
      </w:tr>
      <w:tr>
        <w:trPr>
          <w:trHeight w:val="193"/>
        </w:trPr>
        <w:tc>
          <w:tcPr>
            <w:tcW w:w="6200" w:type="dxa"/>
            <w:vAlign w:val="bottom"/>
          </w:tcPr>
          <w:p>
            <w:pPr>
              <w:spacing w:after="0"/>
              <w:rPr>
                <w:sz w:val="20"/>
                <w:szCs w:val="20"/>
                <w:color w:val="auto"/>
              </w:rPr>
            </w:pPr>
            <w:r>
              <w:rPr>
                <w:rFonts w:ascii="Arial" w:cs="Arial" w:eastAsia="Arial" w:hAnsi="Arial"/>
                <w:sz w:val="16"/>
                <w:szCs w:val="16"/>
                <w:color w:val="auto"/>
                <w:w w:val="93"/>
              </w:rPr>
              <w:t>Proceeds from exercise of stock options and purchase of shares in employee stock purchase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plan</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tcPr>
          <w:p>
            <w:pPr>
              <w:spacing w:after="0"/>
              <w:rPr>
                <w:sz w:val="18"/>
                <w:szCs w:val="18"/>
                <w:color w:val="auto"/>
              </w:rPr>
            </w:pPr>
          </w:p>
        </w:tc>
      </w:tr>
      <w:tr>
        <w:trPr>
          <w:trHeight w:val="199"/>
        </w:trPr>
        <w:tc>
          <w:tcPr>
            <w:tcW w:w="6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260" w:type="dxa"/>
            <w:vAlign w:val="bottom"/>
            <w:shd w:val="clear" w:color="auto" w:fill="CCEEFF"/>
          </w:tcPr>
          <w:p>
            <w:pPr>
              <w:spacing w:after="0"/>
              <w:rPr>
                <w:sz w:val="17"/>
                <w:szCs w:val="17"/>
                <w:color w:val="auto"/>
              </w:rPr>
            </w:pPr>
          </w:p>
        </w:tc>
      </w:tr>
      <w:tr>
        <w:trPr>
          <w:trHeight w:val="196"/>
        </w:trPr>
        <w:tc>
          <w:tcPr>
            <w:tcW w:w="620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260" w:type="dxa"/>
            <w:vAlign w:val="bottom"/>
            <w:shd w:val="clear" w:color="auto" w:fill="CCEEFF"/>
          </w:tcPr>
          <w:p>
            <w:pPr>
              <w:spacing w:after="0"/>
              <w:rPr>
                <w:sz w:val="17"/>
                <w:szCs w:val="17"/>
                <w:color w:val="auto"/>
              </w:rPr>
            </w:pPr>
          </w:p>
        </w:tc>
      </w:tr>
      <w:tr>
        <w:trPr>
          <w:trHeight w:val="203"/>
        </w:trPr>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260" w:type="dxa"/>
            <w:vAlign w:val="bottom"/>
            <w:tcBorders>
              <w:bottom w:val="single" w:sz="8" w:color="CCEEFF"/>
            </w:tcBorders>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Supplementary cash flow information:</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Interest paid</w:t>
            </w:r>
          </w:p>
        </w:tc>
        <w:tc>
          <w:tcPr>
            <w:tcW w:w="5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396</w:t>
            </w:r>
          </w:p>
        </w:tc>
        <w:tc>
          <w:tcPr>
            <w:tcW w:w="2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916</w:t>
            </w:r>
          </w:p>
        </w:tc>
        <w:tc>
          <w:tcPr>
            <w:tcW w:w="260" w:type="dxa"/>
            <w:vAlign w:val="bottom"/>
          </w:tcPr>
          <w:p>
            <w:pPr>
              <w:spacing w:after="0"/>
              <w:rPr>
                <w:sz w:val="18"/>
                <w:szCs w:val="18"/>
                <w:color w:val="auto"/>
              </w:rPr>
            </w:pPr>
          </w:p>
        </w:tc>
      </w:tr>
      <w:tr>
        <w:trPr>
          <w:trHeight w:val="20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w w:val="94"/>
              </w:rPr>
              <w:t>Purchase of property and equipment in accounts payable and amounts due to related parties</w:t>
            </w:r>
          </w:p>
        </w:tc>
        <w:tc>
          <w:tcPr>
            <w:tcW w:w="5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764</w:t>
            </w:r>
          </w:p>
        </w:tc>
        <w:tc>
          <w:tcPr>
            <w:tcW w:w="2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 of property and equipment under capital lease obligations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26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Everspin Technologies, Inc. (the “Company”) was incorporated in Delaware on May 16, 2008. The Company’s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90" w:lineRule="auto"/>
        <w:rPr>
          <w:sz w:val="20"/>
          <w:szCs w:val="20"/>
          <w:color w:val="auto"/>
        </w:rPr>
      </w:pPr>
      <w:r>
        <w:rPr>
          <w:rFonts w:ascii="Arial" w:cs="Arial" w:eastAsia="Arial" w:hAnsi="Arial"/>
          <w:sz w:val="16"/>
          <w:szCs w:val="16"/>
          <w:color w:val="auto"/>
        </w:rPr>
        <w:t>The Company believes that its existing cash and cash equivalents as of September 30, 2017, coupled with its anticipated growth and sales levels will be sufficient to meet its anticipated cash requirements through November 30, 2018. The Company’s future capital requirements beyond November 30, 2018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to seek additional equity or debt financing,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6" w:lineRule="exact"/>
        <w:rPr>
          <w:sz w:val="20"/>
          <w:szCs w:val="20"/>
          <w:color w:val="auto"/>
        </w:rPr>
      </w:pPr>
    </w:p>
    <w:p>
      <w:pPr>
        <w:ind w:right="160" w:firstLine="401"/>
        <w:spacing w:after="0" w:line="297" w:lineRule="auto"/>
        <w:rPr>
          <w:sz w:val="20"/>
          <w:szCs w:val="20"/>
          <w:color w:val="auto"/>
        </w:rPr>
      </w:pPr>
      <w:r>
        <w:rPr>
          <w:rFonts w:ascii="Arial" w:cs="Arial" w:eastAsia="Arial" w:hAnsi="Arial"/>
          <w:sz w:val="16"/>
          <w:szCs w:val="16"/>
          <w:color w:val="auto"/>
        </w:rPr>
        <w:t>If the Company raises additional funds through issuances of equity, convertible debt securities or other securities convertible into equity, its existing stockholders could suffer significant dilution in their percentage ownership of the Company, and any new equity securities issued could have rights, preferences and privileges senior to those of holders of common stock. If the Company is unable to obtain adequate financing or financing on satisfactory terms, when required, its ability to continue to grow or support its business and to respond to business challenges could be significantly limited.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2016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2017 are not necessarily indicative of the results to be expected for the year ending December 31, 2017 or for any other interim period or for any other future year.</w:t>
      </w:r>
    </w:p>
    <w:p>
      <w:pPr>
        <w:spacing w:after="0" w:line="1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2016,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reporting period. On an ongoing basis, management evaluates its estimates, including those related to revenue recognition, fair value of assets and liabilities, inventory, income taxes, common stock, and stock-based compensation.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gross accounts receivable balance at each respective balance sheet date. For the purposes of this disclosure, the Company defines “customer” as the entity that is purchasing the products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Accounts Receivable, net</w:t>
            </w:r>
          </w:p>
        </w:tc>
      </w:tr>
      <w:tr>
        <w:trPr>
          <w:trHeight w:val="119"/>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top w:val="single" w:sz="8" w:color="auto"/>
            </w:tcBorders>
            <w:gridSpan w:val="4"/>
          </w:tcPr>
          <w:p>
            <w:pPr>
              <w:jc w:val="right"/>
              <w:ind w:right="90"/>
              <w:spacing w:after="0" w:line="119" w:lineRule="exact"/>
              <w:rPr>
                <w:sz w:val="20"/>
                <w:szCs w:val="20"/>
                <w:color w:val="auto"/>
              </w:rPr>
            </w:pPr>
            <w:r>
              <w:rPr>
                <w:rFonts w:ascii="Arial" w:cs="Arial" w:eastAsia="Arial" w:hAnsi="Arial"/>
                <w:sz w:val="13"/>
                <w:szCs w:val="13"/>
                <w:b w:val="1"/>
                <w:bCs w:val="1"/>
                <w:color w:val="auto"/>
              </w:rPr>
              <w:t>Three Months Ended</w:t>
            </w:r>
          </w:p>
        </w:tc>
        <w:tc>
          <w:tcPr>
            <w:tcW w:w="12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50"/>
              <w:spacing w:after="0" w:line="119" w:lineRule="exact"/>
              <w:rPr>
                <w:sz w:val="20"/>
                <w:szCs w:val="20"/>
                <w:color w:val="auto"/>
              </w:rPr>
            </w:pPr>
            <w:r>
              <w:rPr>
                <w:rFonts w:ascii="Arial" w:cs="Arial" w:eastAsia="Arial" w:hAnsi="Arial"/>
                <w:sz w:val="13"/>
                <w:szCs w:val="13"/>
                <w:b w:val="1"/>
                <w:bCs w:val="1"/>
                <w:color w:val="auto"/>
                <w:w w:val="98"/>
              </w:rPr>
              <w:t>As of</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As of</w:t>
            </w:r>
          </w:p>
        </w:tc>
        <w:tc>
          <w:tcPr>
            <w:tcW w:w="22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5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46990</wp:posOffset>
            </wp:positionV>
            <wp:extent cx="13462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25400"/>
                    </a:xfrm>
                    <a:prstGeom prst="rect">
                      <a:avLst/>
                    </a:prstGeom>
                    <a:noFill/>
                  </pic:spPr>
                </pic:pic>
              </a:graphicData>
            </a:graphic>
          </wp:anchor>
        </w:drawing>
      </w:r>
    </w:p>
    <w:p>
      <w:pPr>
        <w:spacing w:after="0" w:line="167"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are unadjusted quoted prices in active markets for identical assets or liabilities at the measurement date.</w:t>
      </w:r>
    </w:p>
    <w:p>
      <w:pPr>
        <w:spacing w:after="0" w:line="248" w:lineRule="exact"/>
        <w:rPr>
          <w:sz w:val="20"/>
          <w:szCs w:val="20"/>
          <w:color w:val="auto"/>
        </w:rPr>
      </w:pPr>
    </w:p>
    <w:p>
      <w:pPr>
        <w:ind w:left="320" w:right="120"/>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520"/>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40"/>
        <w:spacing w:after="0" w:line="276" w:lineRule="auto"/>
        <w:rPr>
          <w:sz w:val="20"/>
          <w:szCs w:val="20"/>
          <w:color w:val="auto"/>
        </w:rPr>
      </w:pPr>
      <w:r>
        <w:rPr>
          <w:rFonts w:ascii="Arial" w:cs="Arial" w:eastAsia="Arial" w:hAnsi="Arial"/>
          <w:sz w:val="17"/>
          <w:szCs w:val="17"/>
          <w:color w:val="auto"/>
        </w:rPr>
        <w:t>The carrying value of accounts receivable, accounts payable, and other accruals approximate fair value because of the short-term nature of the instruments.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at fair value on a recurring basis based on the three-tier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4"/>
              </w:rPr>
              <w:t>September 30,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6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Money market funds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$ 18,254</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
              <w:spacing w:after="0"/>
              <w:rPr>
                <w:sz w:val="20"/>
                <w:szCs w:val="20"/>
                <w:color w:val="auto"/>
              </w:rPr>
            </w:pPr>
            <w:r>
              <w:rPr>
                <w:rFonts w:ascii="Arial" w:cs="Arial" w:eastAsia="Arial" w:hAnsi="Arial"/>
                <w:sz w:val="18"/>
                <w:szCs w:val="18"/>
                <w:color w:val="auto"/>
                <w:w w:val="96"/>
              </w:rPr>
              <w:t>$ 18,254</w:t>
            </w:r>
          </w:p>
        </w:tc>
      </w:tr>
      <w:tr>
        <w:trPr>
          <w:trHeight w:val="217"/>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$ 18,254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8"/>
              </w:rPr>
              <w:t>$ 18,254</w:t>
            </w:r>
          </w:p>
        </w:tc>
      </w:tr>
      <w:tr>
        <w:trPr>
          <w:trHeight w:val="378"/>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6"/>
              </w:rPr>
              <w:t>December 31, 2016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6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Money market funds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$ 29,869</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
              <w:spacing w:after="0"/>
              <w:rPr>
                <w:sz w:val="20"/>
                <w:szCs w:val="20"/>
                <w:color w:val="auto"/>
              </w:rPr>
            </w:pPr>
            <w:r>
              <w:rPr>
                <w:rFonts w:ascii="Arial" w:cs="Arial" w:eastAsia="Arial" w:hAnsi="Arial"/>
                <w:sz w:val="18"/>
                <w:szCs w:val="18"/>
                <w:color w:val="auto"/>
                <w:w w:val="96"/>
              </w:rPr>
              <w:t>$ 29,869</w:t>
            </w:r>
          </w:p>
        </w:tc>
      </w:tr>
      <w:tr>
        <w:trPr>
          <w:trHeight w:val="217"/>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$ 29,869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8"/>
              </w:rPr>
              <w:t>$ 29,869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recognizes revenue when the following criteria are met: persuasive evidence of an arrangement exists; the price is fixed or determinable; delivery has occurred and title passed; and collectability is reasonably assured. For sales to original equipment manufacturers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7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September 30, 2017, the Company had $3.3 million of deferred revenue and $1.1 million of deferred cost of sales, resulting in the recognition of $2.2 million of deferred income on shipments to distributors. At December 31, 2016, the Company had $2.9 million of deferred revenue and $1.1 million of deferred cost of sales, resulting in the recognition of $1.8 million of deferred income on shipments to distributors.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May 2014, the Financial Accounting Standards Board (“FASB”) issued Accounting Standards Update (“ASU”)</w:t>
      </w:r>
    </w:p>
    <w:p>
      <w:pPr>
        <w:spacing w:after="0" w:line="35" w:lineRule="exact"/>
        <w:rPr>
          <w:sz w:val="20"/>
          <w:szCs w:val="20"/>
          <w:color w:val="auto"/>
        </w:rPr>
      </w:pPr>
    </w:p>
    <w:p>
      <w:pPr>
        <w:spacing w:after="0" w:line="216" w:lineRule="exact"/>
        <w:rPr>
          <w:sz w:val="20"/>
          <w:szCs w:val="20"/>
          <w:color w:val="auto"/>
        </w:rPr>
      </w:pPr>
      <w:r>
        <w:rPr>
          <w:rFonts w:ascii="Arial" w:cs="Arial" w:eastAsia="Arial" w:hAnsi="Arial"/>
          <w:sz w:val="16"/>
          <w:szCs w:val="16"/>
          <w:color w:val="auto"/>
        </w:rPr>
        <w:t>No. 2014</w:t>
      </w:r>
      <w:r>
        <w:rPr>
          <w:rFonts w:ascii="MS PGothic" w:cs="MS PGothic" w:eastAsia="MS PGothic" w:hAnsi="MS PGothic"/>
          <w:sz w:val="16"/>
          <w:szCs w:val="16"/>
          <w:color w:val="auto"/>
        </w:rPr>
        <w:t>‑</w:t>
      </w:r>
      <w:r>
        <w:rPr>
          <w:rFonts w:ascii="Arial" w:cs="Arial" w:eastAsia="Arial" w:hAnsi="Arial"/>
          <w:sz w:val="16"/>
          <w:szCs w:val="16"/>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the Company's significant accounting policies, the Company currently defers the revenue and cost of sales on shipments to distributors until the distributor sells the product to their end customer. Upon adoption of ASU 2014-09, and subsequent improvements including ASU 2015-14, Deferral of Effective Date, ASU 2016-08, Principal versus Agent Considerations, ASU 2016-10, Identifying Performance Obligations and Licensing, and ASU 2016-12, Narrow Scope Improvements and Practical Expedients, the Company will no longer defer revenue until sale by the distributor to the end customer, but rather, will be required to estimate the effects of returns and allowances provided to distributors and record revenue at the time of sale to the distributor. The Company plans on adopting this standard on January 1, 2018 retrospectively, applying the guidance to each prior period presented. The Company has determined that the most significant change will be related to the accounting for distributor arrangements whereby revenue will be recognized at the time of sale to the distributor at amounts equal to the estimate of the final selling price.</w:t>
      </w:r>
    </w:p>
    <w:p>
      <w:pPr>
        <w:spacing w:after="0" w:line="21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is permitted. The Company plans on adopting this standard on January 1, 2018 and is currently evaluating the impact that the adoption of the standard will have on its financial statements.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ind w:right="20" w:firstLine="324"/>
        <w:spacing w:after="0" w:line="219"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The Company adopted this standard as of January 1, 2017 and the impact of its adoption on the Company’s financial statements was not material.</w:t>
      </w:r>
    </w:p>
    <w:p>
      <w:pPr>
        <w:spacing w:after="0" w:line="204"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In November 2015, FASB issued ASU No. 2015</w:t>
      </w:r>
      <w:r>
        <w:rPr>
          <w:rFonts w:ascii="MS PGothic" w:cs="MS PGothic" w:eastAsia="MS PGothic" w:hAnsi="MS PGothic"/>
          <w:sz w:val="18"/>
          <w:szCs w:val="18"/>
          <w:color w:val="auto"/>
        </w:rPr>
        <w:t>‑</w:t>
      </w:r>
      <w:r>
        <w:rPr>
          <w:rFonts w:ascii="Arial" w:cs="Arial" w:eastAsia="Arial" w:hAnsi="Arial"/>
          <w:sz w:val="18"/>
          <w:szCs w:val="18"/>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Company adopted this standard as of January 1, 2017 and the impact of its adoption on the Company’s financial statements was not material.</w:t>
      </w:r>
    </w:p>
    <w:p>
      <w:pPr>
        <w:spacing w:after="0" w:line="207" w:lineRule="exact"/>
        <w:rPr>
          <w:sz w:val="20"/>
          <w:szCs w:val="20"/>
          <w:color w:val="auto"/>
        </w:rPr>
      </w:pPr>
    </w:p>
    <w:p>
      <w:pPr>
        <w:ind w:right="40" w:firstLine="324"/>
        <w:spacing w:after="0" w:line="220"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fiscal years and interim periods within those years beginning after December 15, 2016, and early adoption is permitted. The Company adopted this standard as of January 1, 2017 and the impact of its adoption on the Company’s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1800" w:type="dxa"/>
            <w:vAlign w:val="bottom"/>
          </w:tcPr>
          <w:p>
            <w:pPr>
              <w:spacing w:after="0"/>
              <w:rPr>
                <w:sz w:val="14"/>
                <w:szCs w:val="14"/>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8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0" w:type="dxa"/>
            <w:vAlign w:val="bottom"/>
            <w:tcBorders>
              <w:left w:val="single" w:sz="8" w:color="CCEEFF"/>
            </w:tcBorders>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3,152</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800" w:type="dxa"/>
            <w:vAlign w:val="bottom"/>
            <w:tcBorders>
              <w:left w:val="single" w:sz="8" w:color="CCEEFF"/>
            </w:tcBorders>
          </w:tcPr>
          <w:p>
            <w:pPr>
              <w:spacing w:after="0"/>
              <w:rPr>
                <w:sz w:val="18"/>
                <w:szCs w:val="18"/>
                <w:color w:val="auto"/>
              </w:rPr>
            </w:pPr>
          </w:p>
        </w:tc>
      </w:tr>
      <w:tr>
        <w:trPr>
          <w:trHeight w:val="217"/>
        </w:trPr>
        <w:tc>
          <w:tcPr>
            <w:tcW w:w="500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300" w:type="dxa"/>
            <w:vAlign w:val="bottom"/>
          </w:tcPr>
          <w:p>
            <w:pPr>
              <w:spacing w:after="0"/>
              <w:rPr>
                <w:sz w:val="18"/>
                <w:szCs w:val="18"/>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800" w:type="dxa"/>
            <w:vAlign w:val="bottom"/>
          </w:tcPr>
          <w:p>
            <w:pPr>
              <w:spacing w:after="0"/>
              <w:rPr>
                <w:sz w:val="18"/>
                <w:szCs w:val="18"/>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5000" w:type="dxa"/>
            <w:vAlign w:val="bottom"/>
          </w:tcPr>
          <w:p>
            <w:pPr>
              <w:ind w:left="320"/>
              <w:spacing w:after="0"/>
              <w:rPr>
                <w:sz w:val="20"/>
                <w:szCs w:val="20"/>
                <w:color w:val="auto"/>
              </w:rPr>
            </w:pPr>
            <w:r>
              <w:rPr>
                <w:rFonts w:ascii="Arial" w:cs="Arial" w:eastAsia="Arial" w:hAnsi="Arial"/>
                <w:sz w:val="18"/>
                <w:szCs w:val="18"/>
                <w:color w:val="auto"/>
                <w:w w:val="99"/>
              </w:rPr>
              <w:t>Accrued liabilities consisted of the following (in thousands):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55"/>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800" w:type="dxa"/>
            <w:vAlign w:val="bottom"/>
          </w:tcPr>
          <w:p>
            <w:pPr>
              <w:spacing w:after="0"/>
              <w:rPr>
                <w:sz w:val="24"/>
                <w:szCs w:val="24"/>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8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3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80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Deferred licensing revenue</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sales commissions payable to sales representatives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0" w:type="dxa"/>
            <w:vAlign w:val="bottom"/>
          </w:tcPr>
          <w:p>
            <w:pPr>
              <w:spacing w:after="0"/>
              <w:rPr>
                <w:sz w:val="18"/>
                <w:szCs w:val="18"/>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6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800" w:type="dxa"/>
            <w:vAlign w:val="bottom"/>
          </w:tcPr>
          <w:p>
            <w:pPr>
              <w:spacing w:after="0"/>
              <w:rPr>
                <w:sz w:val="18"/>
                <w:szCs w:val="18"/>
                <w:color w:val="auto"/>
              </w:rPr>
            </w:pPr>
          </w:p>
        </w:tc>
      </w:tr>
      <w:tr>
        <w:trPr>
          <w:trHeight w:val="878"/>
        </w:trPr>
        <w:tc>
          <w:tcPr>
            <w:tcW w:w="5000" w:type="dxa"/>
            <w:vAlign w:val="bottom"/>
          </w:tcPr>
          <w:p>
            <w:pPr>
              <w:ind w:left="44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29"/>
        </w:trPr>
        <w:tc>
          <w:tcPr>
            <w:tcW w:w="5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The Company leases office space for its corporate headquarters located in Chandler, Arizona and for its design facility located in Austin, Texas. The leases expire in October 2018 and January 2022, respectively. Rent expense is recognized on a straight-line basis over the term of the leases and accordingly, the Company records the difference between cash rent payments and the recognition of rent expense as a deferred rent liability.</w:t>
      </w:r>
    </w:p>
    <w:p>
      <w:pPr>
        <w:spacing w:after="0" w:line="187" w:lineRule="exact"/>
        <w:rPr>
          <w:sz w:val="20"/>
          <w:szCs w:val="20"/>
          <w:color w:val="auto"/>
        </w:rPr>
      </w:pPr>
    </w:p>
    <w:p>
      <w:pPr>
        <w:jc w:val="both"/>
        <w:ind w:right="119" w:firstLine="324"/>
        <w:spacing w:after="0" w:line="264" w:lineRule="auto"/>
        <w:rPr>
          <w:sz w:val="20"/>
          <w:szCs w:val="20"/>
          <w:color w:val="auto"/>
        </w:rPr>
      </w:pPr>
      <w:r>
        <w:rPr>
          <w:rFonts w:ascii="Arial" w:cs="Arial" w:eastAsia="Arial" w:hAnsi="Arial"/>
          <w:sz w:val="18"/>
          <w:szCs w:val="18"/>
          <w:color w:val="auto"/>
        </w:rPr>
        <w:t>In January 2017, the Company entered into a five-year sublease agreement with Freescale, a related party, to rent 6,560 square feet of office and laboratory space in Chandler, Arizona, and in March 2017, the Company amended the sublease to increase the space to 10,023 square feet.</w:t>
      </w:r>
    </w:p>
    <w:p>
      <w:pPr>
        <w:spacing w:after="0" w:line="181" w:lineRule="exact"/>
        <w:rPr>
          <w:sz w:val="20"/>
          <w:szCs w:val="20"/>
          <w:color w:val="auto"/>
        </w:rPr>
      </w:pPr>
    </w:p>
    <w:p>
      <w:pPr>
        <w:jc w:val="both"/>
        <w:ind w:right="159" w:firstLine="324"/>
        <w:spacing w:after="0" w:line="312" w:lineRule="auto"/>
        <w:rPr>
          <w:sz w:val="20"/>
          <w:szCs w:val="20"/>
          <w:color w:val="auto"/>
        </w:rPr>
      </w:pPr>
      <w:r>
        <w:rPr>
          <w:rFonts w:ascii="Arial" w:cs="Arial" w:eastAsia="Arial" w:hAnsi="Arial"/>
          <w:sz w:val="16"/>
          <w:szCs w:val="16"/>
          <w:color w:val="auto"/>
        </w:rPr>
        <w:t>The Company has an operating lease for its Arizona manufacturing facility, as amended, for certain of the fabrication, laboratory and office premises of Freescale. In March 2017, the Company extended the lease through January 28, 2019 and amended the premises covered to remove laboratory space, decrease fabrication space and expand office space.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225"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In April 2017, the Company repaid the outstanding balance of $1.1 million on the revolving loan at which time the unamortized balance of the debt discount of $10,000 was recognized as a loss on extinguishment of debt. In May 2017, the Company repaid the outstanding principal balance of $6.2 million on the term loan at which time the unamortized balance of the debt discount was $175,000, and paid a prepayment penalty of $61,000. The unamortized debt discount balance and the prepayment penalty were recognized as a loss on extinguishment of debt in the condensed statements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259" w:firstLine="324"/>
        <w:spacing w:after="0" w:line="291"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provides for interest at a floating rate equal to the prime rate minus</w:t>
      </w:r>
    </w:p>
    <w:p>
      <w:pPr>
        <w:ind w:right="19"/>
        <w:spacing w:after="0" w:line="287" w:lineRule="auto"/>
        <w:rPr>
          <w:sz w:val="20"/>
          <w:szCs w:val="20"/>
          <w:color w:val="auto"/>
        </w:rPr>
      </w:pPr>
      <w:r>
        <w:rPr>
          <w:rFonts w:ascii="Arial" w:cs="Arial" w:eastAsia="Arial" w:hAnsi="Arial"/>
          <w:sz w:val="16"/>
          <w:szCs w:val="16"/>
          <w:color w:val="auto"/>
        </w:rPr>
        <w:t>0.75%. As of September 30, 2017, the interest rate was 3.50%. The term loan provides for a period of interest-only payments through April 30, 2018, followed by fixed principal and interest payments based on either a 24-month amortization schedule or a 36-month amortization schedule if the Company meets certain sales milestones. The Company is required to comply with certain covenants under the 2017 Credit Facility, including requirements to maintain a minimum liquidity ratio, meet certain revenue targets, and restrictions on certain actions without the consent of the lender, such as the disposal and acquisition of its business or property, changes in business, and mergers or acquisitions. An end of term fee of 6% of the amount borrowed must be made when the loan is prepaid or repaid, whether at maturity or as a result of a prepayment or acceleration or otherwise. The additional payment is being accreted using the effective interest method.</w:t>
      </w:r>
    </w:p>
    <w:p>
      <w:pPr>
        <w:spacing w:after="0" w:line="170"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Security for the 2017 Credit Facility includes all of the Company’s assets except for intellectual property. The 2017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September 30, 2017.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September 30, 2017, management does not believe that it is probable that the clause will be triggered within the next twelve months, and therefore the term loan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2017 Credit Facility at September 30, 2017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Discount attributable to end of term fee and debt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7"/>
        </w:trPr>
        <w:tc>
          <w:tcPr>
            <w:tcW w:w="440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Prior Facilities at December 31, 2016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Discount attributable to warrants, end of term fee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7"/>
        </w:trPr>
        <w:tc>
          <w:tcPr>
            <w:tcW w:w="438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6"/>
              </w:rPr>
              <w:t>Options Outstanding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1,414,730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Options 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374,944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(646,900)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13.87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234,973</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2017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295,517</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1,595,415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Options exercisable—September 30, 2017</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760,459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4.93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Options vested and expected to vest—September 30, 2017</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1,595,415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total grant date fair value of options vested was $236,000 and $129,000 during the three months ended September 30, 2017 and 2016, respectively, and $1.1 million and $415,000 for the nine months ended September 30, 2017 and 2016, respectively.</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weighted-average grant date fair value of employee options granted during the three months ended September 30, 2017 and 2016 was $9.22 and $3.86 per share, respectively, and during the nine months ended September 30, 2017 and 2016 was $7.80 and $3.86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 No further grants will be made under the Company’s 2008 Equity Incentive Plan (the “2008 Plan”). However, any outstanding stock awards granted under the 2008 Plan will remain outstanding, subject to the terms of the Company’s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342" w:lineRule="auto"/>
        <w:rPr>
          <w:sz w:val="20"/>
          <w:szCs w:val="20"/>
          <w:color w:val="auto"/>
        </w:rPr>
      </w:pPr>
      <w:r>
        <w:rPr>
          <w:rFonts w:ascii="Arial" w:cs="Arial" w:eastAsia="Arial" w:hAnsi="Arial"/>
          <w:sz w:val="16"/>
          <w:szCs w:val="16"/>
          <w:color w:val="auto"/>
        </w:rPr>
        <w:t>2008 Plan and the applicable stock award agreements, until such outstanding stock awards that are stock options are exercised or until they terminate or expire by their terms, or until such stock awards are fully settled, terminated or forfeited.</w:t>
      </w:r>
    </w:p>
    <w:p>
      <w:pPr>
        <w:spacing w:after="0" w:line="124" w:lineRule="exact"/>
        <w:rPr>
          <w:sz w:val="20"/>
          <w:szCs w:val="20"/>
          <w:color w:val="auto"/>
        </w:rPr>
      </w:pPr>
    </w:p>
    <w:p>
      <w:pPr>
        <w:jc w:val="both"/>
        <w:ind w:right="19" w:firstLine="324"/>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1" w:lineRule="exact"/>
        <w:rPr>
          <w:sz w:val="20"/>
          <w:szCs w:val="20"/>
          <w:color w:val="auto"/>
        </w:rPr>
      </w:pPr>
    </w:p>
    <w:p>
      <w:pPr>
        <w:ind w:right="179" w:firstLine="324"/>
        <w:spacing w:after="0" w:line="257" w:lineRule="auto"/>
        <w:rPr>
          <w:sz w:val="20"/>
          <w:szCs w:val="20"/>
          <w:color w:val="auto"/>
        </w:rPr>
      </w:pPr>
      <w:r>
        <w:rPr>
          <w:rFonts w:ascii="Arial" w:cs="Arial" w:eastAsia="Arial" w:hAnsi="Arial"/>
          <w:sz w:val="18"/>
          <w:szCs w:val="18"/>
          <w:color w:val="auto"/>
        </w:rPr>
        <w:t>The maximum number of shares of common stock that may be issued under the Company’s 2016 Plan is 500,000. The number of shares of common stock reserved for issuance under the Company’s 2016 Plan will automatically increase on January 1 of each year, beginning on January 1, 2017, and continuing through and including January 1, 2024, by 3% of the total number of shares of capital stock outstanding on December 31 of the preceding calendar year, or a lesser number of shares determined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159" w:firstLine="324"/>
        <w:spacing w:after="0" w:line="293" w:lineRule="auto"/>
        <w:rPr>
          <w:sz w:val="20"/>
          <w:szCs w:val="20"/>
          <w:color w:val="auto"/>
        </w:rPr>
      </w:pPr>
      <w:r>
        <w:rPr>
          <w:rFonts w:ascii="Arial" w:cs="Arial" w:eastAsia="Arial" w:hAnsi="Arial"/>
          <w:sz w:val="16"/>
          <w:szCs w:val="16"/>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Internal Revenue Code. The board of directors, or a duly authorized committee thereof, will administer the Company’s ESPP.</w:t>
      </w:r>
    </w:p>
    <w:p>
      <w:pPr>
        <w:spacing w:after="0" w:line="165" w:lineRule="exact"/>
        <w:rPr>
          <w:sz w:val="20"/>
          <w:szCs w:val="20"/>
          <w:color w:val="auto"/>
        </w:rPr>
      </w:pPr>
    </w:p>
    <w:p>
      <w:pPr>
        <w:ind w:right="19" w:firstLine="324"/>
        <w:spacing w:after="0" w:line="287" w:lineRule="auto"/>
        <w:rPr>
          <w:sz w:val="20"/>
          <w:szCs w:val="20"/>
          <w:color w:val="auto"/>
        </w:rPr>
      </w:pPr>
      <w:r>
        <w:rPr>
          <w:rFonts w:ascii="Arial" w:cs="Arial" w:eastAsia="Arial" w:hAnsi="Arial"/>
          <w:sz w:val="16"/>
          <w:szCs w:val="16"/>
          <w:color w:val="auto"/>
        </w:rPr>
        <w:t>The maximum aggregate number of shares of common stock that may be issued pursuant to the exercise of purchase rights under the Company’s ESPP that are granted to employees or to employees of any of the Company’s designated affiliates is 96,153 shares. Additionally,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Shares subject to purchase rights granted under the Company’s ESPP that terminate without having been exercised in full will not reduce the number of shares available for issuance under the Company’s ESPP. The first purchase period under the 2016 ESPP commenced on October 12, 2016 and ended on April 12, 2017. The second purchase period began on April 13, 2017 and ended on October 12, 2017. The Company had 203,210 shares available for future issuance under the Company’s ESPP as of September 30, 2017. Employees purchased 17,924 shares for $122,000 during the nine months ended September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139" w:firstLine="324"/>
        <w:spacing w:after="0" w:line="297" w:lineRule="auto"/>
        <w:rPr>
          <w:sz w:val="20"/>
          <w:szCs w:val="20"/>
          <w:color w:val="auto"/>
        </w:rPr>
      </w:pPr>
      <w:r>
        <w:rPr>
          <w:rFonts w:ascii="Arial" w:cs="Arial" w:eastAsia="Arial" w:hAnsi="Arial"/>
          <w:sz w:val="16"/>
          <w:szCs w:val="16"/>
          <w:color w:val="auto"/>
        </w:rPr>
        <w:t>During the three months ended September 30, 2017, the Company entered into a Separation Agreement with its former Chief Executive Officer which resulted in the acceleration in the vesting of certain unvested stock options as well as the extension of the exercise period for all vested options. As a result of the modification, the Company recorded stock-based compensation expense of $310,000 during the three months ended September 30, 2017 to reflect the revised service period for the stock options and related vesting of shares that would otherwise not have vested.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9" w:firstLine="324"/>
        <w:spacing w:after="0" w:line="286" w:lineRule="auto"/>
        <w:rPr>
          <w:sz w:val="20"/>
          <w:szCs w:val="20"/>
          <w:color w:val="auto"/>
        </w:rPr>
      </w:pPr>
      <w:r>
        <w:rPr>
          <w:rFonts w:ascii="Arial" w:cs="Arial" w:eastAsia="Arial" w:hAnsi="Arial"/>
          <w:sz w:val="17"/>
          <w:szCs w:val="17"/>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 for the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2"/>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Granted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2017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September 30, 2017, there was $149,000 of unrecognized stock-based compensation expense related to RSUs to be recognized over a weighted-average period of 0.9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5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r>
      <w:tr>
        <w:trPr>
          <w:trHeight w:val="217"/>
        </w:trPr>
        <w:tc>
          <w:tcPr>
            <w:tcW w:w="41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1,511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September 30, 2017, there was $6.2 million of total unrecognized compensation expense related to unvested options which is expected to be recognized over a weighted-average period of 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Stock-based compensation expense for employees was $685,000 and $279,000 for the three months ended September 30, 2017 and 2016, respectively, and $1.4 million and $480,000 for the nine months ended September 30, 2017 and 2016, respectively.</w:t>
      </w:r>
    </w:p>
    <w:p>
      <w:pPr>
        <w:spacing w:after="0" w:line="1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2016 Plan</w:t>
            </w:r>
          </w:p>
        </w:tc>
        <w:tc>
          <w:tcPr>
            <w:tcW w:w="1060" w:type="dxa"/>
            <w:vAlign w:val="bottom"/>
            <w:gridSpan w:val="2"/>
          </w:tcPr>
          <w:p>
            <w:pPr>
              <w:jc w:val="center"/>
              <w:ind w:left="218"/>
              <w:spacing w:after="0"/>
              <w:rPr>
                <w:sz w:val="20"/>
                <w:szCs w:val="20"/>
                <w:color w:val="auto"/>
              </w:rPr>
            </w:pPr>
            <w:r>
              <w:rPr>
                <w:rFonts w:ascii="Arial" w:cs="Arial" w:eastAsia="Arial" w:hAnsi="Arial"/>
                <w:sz w:val="14"/>
                <w:szCs w:val="14"/>
                <w:b w:val="1"/>
                <w:bCs w:val="1"/>
                <w:color w:val="auto"/>
                <w:w w:val="93"/>
              </w:rPr>
              <w:t>2016 ESPP</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3680" w:type="dxa"/>
            <w:vAlign w:val="bottom"/>
          </w:tcPr>
          <w:p>
            <w:pPr>
              <w:spacing w:after="0"/>
              <w:rPr>
                <w:sz w:val="12"/>
                <w:szCs w:val="12"/>
                <w:color w:val="auto"/>
              </w:rPr>
            </w:pPr>
          </w:p>
        </w:tc>
        <w:tc>
          <w:tcPr>
            <w:tcW w:w="20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68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6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2016</w:t>
            </w:r>
          </w:p>
        </w:tc>
        <w:tc>
          <w:tcPr>
            <w:tcW w:w="240" w:type="dxa"/>
            <w:vAlign w:val="bottom"/>
            <w:tcBorders>
              <w:bottom w:val="single" w:sz="8" w:color="CCEEFF"/>
            </w:tcBorders>
          </w:tcPr>
          <w:p>
            <w:pPr>
              <w:spacing w:after="0"/>
              <w:rPr>
                <w:sz w:val="12"/>
                <w:szCs w:val="12"/>
                <w:color w:val="auto"/>
              </w:rPr>
            </w:pPr>
          </w:p>
        </w:tc>
      </w:tr>
      <w:tr>
        <w:trPr>
          <w:trHeight w:val="195"/>
        </w:trPr>
        <w:tc>
          <w:tcPr>
            <w:tcW w:w="3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49.3-</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47.2-61.1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44.4-45.1 %</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66.2 %</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1.93-2.10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1.12-1.36 %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0.5-1.0 %</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Stock-based compensation expense related to stock options granted to non-employees is recognized as the stock options vest. During the three and nine months ended September 30, 2017, the Company granted 12,800 stock options to non-employees. During the three and nine months ended September 30, 2016, the Company granted 21,633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options to non-employees. As of September 30, 2017, options to purchase 24,453 shares of common stock were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a weighted-average exercise price of $5.57 per share. Stock-based compensation expense for non-employees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$(13,000) and $30,000 for the three months ended September 30, 2017 and 2016, respectively, and $86,000 and $40,000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2017 and 2016,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September 30, 2017, $25,000 was receivable from GF. There were no amounts receivable from GF as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2016. As of September 30, 2017 and December 31, 2016, $1.6 million and $979,000, respectively, were payable to GF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Company’s share of the project costs under the JDA. During the three and nine months ended September 30, 2017,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purchased research and development equipment from GF for $485,000 and $747,000, respectively,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Property and equipment, net as of September 30, 2017. There were no such purchases from GF as of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2016. The Company incurred project costs, recognized as research and development expense, of $850,000 and $480,000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2017 and 2016 respectively, and $4.1 million and $2.4 million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2017 and 2016, respectively. The Company entered into a Statement of Work #4B (the “SOW 4B”)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JDA with GF effective August 31, 2016. Under SOW 4B, the Company will collaborate with GF in planning,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designing and supporting evaluation of 22nm embedded MRAM arrays. The Company is eligible to receive three substantive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from this collaboration: (a) $569,000 was due upon the delivery of the Company’s database of bias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system schematics; (b) $650,000 was due upon the delivery of a Graphic Design Database System package; and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$406,000 is due upon demonstration that the embedded MRAM array meets the specifications agreed upon by the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parties. Two of the milestones were achieved during the nine months ended September 30, 2017. There was no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from GF for the three months ended September 30, 2017. The Company recognized revenue of $1.2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GF in the nine months ended September 30, 2017. There was no revenue from GF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2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September 30, 2017, an additional 125,000 shares of common stock became vested. As of September 30, 2017, there were 125,000 shares unvested that were subject to repurchase.</w:t>
      </w:r>
    </w:p>
    <w:p>
      <w:pPr>
        <w:spacing w:after="0" w:line="17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Company recognized non-cash compensation expense of $508,000 and $(691,000) during the three months ended September 30, 2017 and 2016, respectively, and $1.2 million and $751,000 for the nine months ended September 30, 2017 and 2016, respectively, in research and development expense related to the vesting of the shares of common stock. The Company recognizes compensation expense based on the estimated fair value of the common stock at each reporting period, which was $17.09 and $8.29 per share as of September 30, 2017 and December 31,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Freescale</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 has entered into various transactions with Freescale (a wholly-owned subsidiary of NXP), a related party due to its equity ownership in the Company. The Company leases its manufacturing facility in Chandler, Arizona, from Freescale and total rent expense was $250,000 and $268,000 during the three months ended September 30, 2017 and 2016, respectively, and $718,000 and $803,000 for the nine months ended September 30, 2017 and 2016, respectively. Freescale also performs processing of the Company’s products in its facility which are capitalized as part of the cost of inventory. The total processing costs incurred by the Company were $786,000 and $702,000 for the three months ended September 30, 2017 and 2016, respectively, and $2.4 million and $2.0 million for the nine months ended September 30, 2017 and 2016, respectively. In addition, Freescale is one of the Company’s largest customers for the sale of embedded wafers, and total revenue from Freescale was $610,000 and $662,000 during the three months ended September 30, 2017 and 2016, respectively, and $1.8 million and $1.4 million for the nine months ended September 30, 2017 and 2016, respectively. In the three and nine months ended September 30, 2017, the Company purchased wafers for its Condor product from Freescale for $317,000 and $708,000, respectively, which are included in inventory as of September 30, 2017. Amounts due from Freescale were $458,000 and $486,000 at September 30, 2017 and December 31, 2016, respectively. Amounts due to Freescale were $469,000 and $380,000 at September 30, 2017 and December 31, 2016,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040"/>
          </w:cols>
          <w:pgMar w:left="1420" w:top="12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color w:val="auto"/>
        </w:rPr>
        <w:t>Weighted-average common shares outstanding Less: weighted-average unvested common shares subjected to repurchase</w:t>
      </w:r>
    </w:p>
    <w:p>
      <w:pPr>
        <w:spacing w:after="0" w:line="1" w:lineRule="exact"/>
        <w:rPr>
          <w:sz w:val="20"/>
          <w:szCs w:val="20"/>
          <w:color w:val="auto"/>
        </w:rPr>
      </w:pPr>
    </w:p>
    <w:p>
      <w:pPr>
        <w:ind w:left="120"/>
        <w:spacing w:after="0" w:line="306" w:lineRule="auto"/>
        <w:rPr>
          <w:sz w:val="20"/>
          <w:szCs w:val="20"/>
          <w:color w:val="auto"/>
        </w:rPr>
      </w:pPr>
      <w:r>
        <w:rPr>
          <w:rFonts w:ascii="Arial" w:cs="Arial" w:eastAsia="Arial" w:hAnsi="Arial"/>
          <w:sz w:val="15"/>
          <w:szCs w:val="15"/>
          <w:color w:val="auto"/>
        </w:rPr>
        <w:t>Weighted-average common shares outstanding used to calculate net loss per common share, basic and diluted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r>
      <w:tr>
        <w:trPr>
          <w:trHeight w:val="433"/>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(16,719)</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(11,400)</w:t>
            </w: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12,700,802</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3,023,794</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12,595,015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3,019,238</w:t>
            </w: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(366,220)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(429,534)</w:t>
            </w:r>
          </w:p>
        </w:tc>
        <w:tc>
          <w:tcPr>
            <w:tcW w:w="2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12,559,812</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2,657,574</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12,425,390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2,589,704</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-1285875</wp:posOffset>
            </wp:positionV>
            <wp:extent cx="575437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-994410</wp:posOffset>
            </wp:positionV>
            <wp:extent cx="57543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-711200</wp:posOffset>
            </wp:positionV>
            <wp:extent cx="575437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-162560</wp:posOffset>
            </wp:positionV>
            <wp:extent cx="57543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440"/>
            <w:col w:w="4560"/>
          </w:cols>
          <w:pgMar w:left="1420" w:top="125" w:right="14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160" w:type="dxa"/>
            <w:vAlign w:val="bottom"/>
          </w:tcPr>
          <w:p>
            <w:pPr>
              <w:spacing w:after="0"/>
              <w:rPr>
                <w:sz w:val="14"/>
                <w:szCs w:val="14"/>
                <w:color w:val="auto"/>
              </w:rPr>
            </w:pPr>
          </w:p>
        </w:tc>
        <w:tc>
          <w:tcPr>
            <w:tcW w:w="2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51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7"/>
                <w:szCs w:val="17"/>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Redeemable convertible preferred stock on an as-converted basis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2,486,199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2,486,199</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1,595,415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1,262,294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1,595,415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1,262,294</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Common stock subject to repurchase</w:t>
            </w: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240,385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240,385</w:t>
            </w:r>
          </w:p>
        </w:tc>
        <w:tc>
          <w:tcPr>
            <w:tcW w:w="60" w:type="dxa"/>
            <w:vAlign w:val="bottom"/>
          </w:tcPr>
          <w:p>
            <w:pPr>
              <w:spacing w:after="0"/>
              <w:rPr>
                <w:sz w:val="18"/>
                <w:szCs w:val="18"/>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Redeemable convertible preferred stock warrants on an as-converted</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60" w:type="dxa"/>
            <w:vAlign w:val="bottom"/>
            <w:shd w:val="clear" w:color="auto" w:fill="CCEEFF"/>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5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1,758,105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4,016,568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1,758,105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4,016,568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October 2017, the Company entered into an amendment to its lease with Freescale in Chandler, Arizona to add 17,951 square feet of office space. The initial term of this amendment to the lease ends on January 31, 2022. The amendment provides the Company with 11 months free rent for the additional space, and total additional lease payments under the amendment will be $1.1 million over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drive our revenue from the sale of our MRAM-based products in discrete unit form, as embedded technology, and through licensing and royalties of our MRAM technology.</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80% and 76% for the three months ended September 30, 2017 and 2016, respectively, and 75% and 79% for the nine months ended September 30, 2017 and 2016, respectively, of our revenue from products sold through distributors.</w:t>
      </w:r>
    </w:p>
    <w:p>
      <w:pPr>
        <w:spacing w:after="0" w:line="1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$1.7 million and $2.1 million for the three months ended September 30, 2017 and 2016, and $4.5 million and $5.0 million for the nine months ended September 30, 2017 and 2016, respectively. In EMEA, our revenue was $2.0 million and $1.5 million for the three months ended September 30, 2017 and 2016, respectively, and $5.4 million and $4.1 million for the nine months ended September 30, 2017 and 2016, respectively. In APAC, our revenue was $5.3 million and $3.6 million for the three months ended September 30, 2017 and 2016, respectively, and $15.9 million and $10.9 million for the nine months ended September 30, 2017 and 2016, respectively. We recognize revenue by geography based on the region in which our products are sold, and not to where the end products are shipped.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on 300mm wafers at advanced process nodes.</w:t>
      </w:r>
    </w:p>
    <w:p>
      <w:pPr>
        <w:spacing w:after="0" w:line="16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During the three and nine months ended September 30, 2017, we continued to invest in research and development to support the development and production of our second generation of MRAM technology. We believe our continued investment will allow us to continue to develop and deploy products based on our Spin-Torque MRAM (“ST-MRAM”) technology. Our research and development expenses were $6.4 million and $3.1 million for the three months ended September 30, 2017 and 2016, respectively, and $19.2 million and $14.3 million for the nine months ended September 30, 2017 and 2016, respectively. We expect that our research and development expenses will increase in the future as we continue to develop our MRAM technology internally and through our joint development agreement with GLOBALFOUNDRIES.</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87"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recorded revenue of $9.0 million and $7.2 million for the three months ended September 30, 2017 and 2016, respectively, and $25.8 million and $20.0 million for the nine months ended September 30, 2017 and 2016, respectively; gross margin was 58.3% and 60.1% for the three months ended September 30, 2017 and 2016, respectively and 59.1% and 57.2% for the nine months ended September 30, 2017 and 2016, respectively; and our net loss was $5.4 million and $1.4 million for the three months ended September 30, 2017 and 2016, respectively, and $16.7 million and $11.4 million for the nine months ended September 30, 2017 and 2016, respectively. As of September 30, 2017, we had 94 employees, approximately half of whom are engaged in research and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(5,446)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(16,719)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Compensation expense related to vesting of GLOBALFOUNDRIES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 xml:space="preserve">Design wins. </w:t>
      </w:r>
      <w:r>
        <w:rPr>
          <w:rFonts w:ascii="Arial" w:cs="Arial" w:eastAsia="Arial" w:hAnsi="Arial"/>
          <w:sz w:val="16"/>
          <w:szCs w:val="16"/>
          <w:color w:val="auto"/>
        </w:rPr>
        <w:t>In order to continue to grow our revenue, we must continue to achieve design wins for our MRAM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consider a design win to occur when an original equipment manufacturer (“OEM”) or contract manufacturer notifies us that it has selected one of our products to be incorporated into a product or system under development. Because the life cycles for our customers’ products can last for several years, if these products have successful commercial introductions, we expect to continue to generate revenues over an extended period of time for each successful design win.</w:t>
      </w:r>
    </w:p>
    <w:p>
      <w:pPr>
        <w:spacing w:after="0" w:line="15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In order for our customers to use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to redesign certain 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i w:val="1"/>
          <w:iCs w:val="1"/>
          <w:color w:val="auto"/>
        </w:rPr>
        <w:t>Customer concentration</w:t>
      </w:r>
      <w:r>
        <w:rPr>
          <w:rFonts w:ascii="Arial" w:cs="Arial" w:eastAsia="Arial" w:hAnsi="Arial"/>
          <w:sz w:val="17"/>
          <w:szCs w:val="17"/>
          <w:color w:val="auto"/>
        </w:rPr>
        <w:t>. A relatively small number of end customers have historically accounted for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our revenue. Revenue, including through distributors, from NXP, STMicroelectronics, Novomatic Gaming Industries, Broadcom and Dell, collectively, accounted for approximately 32% and 34% of our total revenue in the three and nine months ended September 30, 2017, respectively. None of these customers accounted for in excess of 10% of our total revenue in the three and nine months ended September 30, 2017. Revenue, including through distributors, from Dell, Broadcom, STMicroelectronics, NXP, and Hyundai Mobis, collectively, accounted for 39% and 36% of our total revenue in the three and nine months ended September 30, 2016, respectively. None of these customers accounted for in excess of 10% of our total revenue in the three and nine months ended September 30,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8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79" w:firstLine="324"/>
        <w:spacing w:after="0" w:line="293" w:lineRule="auto"/>
        <w:rPr>
          <w:sz w:val="20"/>
          <w:szCs w:val="20"/>
          <w:color w:val="auto"/>
        </w:rPr>
      </w:pPr>
      <w:r>
        <w:rPr>
          <w:rFonts w:ascii="Arial" w:cs="Arial" w:eastAsia="Arial" w:hAnsi="Arial"/>
          <w:sz w:val="16"/>
          <w:szCs w:val="16"/>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to incur additional general and administrative expenses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right="39" w:firstLine="324"/>
        <w:spacing w:after="0" w:line="312" w:lineRule="auto"/>
        <w:rPr>
          <w:sz w:val="20"/>
          <w:szCs w:val="20"/>
          <w:color w:val="auto"/>
        </w:rPr>
      </w:pPr>
      <w:r>
        <w:rPr>
          <w:rFonts w:ascii="Arial" w:cs="Arial" w:eastAsia="Arial" w:hAnsi="Arial"/>
          <w:sz w:val="16"/>
          <w:szCs w:val="16"/>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non-cash component also includes interest expense on our convertible promissory notes as well as the amortization of debt discounts from the bifurcation of an embedded derivative related to the notes. These notes were converted into shares of our common stock upon the completion of our initial public offering, (“IPO”) in October 2016. The cash component of interest expense is attributable to our borrowings under our loan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39" w:firstLine="324"/>
        <w:spacing w:after="0" w:line="297" w:lineRule="auto"/>
        <w:rPr>
          <w:sz w:val="20"/>
          <w:szCs w:val="20"/>
          <w:color w:val="auto"/>
        </w:rPr>
      </w:pPr>
      <w:r>
        <w:rPr>
          <w:rFonts w:ascii="Arial" w:cs="Arial" w:eastAsia="Arial" w:hAnsi="Arial"/>
          <w:sz w:val="16"/>
          <w:szCs w:val="16"/>
          <w:color w:val="auto"/>
        </w:rPr>
        <w:t>Other income, net consists primarily of the change in fair value of our convertible preferred stock warrant liability. Prior to the completion of our IPO, our convertible preferred stock warrants were exercisable into shares that were contingently redeemable. As such, these warrants were classified as a liability on our balance sheets at their estimated fair value and were marked to market at each reporting period. We continued to record adjustments to the estimated fair values of the convertible preferred stock warrants until they converted into common stock warrants upon the closing of the IPO.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159" w:firstLine="324"/>
        <w:spacing w:after="0" w:line="26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the unamortized balance of the debt discount and a prepayment penalty for the term loan were recognized as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2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and royalty revenue</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tcPr>
          <w:p>
            <w:pPr>
              <w:spacing w:after="0"/>
              <w:rPr>
                <w:sz w:val="18"/>
                <w:szCs w:val="18"/>
                <w:color w:val="auto"/>
              </w:rPr>
            </w:pPr>
          </w:p>
        </w:tc>
      </w:tr>
      <w:tr>
        <w:trPr>
          <w:trHeight w:val="21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140" w:type="dxa"/>
            <w:vAlign w:val="bottom"/>
            <w:tcBorders>
              <w:bottom w:val="single" w:sz="8" w:color="CCEEFF"/>
            </w:tcBorders>
          </w:tcPr>
          <w:p>
            <w:pPr>
              <w:spacing w:after="0"/>
              <w:rPr>
                <w:sz w:val="18"/>
                <w:szCs w:val="18"/>
                <w:color w:val="auto"/>
              </w:rPr>
            </w:pPr>
          </w:p>
        </w:tc>
      </w:tr>
      <w:tr>
        <w:trPr>
          <w:trHeight w:val="21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4,881</w:t>
            </w:r>
          </w:p>
        </w:tc>
        <w:tc>
          <w:tcPr>
            <w:tcW w:w="14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8"/>
                <w:szCs w:val="18"/>
                <w:color w:val="auto"/>
              </w:rPr>
            </w:pPr>
          </w:p>
        </w:tc>
      </w:tr>
      <w:tr>
        <w:trPr>
          <w:trHeight w:val="210"/>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140" w:type="dxa"/>
            <w:vAlign w:val="bottom"/>
            <w:tcBorders>
              <w:bottom w:val="single" w:sz="8" w:color="CCEEFF"/>
            </w:tcBorders>
          </w:tcPr>
          <w:p>
            <w:pPr>
              <w:spacing w:after="0"/>
              <w:rPr>
                <w:sz w:val="18"/>
                <w:szCs w:val="18"/>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(10,232)</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7"/>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39" w:firstLine="324"/>
        <w:spacing w:after="0" w:line="277" w:lineRule="auto"/>
        <w:rPr>
          <w:sz w:val="20"/>
          <w:szCs w:val="20"/>
          <w:color w:val="auto"/>
        </w:rPr>
      </w:pPr>
      <w:r>
        <w:rPr>
          <w:rFonts w:ascii="Arial" w:cs="Arial" w:eastAsia="Arial" w:hAnsi="Arial"/>
          <w:sz w:val="18"/>
          <w:szCs w:val="18"/>
          <w:color w:val="auto"/>
        </w:rPr>
        <w:t>The following table sets forth the statements of operations data for each of the periods presented as a percentage of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3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8"/>
          </w:tcPr>
          <w:p>
            <w:pPr>
              <w:jc w:val="right"/>
              <w:ind w:right="130"/>
              <w:spacing w:after="0"/>
              <w:rPr>
                <w:sz w:val="20"/>
                <w:szCs w:val="20"/>
                <w:color w:val="auto"/>
              </w:rPr>
            </w:pPr>
            <w:r>
              <w:rPr>
                <w:rFonts w:ascii="Arial" w:cs="Arial" w:eastAsia="Arial" w:hAnsi="Arial"/>
                <w:sz w:val="14"/>
                <w:szCs w:val="14"/>
                <w:b w:val="1"/>
                <w:bCs w:val="1"/>
                <w:color w:val="auto"/>
                <w:w w:val="97"/>
              </w:rPr>
              <w:t>Nine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3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8"/>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60" w:type="dxa"/>
            <w:vAlign w:val="bottom"/>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60" w:type="dxa"/>
            <w:vAlign w:val="bottom"/>
            <w:gridSpan w:val="3"/>
          </w:tcPr>
          <w:p>
            <w:pPr>
              <w:jc w:val="right"/>
              <w:ind w:right="17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80" w:type="dxa"/>
            <w:vAlign w:val="bottom"/>
            <w:gridSpan w:val="12"/>
          </w:tcPr>
          <w:p>
            <w:pPr>
              <w:ind w:left="320"/>
              <w:spacing w:after="0"/>
              <w:rPr>
                <w:sz w:val="20"/>
                <w:szCs w:val="20"/>
                <w:color w:val="auto"/>
              </w:rPr>
            </w:pPr>
            <w:r>
              <w:rPr>
                <w:rFonts w:ascii="Arial" w:cs="Arial" w:eastAsia="Arial" w:hAnsi="Arial"/>
                <w:sz w:val="18"/>
                <w:szCs w:val="18"/>
                <w:b w:val="1"/>
                <w:bCs w:val="1"/>
                <w:i w:val="1"/>
                <w:iCs w:val="1"/>
                <w:color w:val="auto"/>
                <w:w w:val="96"/>
              </w:rPr>
              <w:t>Comparison of the Three Months Ended September 30, 2017 and 2016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Pr>
          <w:p>
            <w:pPr>
              <w:ind w:left="320"/>
              <w:spacing w:after="0"/>
              <w:rPr>
                <w:sz w:val="20"/>
                <w:szCs w:val="20"/>
                <w:color w:val="auto"/>
              </w:rPr>
            </w:pPr>
            <w:r>
              <w:rPr>
                <w:rFonts w:ascii="Arial" w:cs="Arial" w:eastAsia="Arial" w:hAnsi="Arial"/>
                <w:sz w:val="18"/>
                <w:szCs w:val="18"/>
                <w:i w:val="1"/>
                <w:iCs w:val="1"/>
                <w:color w:val="auto"/>
              </w:rPr>
              <w:t>Revenue</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11"/>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$ 8,933</w:t>
            </w: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$ 7,008</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and royalty revenue</w:t>
            </w:r>
          </w:p>
        </w:tc>
        <w:tc>
          <w:tcPr>
            <w:tcW w:w="5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w w:val="95"/>
              </w:rPr>
              <w:t>(52)%</w:t>
            </w: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20" w:type="dxa"/>
            <w:vAlign w:val="bottom"/>
            <w:tcBorders>
              <w:bottom w:val="single" w:sz="8" w:color="CCEEFF"/>
            </w:tcBorders>
            <w:gridSpan w:val="2"/>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$ 9,008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$ 7,164</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$ 1,844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9" w:firstLine="243"/>
        <w:spacing w:after="0" w:line="308" w:lineRule="auto"/>
        <w:rPr>
          <w:sz w:val="20"/>
          <w:szCs w:val="20"/>
          <w:color w:val="auto"/>
        </w:rPr>
      </w:pPr>
      <w:r>
        <w:rPr>
          <w:rFonts w:ascii="Arial" w:cs="Arial" w:eastAsia="Arial" w:hAnsi="Arial"/>
          <w:sz w:val="17"/>
          <w:szCs w:val="17"/>
          <w:color w:val="auto"/>
        </w:rPr>
        <w:t>Total revenue increased by $1.8 million or 26%, from $7.2 million during the three months ended September 30, 2016, to $9.0 million during the three months ended September 30, 2017. Product sales increased by $1.9 million or</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27%, from $7.0 million during the three months ended September 30, 2016, to $8.9 million during the three months ended September 30, 2017. The increase in product sales was due to increased sales volume and mix in our first generation MRAM products.</w:t>
      </w:r>
    </w:p>
    <w:p>
      <w:pPr>
        <w:spacing w:after="0" w:line="181" w:lineRule="exact"/>
        <w:rPr>
          <w:sz w:val="20"/>
          <w:szCs w:val="20"/>
          <w:color w:val="auto"/>
        </w:rPr>
      </w:pPr>
    </w:p>
    <w:p>
      <w:pPr>
        <w:ind w:right="60" w:firstLine="243"/>
        <w:spacing w:after="0" w:line="302" w:lineRule="auto"/>
        <w:rPr>
          <w:sz w:val="20"/>
          <w:szCs w:val="20"/>
          <w:color w:val="auto"/>
        </w:rPr>
      </w:pPr>
      <w:r>
        <w:rPr>
          <w:rFonts w:ascii="Arial" w:cs="Arial" w:eastAsia="Arial" w:hAnsi="Arial"/>
          <w:sz w:val="16"/>
          <w:szCs w:val="16"/>
          <w:color w:val="auto"/>
        </w:rPr>
        <w:t>Licensing and royalty revenue is a highly variable revenue item characterized by a small number of transactions annually with revenues based on size and terms of each transaction. Licensing and royalty revenue decreased by $0.1 million, from $0.2 million during the three months ended September 30, 2016, to $0.1 million during the three months ended September 30, 2017. The decrease was primarily due to decreased royalty revenue due to a decline in customer usage.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40" w:type="dxa"/>
            <w:vAlign w:val="bottom"/>
          </w:tcPr>
          <w:p>
            <w:pPr>
              <w:spacing w:after="0"/>
              <w:rPr>
                <w:sz w:val="14"/>
                <w:szCs w:val="14"/>
                <w:color w:val="auto"/>
              </w:rPr>
            </w:pPr>
          </w:p>
        </w:tc>
        <w:tc>
          <w:tcPr>
            <w:tcW w:w="8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540" w:type="dxa"/>
            <w:vAlign w:val="bottom"/>
            <w:gridSpan w:val="5"/>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$ 3,753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$ 2,859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$ 894</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31 %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58.3 %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60.1 %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Cost of sales increased by $0.9 million or 31%, from $2.9 million during the three months ended September 30, 2016, to $3.8 million during the three months ended September 30, 2017. The increase was due to the significant increase in product sales in the three months ended September 30, 2017</w:t>
      </w:r>
      <w:r>
        <w:rPr>
          <w:rFonts w:ascii="Arial" w:cs="Arial" w:eastAsia="Arial" w:hAnsi="Arial"/>
          <w:sz w:val="18"/>
          <w:szCs w:val="18"/>
          <w:i w:val="1"/>
          <w:iCs w:val="1"/>
          <w:color w:val="auto"/>
        </w:rPr>
        <w:t>.</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Gross margin decreased from 60.1% during the three months ended September 30, 2016, to 58.3% during the three months ended September 30, 2017. The decrease was primarily due to product mix.</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$ 3,309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$ 5,485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$ 5,078</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by $3.3 million or 106%, from</w:t>
      </w:r>
      <w:r>
        <w:rPr>
          <w:rFonts w:ascii="Arial" w:cs="Arial" w:eastAsia="Arial" w:hAnsi="Arial"/>
          <w:sz w:val="17"/>
          <w:szCs w:val="17"/>
          <w:i w:val="1"/>
          <w:iCs w:val="1"/>
          <w:color w:val="auto"/>
        </w:rPr>
        <w:t xml:space="preserve"> </w:t>
      </w:r>
      <w:r>
        <w:rPr>
          <w:rFonts w:ascii="Arial" w:cs="Arial" w:eastAsia="Arial" w:hAnsi="Arial"/>
          <w:sz w:val="17"/>
          <w:szCs w:val="17"/>
          <w:color w:val="auto"/>
        </w:rPr>
        <w:t>$3.1 million during the three months ended September 30, 2016, to $6.4 million during the three months ended September 30, 2017. The increase was primarily due to a $1.6 million increase in supplies and maintenance, a $1.2 million increase in the amount attributable to the vesting of shares of common stock issued to GLOBALFOUNDRIES driven by the stock price component of the expense, a $0.4 million increase in expenses from our joint development agreement with GLOBALFOUNDRIES due to the use of more technologically advanced materials, and a $0.1 million increase in employee and contract labor costs due to increased headcount.</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spending increased by $1.4 million or 91%, from $1.6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three months ended September 30, 2016, to $3.0 million during the three months ended September 30, 2017. The increase was primarily due to a $0.5 million increase in professional services incurred due to becoming a publicly traded company, such as accounting services, insurance, legal and investor relations, and a $0.8 million increase in employee and contract labor costs primarily due to our change in Chief Executive Officer.</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$0.3 million or 41%, from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2016, to $1.1 million during the three months ended September 30, 2017. The increase was primarily attributable to a $0.1 million increase in employee and contract labor costs and a $0.2 million increase in travel expenses as a result of increased headcount to drive growth.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798</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(620)</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Interest expense decreased by $0.6 million or 78%, from $0.8 million during the three months ended September 30, 2016, to $0.2 million during the three months ended September 30, 2017. The decrease was primarily related to an overall $0.6 million decrease in the interest payable to GLOBALFOUNDRIES, interest on our 2016 convertible promissory notes and lower interest expense on our 2017 Credit Facility with Silicon Valley Bank, compared to our prior facility with Ares Venture Finance.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534</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(494)</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Other income, net was $40,000 during the three months ended September 30, 2017 compared to $0.5 million during the three months ended September 30, 2016. The change was primarily related to the fair value remeasurement of our warrant liabilities which were reclassified to equity upon the IPO in October 2016.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8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$ 4,484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4"/>
              </w:rPr>
              <w:t>Licensing and royalty revenue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1,598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$ 25,813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Total revenue increased by $5.8 million or 29%, from $20.0 million during the nine months ended September 30, 2016, to $25.8 million during the nine months ended September 30, 2017. Product sales increased by $4.5 million or 23%, from $19.7 million during the nine months ended September 30, 2016, to $24.2 million during the nine months ended September 30, 2017. The increase was primarily due to $3.9 million in increased sales volume and mix in our first generation MRAM products and a $0.6 million increase in sales of our Legacy products.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Licensing and royalty revenue is a highly variable revenue item characterized by a small number of transactions annually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revenues based on size and terms of each transaction. Licensing and royalty revenue increased by $1.3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during the nine months ended September 30, 2016, to $1.6 million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The increase was primarily due to $1.2 million in milestones earned for the achievement of specified events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 from GLOBALFOUNDRIES.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20" w:type="dxa"/>
            <w:vAlign w:val="bottom"/>
            <w:gridSpan w:val="5"/>
          </w:tcPr>
          <w:p>
            <w:pPr>
              <w:jc w:val="right"/>
              <w:ind w:right="388"/>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$ 10,549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3"/>
              </w:rPr>
              <w:t>$ 1,986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Gross margin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59.1 %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57.2 %</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Cost of sales increased by $2.0 million or 23%, from $8.6 million during the nine months ended September 30, 2016, to $10.6 million during the nine months ended September 30, 2017. The increase was primarily due to increased sales volume offset in part by higher yields on our Gen 1 MRAM products.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margin increased from 57.2 % during the nine months ended September 30, 2016, to 59.1% during the</w:t>
      </w:r>
    </w:p>
    <w:p>
      <w:pPr>
        <w:spacing w:after="0" w:line="2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nine months ended September 30, 2017. The increase was primarily due to increased sales, product mix and higher yields on our Gen 1 MRAM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$ 14,342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6"/>
              </w:rPr>
              <w:t>$ 4,894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8,669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620" w:type="dxa"/>
            <w:vAlign w:val="bottom"/>
            <w:gridSpan w:val="2"/>
          </w:tcPr>
          <w:p>
            <w:pPr>
              <w:jc w:val="right"/>
              <w:ind w:right="2"/>
              <w:spacing w:after="0"/>
              <w:rPr>
                <w:sz w:val="20"/>
                <w:szCs w:val="20"/>
                <w:color w:val="auto"/>
              </w:rPr>
            </w:pPr>
            <w:r>
              <w:rPr>
                <w:rFonts w:ascii="Arial" w:cs="Arial" w:eastAsia="Arial" w:hAnsi="Arial"/>
                <w:sz w:val="18"/>
                <w:szCs w:val="18"/>
                <w:color w:val="auto"/>
              </w:rPr>
              <w:t>3,788</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1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$ 31,236</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$ 21,699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83"/>
              </w:rPr>
              <w:t>$ 9,537</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$4.9 million or 34%,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$14.3 million during the nine months ended September 30, 2016, to $19.2 million during the nine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2017. The increase was primarily due to a $2.6 million increase in equipment maintenance and supplies expenses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move to our new office and laboratory space in March 2017 and more purchases in the nine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2017 compared to the same period in 2016, a $1.6 million increase in expenses incurred in our joint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GLOBALFOUNDRIES due to the use of more technologically advanced materials, a $0.6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and contact labor costs due to an increase in headcount, bonuses and stock-based compensation expense,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increase in the amount attributable to the vesting of shares of common stock issued to GLOBALFOUNDRIES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revaluing shares. The increases were partially offset by an increase in the allocation of expenses to cost of goods 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an increase in production in 2017.</w:t>
      </w:r>
    </w:p>
    <w:p>
      <w:pPr>
        <w:spacing w:after="0" w:line="21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$3.8 million or 78%, from $4.9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nine months ended September 30, 2016, to $8.7 million during the nine months ended September 30,</w:t>
      </w:r>
    </w:p>
    <w:p>
      <w:pPr>
        <w:ind w:right="60"/>
        <w:spacing w:after="0" w:line="295" w:lineRule="auto"/>
        <w:rPr>
          <w:sz w:val="20"/>
          <w:szCs w:val="20"/>
          <w:color w:val="auto"/>
        </w:rPr>
      </w:pPr>
      <w:r>
        <w:rPr>
          <w:rFonts w:ascii="Arial" w:cs="Arial" w:eastAsia="Arial" w:hAnsi="Arial"/>
          <w:sz w:val="16"/>
          <w:szCs w:val="16"/>
          <w:color w:val="auto"/>
        </w:rPr>
        <w:t>2017. The increase was primarily due to a $2.1 million increase in professional services incurred due to becoming a publicly traded company, such as accounting services, insurance, legal and investor relations, and a $1.6 million increase in employee and contract labor costs due to an increase in headcount, of which $0.6 million was due to our change in Chief Executive Officer and $1.0 million was due to increases in headcount and stock-based compensation expense.</w:t>
      </w:r>
    </w:p>
    <w:p>
      <w:pPr>
        <w:spacing w:after="0" w:line="16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by $0.9 million or 35%, from $2.5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nine months ended September 30, 2016, to $3.3 million during the nine months ended September 30, 2017. The increase was primarily due to a $0.9 million increase in employee and contract labor costs as a result of higher headcount and an increase in salaries, bonuses and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88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8"/>
              <w:spacing w:after="0" w:line="142"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  584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$(1,398)</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(71)%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800" w:type="dxa"/>
            <w:vAlign w:val="bottom"/>
          </w:tcPr>
          <w:p>
            <w:pPr>
              <w:spacing w:after="0"/>
              <w:rPr>
                <w:sz w:val="24"/>
                <w:szCs w:val="24"/>
                <w:color w:val="auto"/>
              </w:rPr>
            </w:pPr>
          </w:p>
        </w:tc>
        <w:tc>
          <w:tcPr>
            <w:tcW w:w="2220" w:type="dxa"/>
            <w:vAlign w:val="bottom"/>
            <w:gridSpan w:val="2"/>
          </w:tcPr>
          <w:p>
            <w:pPr>
              <w:jc w:val="right"/>
              <w:ind w:right="328"/>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Interest expense decreased by $1.4 million or 71%, from $2.0 million during the nine months ended September 30, 2016, to $0.6 million during the nine months ended September 30, 2017. The decrease was primarily related to a $0.9 million decrease in interest expense on our 2016 convertible promissory notes and a $0.5 million decrease due to lower interest expense on our 2017 Credit Facility with Silicon Valley Bank, compared to our prior facility with Ares Venture Finance.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814</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(731)</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Other income, net was $83,000 during the nine months ended September 30, 2017 compared to $0.8 million during the nine months ended September 30, 2016. The decrease was primarily related to the fair value remeasurement of our warrant liabilities which were reclassified to equity upon the IPO in October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Loss on extinguishment of debt was $0.2 million during the nine months ended September 30, 2017 due to the payoff of our prior facility with Ares Venture Finance in May 2017. There was no such loss during the nine months ended September 30, 2016.</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$113.2 million as of September 30, 2017. As of September 30, 2017, we had $17.8 million of cash and cash equivalents, compared to $29.7 million as of December 31, 2016.</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October 2016, we completed our IPO in which we sold 5,000,000 shares at a price of $8.00 per share for net proceeds of $33.9 million, net of underwriting discounts and commissions, and offering costs. Concurrent with the IPO, we issued 625,000 shares of our common stock in a private placement for net proceeds of $4.7 million, after deducting the placement agent fee.</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May 2017, we executed a Loan and Security Agreement with Silicon Valley Bank for a $12.0 million term loan. The term of the loan is three years, which would be extended by one year if we achieve a revenue target of $4.0 million for our Spin-Torque product. The loan bears interest at a floating rate equal to the prime rate minus 0.75% and is payable monthly. The outstanding balance of the loan is to be repaid monthly beginning on May 1, 2018 over the remaining term of the loan. The loan is secured by a first priority perfected security interest in our assets excluding any intellectual property.</w:t>
      </w:r>
    </w:p>
    <w:p>
      <w:pPr>
        <w:spacing w:after="0" w:line="15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We believe that our existing cash and cash equivalents as of September 30, 2017, coupled with our anticipated growth and sales levels will be sufficient to meet our anticipated cash requirements through November 30,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Nine Months Ended</w:t>
      </w:r>
    </w:p>
    <w:p>
      <w:pPr>
        <w:ind w:left="59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0" w:type="dxa"/>
            <w:vAlign w:val="bottom"/>
            <w:gridSpan w:val="2"/>
          </w:tcPr>
          <w:p>
            <w:pPr>
              <w:jc w:val="right"/>
              <w:ind w:right="27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(7,332)</w:t>
            </w: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80" w:type="dxa"/>
            <w:vAlign w:val="bottom"/>
            <w:gridSpan w:val="2"/>
          </w:tcPr>
          <w:p>
            <w:pPr>
              <w:jc w:val="right"/>
              <w:ind w:right="8"/>
              <w:spacing w:after="0"/>
              <w:rPr>
                <w:sz w:val="20"/>
                <w:szCs w:val="20"/>
                <w:color w:val="auto"/>
              </w:rPr>
            </w:pPr>
            <w:r>
              <w:rPr>
                <w:rFonts w:ascii="Arial" w:cs="Arial" w:eastAsia="Arial" w:hAnsi="Arial"/>
                <w:sz w:val="18"/>
                <w:szCs w:val="18"/>
                <w:color w:val="auto"/>
              </w:rPr>
              <w:t>(2,170)</w:t>
            </w:r>
          </w:p>
        </w:tc>
        <w:tc>
          <w:tcPr>
            <w:tcW w:w="800" w:type="dxa"/>
            <w:vAlign w:val="bottom"/>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During the nine months ended September 30, 2017, cash used in operating activities was $14.5 million, which consisted of a net loss of $16.7 million, adjusted by non-cash charges of $3.9 million and a change of $1.7 million in our net operating assets and liabilities. The non-cash charges primarily consisted of stock-based compensation of $1.5 million, compensation expense related to vesting of common stock issued to GLOBALFOUNDRIES under our joint development agreement of $1.2 million, depreciation and amortization of $0.8 million, loss on extinguishment of debt of $0.2 million, and interest expense related to the amortization of debt issuance costs of $0.2 million. The change in our net operating assets and liabilities was primarily due to an increase in inventory of $2.6 million to meet demands of future sales and growing backlog and an increase of $0.5 million in accounts receivable due to timing of cash receipts for outstanding balances. These changes were partially offset by an increase in accounts payable and accrued liabilities of $0.9 million due to the timing of payments, an increase of $0.3 million in deferred income on shipments to distributors, and a decrease of $0.3 million in prepaid and other current assets.</w:t>
      </w:r>
    </w:p>
    <w:p>
      <w:pPr>
        <w:spacing w:after="0" w:line="18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nine months ended September 30, 2016, cash used in operating activities was $7.3 million, which consisted of a net loss of $11.4 million, adjusted by non-cash charges of $2.2 million and a change of $1.9 million in our net operating assets and liabilities. The non-cash charges primarily consisted of depreciation and amortization of $0.6 million, stock-based compensation of $0.5 million, change in fair value of the derivative liabilities of $(0.8) million, compensation expense related to vesting of common stock issued to GLOBALFOUNDRIES under our joint development agreement of $0.8 million and non-cash interest of $1.1 million. The change in our net operating assets and liabilities was primarily due to a net increase of $2.7 million in the related party amount due to GLOBALFOUNDRIES in connection with the joint development agreement, an increase of $0.8 million in accounts payable and accrued liabilities due to timing of payments and an increase of $0.2 million in the deferred income on shipments to distributors due to an increase in such activity since year end. These changes were partially offset by an increase of $1.1 million inventory in anticipation of shipments in the fourth quarter, an increase of $0.4 million in accounts receivable due to timing of cash receipts for outstanding balances, and an increase of $0.3 million in prepaid expenses and other assets for advances made for the purchase of wafers.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2017, was $2.2 million, primarily for the purchase of manufacturing equipment and capitalized costs related to the move to our new office and laboratory space in Chandler, Arizona.</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2016, was $0.6 million, which consisted of capital expenditures primarily for the purchase of manufacturing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During the nine months ended September 30, 2017, cash provided by financing activities was $4.8 million consisting of proceeds of $12.0 million in borrowings, and $1.2 million from stock option exercises and purchases of shares in employee stock purchase plan, offset in part by payments of long-term debt of $8.4 million.</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the nine months ended September 30, 2016, cash provided by financing activities was $7.6 million consisting of proceeds of $8.5 million in borrowings from convertible promissory notes obtained from certain stockholders and a $1.5 million draw down against the revolving loan. These increases were partially offset by payments of offering costs in connection with our IPO of $1.6 million, and payments on long-term debt of $0.6 million and capital lease obligations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as of September 30,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160" w:type="dxa"/>
            <w:vAlign w:val="bottom"/>
          </w:tcPr>
          <w:p>
            <w:pPr>
              <w:spacing w:after="0"/>
              <w:rPr>
                <w:sz w:val="10"/>
                <w:szCs w:val="10"/>
                <w:color w:val="auto"/>
              </w:rPr>
            </w:pPr>
          </w:p>
        </w:tc>
        <w:tc>
          <w:tcPr>
            <w:tcW w:w="620" w:type="dxa"/>
            <w:vAlign w:val="bottom"/>
          </w:tcPr>
          <w:p>
            <w:pPr>
              <w:jc w:val="right"/>
              <w:ind w:right="65"/>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2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3 to 5</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8"/>
              </w:rPr>
              <w:t>5 Years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Long-term debt, current and non-current, including interest</w:t>
            </w:r>
            <w:r>
              <w:rPr>
                <w:rFonts w:ascii="Arial" w:cs="Arial" w:eastAsia="Arial" w:hAnsi="Arial"/>
                <w:sz w:val="8"/>
                <w:szCs w:val="8"/>
                <w:color w:val="auto"/>
                <w:w w:val="99"/>
              </w:rPr>
              <w:t>(1)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$ 8,795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13,959</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780" w:type="dxa"/>
            <w:vAlign w:val="bottom"/>
            <w:gridSpan w:val="2"/>
          </w:tcPr>
          <w:p>
            <w:pPr>
              <w:jc w:val="right"/>
              <w:ind w:right="5"/>
              <w:spacing w:after="0"/>
              <w:rPr>
                <w:sz w:val="20"/>
                <w:szCs w:val="20"/>
                <w:color w:val="auto"/>
              </w:rPr>
            </w:pPr>
            <w:r>
              <w:rPr>
                <w:rFonts w:ascii="Arial" w:cs="Arial" w:eastAsia="Arial" w:hAnsi="Arial"/>
                <w:sz w:val="18"/>
                <w:szCs w:val="18"/>
                <w:color w:val="auto"/>
              </w:rPr>
              <w:t>1,153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86"/>
              </w:rPr>
              <w:t>$ 9,948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17,174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right="240" w:hanging="599"/>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interest charges have been calculated using a rate of 3.50%, the 2017 Credit Facility borrowing rate. The debt bears interest at a variable rate and interest charges in future periods may be higher.</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material changes in our contractual obligations from December 31, 2016, other than the refinancing of our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June 2015, we entered into a loan and security agreement with Ares Venture Finance for a term loan of $8.0 million and a $4.0 million revolving loan for working capital purposes and to repay our existing debt to another lender. In April 2017, we repaid the outstanding balance of our revolving loan of $1.1 million. In May 2017, we used a portion of the proceeds of the term loan executed with Silicon Valley Bank to pay off the outstanding principal balance of $6.2 million on the June 2015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May 4, 2017, we entered into a Loan and Security Agreement with Silicon Valley Bank (“2017 Credit Facility”) for a $12.0 million term loan. The term loan provides for interest at a floating rate equal to the prime rate minus 0.75%. The term loan provides for a period of interest-only payments through April 30, 2018, followed by fixed principal and interest payments based on either a 24-month amortization schedule or a 36-month amortization schedule if we meet certain sales milestones, and an additional payment of 6% of the Loan Amount when the loan is prepaid or repaid, whether at maturity or as a result of a prepayment or acceleration or otherwise.</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Security for the 2017 Credit Facility includes all of our assets except for Intellectual Property. The 2017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The 2017 Credit Facility also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term loan. We were in compliance with all covenants at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and estimates as compared to the critical accounting policies and significant judgments and estimates disclosed in the Form 10-K filed with the SEC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primarily exposed to interest rate risk from variable rate borrowings under our 2017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September 30, 2017 and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w:t>
      </w:r>
    </w:p>
    <w:p>
      <w:pPr>
        <w:spacing w:after="0" w:line="24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our disclosure controls and procedures (as defined in Rules 13a-15(e) and 15d-15(e) under the Securities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Exchange Act of 1934, as amended)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connection with the audit of our financial statements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undergoing additional integration.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management implemented a plan that contains the following elements to remediate the identified weaknesses:</w:t>
      </w:r>
    </w:p>
    <w:p>
      <w:pPr>
        <w:spacing w:after="0" w:line="237" w:lineRule="exact"/>
        <w:rPr>
          <w:sz w:val="20"/>
          <w:szCs w:val="20"/>
          <w:color w:val="auto"/>
        </w:rPr>
      </w:pPr>
    </w:p>
    <w:p>
      <w:pPr>
        <w:ind w:left="580" w:right="420" w:firstLine="26"/>
        <w:spacing w:after="0" w:line="277" w:lineRule="auto"/>
        <w:rPr>
          <w:sz w:val="20"/>
          <w:szCs w:val="20"/>
          <w:color w:val="auto"/>
        </w:rPr>
      </w:pPr>
      <w:r>
        <w:rPr>
          <w:rFonts w:ascii="Arial" w:cs="Arial" w:eastAsia="Arial" w:hAnsi="Arial"/>
          <w:sz w:val="18"/>
          <w:szCs w:val="18"/>
          <w:color w:val="auto"/>
        </w:rPr>
        <w:t>We have hired additional accounting and finance staff members to augment our current staff and to improve the effectiveness of our closing and financial reporting processes;</w:t>
      </w:r>
    </w:p>
    <w:p>
      <w:pPr>
        <w:spacing w:after="0" w:line="170" w:lineRule="exact"/>
        <w:rPr>
          <w:sz w:val="20"/>
          <w:szCs w:val="20"/>
          <w:color w:val="auto"/>
        </w:rPr>
      </w:pPr>
    </w:p>
    <w:p>
      <w:pPr>
        <w:ind w:left="580" w:right="180" w:firstLine="26"/>
        <w:spacing w:after="0" w:line="277" w:lineRule="auto"/>
        <w:rPr>
          <w:sz w:val="20"/>
          <w:szCs w:val="20"/>
          <w:color w:val="auto"/>
        </w:rPr>
      </w:pPr>
      <w:r>
        <w:rPr>
          <w:rFonts w:ascii="Arial" w:cs="Arial" w:eastAsia="Arial" w:hAnsi="Arial"/>
          <w:sz w:val="18"/>
          <w:szCs w:val="18"/>
          <w:color w:val="auto"/>
        </w:rPr>
        <w:t>We have completed the transition of our financials to SAP to facilitate the integration with other company data and systems;</w:t>
      </w:r>
    </w:p>
    <w:p>
      <w:pPr>
        <w:spacing w:after="0" w:line="170" w:lineRule="exact"/>
        <w:rPr>
          <w:sz w:val="20"/>
          <w:szCs w:val="20"/>
          <w:color w:val="auto"/>
        </w:rPr>
      </w:pPr>
    </w:p>
    <w:p>
      <w:pPr>
        <w:ind w:left="580" w:right="240" w:firstLine="29"/>
        <w:spacing w:after="0" w:line="277" w:lineRule="auto"/>
        <w:rPr>
          <w:sz w:val="20"/>
          <w:szCs w:val="20"/>
          <w:color w:val="auto"/>
        </w:rPr>
      </w:pPr>
      <w:r>
        <w:rPr>
          <w:rFonts w:ascii="Arial" w:cs="Arial" w:eastAsia="Arial" w:hAnsi="Arial"/>
          <w:sz w:val="18"/>
          <w:szCs w:val="18"/>
          <w:color w:val="auto"/>
        </w:rPr>
        <w:t>In May of 2016, we added an independent board member with significant semiconductor CFO experience to chair our audit committee;</w:t>
      </w:r>
    </w:p>
    <w:p>
      <w:pPr>
        <w:spacing w:after="0" w:line="170" w:lineRule="exact"/>
        <w:rPr>
          <w:sz w:val="20"/>
          <w:szCs w:val="20"/>
          <w:color w:val="auto"/>
        </w:rPr>
      </w:pPr>
    </w:p>
    <w:p>
      <w:pPr>
        <w:ind w:left="560" w:hanging="23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hired an IT Director who has extensive industry experience;</w:t>
      </w:r>
    </w:p>
    <w:p>
      <w:pPr>
        <w:spacing w:after="0" w:line="225" w:lineRule="exact"/>
        <w:rPr>
          <w:rFonts w:ascii="Arial" w:cs="Arial" w:eastAsia="Arial" w:hAnsi="Arial"/>
          <w:sz w:val="18"/>
          <w:szCs w:val="18"/>
          <w:color w:val="auto"/>
        </w:rPr>
      </w:pPr>
    </w:p>
    <w:p>
      <w:pPr>
        <w:ind w:left="560" w:right="60" w:hanging="233"/>
        <w:spacing w:after="0" w:line="277"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engaged an external IT Security firm to complete an unbiased Information Security Assessment and execute internal security scans to identify risks and mitigation plan;</w:t>
      </w:r>
    </w:p>
    <w:p>
      <w:pPr>
        <w:spacing w:after="0" w:line="170" w:lineRule="exact"/>
        <w:rPr>
          <w:rFonts w:ascii="Arial" w:cs="Arial" w:eastAsia="Arial" w:hAnsi="Arial"/>
          <w:sz w:val="18"/>
          <w:szCs w:val="18"/>
          <w:color w:val="auto"/>
        </w:rPr>
      </w:pPr>
    </w:p>
    <w:p>
      <w:pPr>
        <w:ind w:left="560" w:hanging="23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engaged external consultants to assist us with preparation of the financial statements; and</w:t>
      </w:r>
    </w:p>
    <w:p>
      <w:pPr>
        <w:spacing w:after="0" w:line="225" w:lineRule="exact"/>
        <w:rPr>
          <w:sz w:val="20"/>
          <w:szCs w:val="20"/>
          <w:color w:val="auto"/>
        </w:rPr>
      </w:pPr>
    </w:p>
    <w:p>
      <w:pPr>
        <w:ind w:left="580" w:right="460" w:firstLine="26"/>
        <w:spacing w:after="0" w:line="277" w:lineRule="auto"/>
        <w:rPr>
          <w:sz w:val="20"/>
          <w:szCs w:val="20"/>
          <w:color w:val="auto"/>
        </w:rPr>
      </w:pPr>
      <w:r>
        <w:rPr>
          <w:rFonts w:ascii="Arial" w:cs="Arial" w:eastAsia="Arial" w:hAnsi="Arial"/>
          <w:sz w:val="18"/>
          <w:szCs w:val="18"/>
          <w:color w:val="auto"/>
        </w:rPr>
        <w:t>We are formalizing our accounting policies and internal controls, including the information technology general controls, and strengthening supervisory reviews by our management;</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expect to complete the last noted measure prior to the year end and will continue to implement measures to remedy our internal control deficiencies in order to meet the deadline imposed by Section 404 of the Sarbanes-Oxley Act of 2002.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during the quarter ended September 30,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5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9"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We have incurred net losses since our inception. We incurred net losses of $16.7 million and $16.7 million for the year ended December 31, 2016 and the nine months ended September 30, 2017, respectively. As of September 30, 2017, we had an accumulated deficit of $113.2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78" w:lineRule="exact"/>
        <w:rPr>
          <w:sz w:val="20"/>
          <w:szCs w:val="20"/>
          <w:color w:val="auto"/>
        </w:rPr>
      </w:pPr>
    </w:p>
    <w:p>
      <w:pPr>
        <w:jc w:val="both"/>
        <w:ind w:right="119"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79" w:firstLine="401"/>
        <w:spacing w:after="0" w:line="290" w:lineRule="auto"/>
        <w:rPr>
          <w:sz w:val="20"/>
          <w:szCs w:val="20"/>
          <w:color w:val="auto"/>
        </w:rPr>
      </w:pPr>
      <w:r>
        <w:rPr>
          <w:rFonts w:ascii="Arial" w:cs="Arial" w:eastAsia="Arial" w:hAnsi="Arial"/>
          <w:sz w:val="16"/>
          <w:szCs w:val="16"/>
          <w:color w:val="auto"/>
        </w:rPr>
        <w:t>We believe that our existing cash and cash equivalents as of September 30, 2017, coupled with our anticipated growth and sales levels will be sufficient to meet our anticipated cash requirements through November 30,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66" w:lineRule="exact"/>
        <w:rPr>
          <w:sz w:val="20"/>
          <w:szCs w:val="20"/>
          <w:color w:val="auto"/>
        </w:rPr>
      </w:pPr>
    </w:p>
    <w:p>
      <w:pPr>
        <w:ind w:right="19" w:firstLine="401"/>
        <w:spacing w:after="0" w:line="302"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continue to grow or support our business and to respond to business challenges could be significantly limited.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been in existence as a stand-alone company since 2008, when Freescale Semiconductor, Inc.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right="100" w:firstLine="401"/>
        <w:spacing w:after="0" w:line="288" w:lineRule="auto"/>
        <w:rPr>
          <w:sz w:val="20"/>
          <w:szCs w:val="20"/>
          <w:color w:val="auto"/>
        </w:rPr>
      </w:pPr>
      <w:r>
        <w:rPr>
          <w:rFonts w:ascii="Arial" w:cs="Arial" w:eastAsia="Arial" w:hAnsi="Arial"/>
          <w:sz w:val="16"/>
          <w:szCs w:val="16"/>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Relying on third-party manufacturing, assembly, packaging and testing presents a number of risks, including but not limited to:</w:t>
      </w:r>
    </w:p>
    <w:p>
      <w:pPr>
        <w:spacing w:after="0" w:line="184"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5"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5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339" w:firstLine="324"/>
        <w:spacing w:after="0" w:line="302"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168"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39"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99"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3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right="99" w:firstLine="324"/>
        <w:spacing w:after="0" w:line="342" w:lineRule="auto"/>
        <w:rPr>
          <w:sz w:val="20"/>
          <w:szCs w:val="20"/>
          <w:color w:val="auto"/>
        </w:rPr>
      </w:pPr>
      <w:r>
        <w:rPr>
          <w:rFonts w:ascii="Arial" w:cs="Arial" w:eastAsia="Arial" w:hAnsi="Arial"/>
          <w:sz w:val="16"/>
          <w:szCs w:val="16"/>
          <w:color w:val="auto"/>
        </w:rPr>
        <w:t>Further, GLOBALFOUNDRIES may terminate the joint development agreement with us if we materially breach a term of the agreement, such as, but not limited to, by our failing to pay any undisputed sum which has been outstanding</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45 or more days from the date of invoice, and fail to remedy the breach within 60 days after receiving notice from GLOBALFOUNDRIES. If GLOBALFOUNDRIES terminates the joint development agreement, our ability to continue to develop our MRAM technology will be significantly impaired.</w:t>
      </w:r>
    </w:p>
    <w:p>
      <w:pPr>
        <w:spacing w:after="0" w:line="18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7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new generations of our products, our revenue could decline and our business, financial condition,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and cash flows would be negatively affected. For example, we generated limited revenue from sales of our ST-MRAM 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5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24"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five largest end customers together accounted for 34% of our total revenue for the nine months ended September 30,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2017, but none of these customers accounted for more than 10% of our revenue during the period. Our four largest end customers together accounted for 32% of our total revenue for the year ended December 31, 2016,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400"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Microchip, Micron, Renesas, Samsung, and Toshiba. The main competition for sensor products includes AMR,</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Crocus, GMR and Hall Effect. These technologies directly compete with our products and are supplied by Alps, Asahi Kasei 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fabrication process or determine the cause of such defects in a timely manner. There may be a higher risk of product yield issues in newer ST-MRAM products.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4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8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0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2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6"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187"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become immediately due and payable or increase by five percent of the interest rate charged during the period of the unremedied breach.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a public company since October 2016, we are incurring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Compliance with these requirements has increased our legal and financial compliance costs and is making some activities more time consuming and costly.</w:t>
      </w:r>
    </w:p>
    <w:p>
      <w:pPr>
        <w:spacing w:after="0" w:line="1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as a result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7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If we fail to strengthen our financial reporting systems, infrastructure and internal control over financial reporting to meet the demands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If we fail to remediate a material weakness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71" w:lineRule="exact"/>
        <w:rPr>
          <w:sz w:val="20"/>
          <w:szCs w:val="20"/>
          <w:color w:val="auto"/>
        </w:rPr>
      </w:pPr>
    </w:p>
    <w:p>
      <w:pPr>
        <w:ind w:right="20" w:firstLine="324"/>
        <w:spacing w:after="0" w:line="218" w:lineRule="exact"/>
        <w:rPr>
          <w:sz w:val="20"/>
          <w:szCs w:val="20"/>
          <w:color w:val="auto"/>
        </w:rPr>
      </w:pPr>
      <w:r>
        <w:rPr>
          <w:rFonts w:ascii="Arial" w:cs="Arial" w:eastAsia="Arial" w:hAnsi="Arial"/>
          <w:sz w:val="18"/>
          <w:szCs w:val="18"/>
          <w:color w:val="auto"/>
        </w:rPr>
        <w:t>As a result of being a public company, we will be required, under Section 404 of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20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connection with the audit of our financial statements as of and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has undergone additional integration in 2017.</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faulty human judgment and simple errors, omissions or mistakes;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fraudulent action of an individual or collusion of two or more people;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inappropriate management override of procedures; and;</w:t>
      </w:r>
    </w:p>
    <w:p>
      <w:pPr>
        <w:spacing w:after="0" w:line="225" w:lineRule="exact"/>
        <w:rPr>
          <w:sz w:val="20"/>
          <w:szCs w:val="20"/>
          <w:color w:val="auto"/>
        </w:rPr>
      </w:pPr>
    </w:p>
    <w:p>
      <w:pPr>
        <w:ind w:left="580" w:right="460" w:firstLine="29"/>
        <w:spacing w:after="0" w:line="277" w:lineRule="auto"/>
        <w:rPr>
          <w:sz w:val="20"/>
          <w:szCs w:val="20"/>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70"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internal controls, we could lose investor confidence in the accuracy and completeness of our financial reports, which could cause the price of our common stock to decline.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3" w:lineRule="exact"/>
        <w:rPr>
          <w:sz w:val="20"/>
          <w:szCs w:val="20"/>
          <w:color w:val="auto"/>
        </w:rPr>
      </w:pPr>
    </w:p>
    <w:p>
      <w:pPr>
        <w:ind w:left="580" w:right="700" w:firstLine="29"/>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1"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80"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right="5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99"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3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99" w:firstLine="324"/>
        <w:spacing w:after="0" w:line="30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ind w:left="320" w:right="5779" w:hanging="317"/>
        <w:spacing w:after="0" w:line="501" w:lineRule="auto"/>
        <w:tabs>
          <w:tab w:leader="none" w:pos="251"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Recent Sales of Unregistered Securities </w:t>
      </w:r>
      <w:r>
        <w:rPr>
          <w:rFonts w:ascii="Arial" w:cs="Arial" w:eastAsia="Arial" w:hAnsi="Arial"/>
          <w:sz w:val="18"/>
          <w:szCs w:val="18"/>
          <w:color w:val="auto"/>
        </w:rPr>
        <w:t>None.</w:t>
      </w:r>
    </w:p>
    <w:p>
      <w:pPr>
        <w:ind w:left="260" w:hanging="257"/>
        <w:spacing w:after="0"/>
        <w:tabs>
          <w:tab w:leader="none" w:pos="26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Use of Proceeds</w:t>
      </w:r>
    </w:p>
    <w:p>
      <w:pPr>
        <w:spacing w:after="0" w:line="229" w:lineRule="exact"/>
        <w:rPr>
          <w:sz w:val="20"/>
          <w:szCs w:val="20"/>
          <w:color w:val="auto"/>
        </w:rPr>
      </w:pPr>
    </w:p>
    <w:p>
      <w:pPr>
        <w:ind w:right="59" w:firstLine="324"/>
        <w:spacing w:after="0" w:line="264" w:lineRule="auto"/>
        <w:rPr>
          <w:sz w:val="20"/>
          <w:szCs w:val="20"/>
          <w:color w:val="auto"/>
        </w:rPr>
      </w:pPr>
      <w:r>
        <w:rPr>
          <w:rFonts w:ascii="Arial" w:cs="Arial" w:eastAsia="Arial" w:hAnsi="Arial"/>
          <w:sz w:val="18"/>
          <w:szCs w:val="18"/>
          <w:color w:val="auto"/>
        </w:rPr>
        <w:t>Shares of our common stock began trading on the NASDAQ Global Select Market on October 7, 2016. The shares were registered under the Securities Act on registration statement on Form S-1 (Registration No. 333-213569) declared effective October 7, 2016.</w:t>
      </w:r>
    </w:p>
    <w:p>
      <w:pPr>
        <w:spacing w:after="0" w:line="181" w:lineRule="exact"/>
        <w:rPr>
          <w:sz w:val="20"/>
          <w:szCs w:val="20"/>
          <w:color w:val="auto"/>
        </w:rPr>
      </w:pPr>
    </w:p>
    <w:p>
      <w:pPr>
        <w:jc w:val="both"/>
        <w:ind w:right="239" w:firstLine="324"/>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7, 2016. As of September 30, 2017, we had used approximately $26.0 million of the proceeds from our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On August 17, 2017, we and Phillip LoPresti, our former President and Chief Executive Officer, mutually agreed that Mr. LoPresti would resign as our President and Chief Executive Officer effective August 31, 2017. In connection with his resignation, we entered into a transition and separation agreement with Mr. LoPresti on August 23, 2017 providing that Mr. LoPresti’s last date of employment would be August 31, 2017, following which Mr. LoPresti would no longer serve as President and Chief Executive Officer or as a member of our board of directors, and following such date, Mr. LoPresti would serve as a consultant until February 28, 2018, or such earlier date that his employment is terminated by either him or us. The agreement provides that: (a) Mr. LoPresti would work approximately 10 hours per week during the period from the date of the agreement until his employment terminated; (b) during this period his base salary would be $10,000 per month; and (c) Mr. LoPresti would be entitled to the severance benefits, if Mr. LoPresti</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79"/>
        <w:spacing w:after="0" w:line="272" w:lineRule="auto"/>
        <w:rPr>
          <w:sz w:val="20"/>
          <w:szCs w:val="20"/>
          <w:color w:val="auto"/>
        </w:rPr>
      </w:pPr>
      <w:r>
        <w:rPr>
          <w:rFonts w:ascii="Arial" w:cs="Arial" w:eastAsia="Arial" w:hAnsi="Arial"/>
          <w:sz w:val="17"/>
          <w:szCs w:val="17"/>
          <w:color w:val="auto"/>
        </w:rPr>
        <w:t>signed a liability release in favor of us and allowed the release to become effective: (1) cash severance of twelve months of Mr. LoPresti’s annual base salary to be paid on our regular payroll schedule, plus an amount equal to Mr. LoPresti’s 2017 annual target bonus, pro-rated for the period of employment in 2017; (2) continued health care coverage for up to twelve months consistent with what we currently provide, so long as Mr. LoPresti timely elects such continued coverage; and (3) accelerated vesting of 25,799 shares subject to outstanding stock options as though Mr. LoPresti remained an employee through August 31, 2018, and the ability to exercise all of his vested stock options for a period of twelve months following the effective date of his resignation.</w:t>
      </w:r>
    </w:p>
    <w:p>
      <w:pPr>
        <w:spacing w:after="0" w:line="178" w:lineRule="exact"/>
        <w:rPr>
          <w:sz w:val="20"/>
          <w:szCs w:val="20"/>
          <w:color w:val="auto"/>
        </w:rPr>
      </w:pPr>
    </w:p>
    <w:p>
      <w:pPr>
        <w:ind w:right="179" w:firstLine="324"/>
        <w:spacing w:after="0" w:line="259" w:lineRule="auto"/>
        <w:rPr>
          <w:sz w:val="20"/>
          <w:szCs w:val="20"/>
          <w:color w:val="auto"/>
        </w:rPr>
      </w:pPr>
      <w:r>
        <w:rPr>
          <w:rFonts w:ascii="Arial" w:cs="Arial" w:eastAsia="Arial" w:hAnsi="Arial"/>
          <w:sz w:val="18"/>
          <w:szCs w:val="18"/>
          <w:color w:val="auto"/>
        </w:rPr>
        <w:t>In October 2017, we entered into an amendment to our lease with Freescale in Chandler, Arizona to add 17,951 square feet of office space. The initial term of this amendment to the lease ends on January 31, 2022. The amendment provides us with 11 months free rent for the additional space, and total additional lease payments under the amendment will be $1.1 million over the initial lease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16"/>
          </w:tcPr>
          <w:p>
            <w:pPr>
              <w:jc w:val="cente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8"/>
          </w:tcPr>
          <w:p>
            <w:pPr>
              <w:ind w:left="5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320" w:type="dxa"/>
            <w:vAlign w:val="bottom"/>
            <w:gridSpan w:val="21"/>
          </w:tcPr>
          <w:p>
            <w:pPr>
              <w:spacing w:after="0"/>
              <w:rPr>
                <w:rFonts w:ascii="Arial" w:cs="Arial" w:eastAsia="Arial" w:hAnsi="Arial"/>
                <w:sz w:val="18"/>
                <w:szCs w:val="18"/>
                <w:color w:val="0000EE"/>
              </w:rPr>
            </w:pPr>
            <w:hyperlink r:id="rId74">
              <w:r>
                <w:rPr>
                  <w:rFonts w:ascii="Arial" w:cs="Arial" w:eastAsia="Arial" w:hAnsi="Arial"/>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183"/>
        </w:trPr>
        <w:tc>
          <w:tcPr>
            <w:tcW w:w="780" w:type="dxa"/>
            <w:vAlign w:val="bottom"/>
          </w:tcPr>
          <w:p>
            <w:pPr>
              <w:spacing w:after="0" w:line="182"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37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Bylaws.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800" w:type="dxa"/>
            <w:vAlign w:val="bottom"/>
            <w:tcBorders>
              <w:bottom w:val="single" w:sz="8" w:color="0000EE"/>
            </w:tcBorders>
            <w:gridSpan w:val="12"/>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Common Stock Certificate of the Company.</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320" w:type="dxa"/>
            <w:vAlign w:val="bottom"/>
            <w:gridSpan w:val="21"/>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320" w:type="dxa"/>
            <w:vAlign w:val="bottom"/>
            <w:gridSpan w:val="21"/>
          </w:tcPr>
          <w:p>
            <w:pPr>
              <w:spacing w:after="0"/>
              <w:rPr>
                <w:rFonts w:ascii="Arial" w:cs="Arial" w:eastAsia="Arial" w:hAnsi="Arial"/>
                <w:sz w:val="18"/>
                <w:szCs w:val="18"/>
                <w:color w:val="0000EE"/>
              </w:rPr>
            </w:pPr>
            <w:hyperlink r:id="rId77">
              <w:r>
                <w:rPr>
                  <w:rFonts w:ascii="Arial" w:cs="Arial" w:eastAsia="Arial" w:hAnsi="Arial"/>
                  <w:sz w:val="18"/>
                  <w:szCs w:val="18"/>
                  <w:color w:val="0000EE"/>
                </w:rPr>
                <w:t>Executive Employment Agreement, dated August 18,</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tcBorders>
              <w:top w:val="single" w:sz="8" w:color="0000EE"/>
            </w:tcBorders>
            <w:gridSpan w:val="16"/>
          </w:tcPr>
          <w:p>
            <w:pPr>
              <w:spacing w:after="0" w:line="170"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2017 between Everspin Technologies, Inc. and Kevin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8"/>
              </w:rPr>
            </w:pPr>
            <w:hyperlink r:id="rId77">
              <w:r>
                <w:rPr>
                  <w:rFonts w:ascii="Arial" w:cs="Arial" w:eastAsia="Arial" w:hAnsi="Arial"/>
                  <w:sz w:val="18"/>
                  <w:szCs w:val="18"/>
                  <w:color w:val="0000EE"/>
                  <w:w w:val="88"/>
                </w:rPr>
                <w:t>Conley.</w:t>
              </w:r>
            </w:hyperlink>
          </w:p>
        </w:tc>
        <w:tc>
          <w:tcPr>
            <w:tcW w:w="328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32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Separation and Consulting Agreement, dated August</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top w:val="single" w:sz="8" w:color="0000EE"/>
            </w:tcBorders>
            <w:gridSpan w:val="12"/>
          </w:tcPr>
          <w:p>
            <w:pPr>
              <w:spacing w:after="0" w:line="170"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23, 2017 between Everspin Technologies, Inc.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Phillip LoPresti</w:t>
              </w:r>
            </w:hyperlink>
          </w:p>
        </w:tc>
        <w:tc>
          <w:tcPr>
            <w:tcW w:w="2500" w:type="dxa"/>
            <w:vAlign w:val="bottom"/>
            <w:tcBorders>
              <w:top w:val="single" w:sz="8" w:color="0000EE"/>
            </w:tcBorders>
            <w:gridSpan w:val="7"/>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gridSpan w:val="21"/>
          </w:tcPr>
          <w:p>
            <w:pPr>
              <w:spacing w:after="0" w:line="170" w:lineRule="exact"/>
              <w:rPr>
                <w:rFonts w:ascii="Arial" w:cs="Arial" w:eastAsia="Arial" w:hAnsi="Arial"/>
                <w:sz w:val="18"/>
                <w:szCs w:val="18"/>
                <w:color w:val="0000EE"/>
              </w:rPr>
            </w:pPr>
            <w:hyperlink w:anchor="page72">
              <w:r>
                <w:rPr>
                  <w:rFonts w:ascii="Arial" w:cs="Arial" w:eastAsia="Arial" w:hAnsi="Arial"/>
                  <w:sz w:val="18"/>
                  <w:szCs w:val="18"/>
                  <w:color w:val="0000EE"/>
                </w:rPr>
                <w:t>Form of Restricted Stock Unit Award Agreement</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w:anchor="page72">
              <w:r>
                <w:rPr>
                  <w:rFonts w:ascii="Arial" w:cs="Arial" w:eastAsia="Arial" w:hAnsi="Arial"/>
                  <w:sz w:val="18"/>
                  <w:szCs w:val="18"/>
                  <w:color w:val="0000EE"/>
                </w:rPr>
                <w:t>under the 2016 Equity Incentive Plan</w:t>
              </w:r>
            </w:hyperlink>
          </w:p>
        </w:tc>
        <w:tc>
          <w:tcPr>
            <w:tcW w:w="12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432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 of Principal Executive Officer Pursuant</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tcBorders>
              <w:top w:val="single" w:sz="8" w:color="0000EE"/>
              <w:bottom w:val="single" w:sz="8" w:color="0000EE"/>
            </w:tcBorders>
            <w:gridSpan w:val="13"/>
          </w:tcPr>
          <w:p>
            <w:pPr>
              <w:spacing w:after="0" w:line="170"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to Rules 13a-14(a) and 15d-14(a) under the Securities</w:t>
              </w:r>
            </w:hyperlink>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bottom w:val="single" w:sz="8" w:color="0000EE"/>
            </w:tcBorders>
            <w:gridSpan w:val="17"/>
          </w:tcPr>
          <w:p>
            <w:pPr>
              <w:spacing w:after="0" w:line="170"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Exchange Act of 1934, as Adopted Pursuant to Section</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4"/>
                <w:szCs w:val="14"/>
                <w:color w:val="auto"/>
              </w:rPr>
            </w:pPr>
          </w:p>
        </w:tc>
        <w:tc>
          <w:tcPr>
            <w:tcW w:w="2880" w:type="dxa"/>
            <w:vAlign w:val="bottom"/>
            <w:tcBorders>
              <w:bottom w:val="single" w:sz="8" w:color="0000EE"/>
            </w:tcBorders>
            <w:gridSpan w:val="5"/>
          </w:tcPr>
          <w:p>
            <w:pPr>
              <w:spacing w:after="0" w:line="170"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302 of the Sarbanes-Oxley Act of 2002.</w:t>
              </w:r>
            </w:hyperlink>
          </w:p>
        </w:tc>
        <w:tc>
          <w:tcPr>
            <w:tcW w:w="1080" w:type="dxa"/>
            <w:vAlign w:val="bottom"/>
            <w:gridSpan w:val="14"/>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20" w:type="dxa"/>
            <w:vAlign w:val="bottom"/>
            <w:gridSpan w:val="21"/>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Certification of Principal Financial Officer Pursuant to</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tcBorders>
              <w:top w:val="single" w:sz="8" w:color="0000EE"/>
            </w:tcBorders>
            <w:gridSpan w:val="18"/>
          </w:tcPr>
          <w:p>
            <w:pPr>
              <w:spacing w:after="0" w:line="170"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Rules 13a-14(a) and 15d-14(a) under the Securities</w:t>
              </w:r>
            </w:hyperlink>
          </w:p>
        </w:tc>
        <w:tc>
          <w:tcPr>
            <w:tcW w:w="3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gridSpan w:val="21"/>
          </w:tcPr>
          <w:p>
            <w:pPr>
              <w:spacing w:after="0" w:line="170"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Exchange Act of 1934, as Adopted Pursuant to Section</w:t>
              </w:r>
            </w:hyperlink>
          </w:p>
        </w:tc>
        <w:tc>
          <w:tcPr>
            <w:tcW w:w="0" w:type="dxa"/>
            <w:vAlign w:val="bottom"/>
          </w:tcPr>
          <w:p>
            <w:pPr>
              <w:spacing w:after="0"/>
              <w:rPr>
                <w:sz w:val="1"/>
                <w:szCs w:val="1"/>
                <w:color w:val="auto"/>
              </w:rPr>
            </w:pPr>
          </w:p>
        </w:tc>
      </w:tr>
      <w:tr>
        <w:trPr>
          <w:trHeight w:val="169"/>
        </w:trPr>
        <w:tc>
          <w:tcPr>
            <w:tcW w:w="7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302 of the Sarbanes-Oxley Act of 2002.</w:t>
              </w:r>
            </w:hyperlink>
          </w:p>
        </w:tc>
        <w:tc>
          <w:tcPr>
            <w:tcW w:w="1080" w:type="dxa"/>
            <w:vAlign w:val="bottom"/>
            <w:tcBorders>
              <w:top w:val="single" w:sz="8" w:color="0000EE"/>
            </w:tcBorders>
            <w:gridSpan w:val="14"/>
          </w:tcPr>
          <w:p>
            <w:pPr>
              <w:spacing w:after="0"/>
              <w:rPr>
                <w:sz w:val="14"/>
                <w:szCs w:val="14"/>
                <w:color w:val="auto"/>
              </w:rPr>
            </w:pPr>
          </w:p>
        </w:tc>
        <w:tc>
          <w:tcPr>
            <w:tcW w:w="3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320" w:type="dxa"/>
            <w:vAlign w:val="bottom"/>
            <w:gridSpan w:val="21"/>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Certification of Principal Executive Officer and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Principal Financial Officer Pursuant to 18 U.S.C.</w:t>
              </w:r>
            </w:hyperlink>
          </w:p>
        </w:tc>
        <w:tc>
          <w:tcPr>
            <w:tcW w:w="100" w:type="dxa"/>
            <w:vAlign w:val="bottom"/>
            <w:tcBorders>
              <w:bottom w:val="single" w:sz="8" w:color="0000EE"/>
            </w:tcBorders>
          </w:tcPr>
          <w:p>
            <w:pPr>
              <w:spacing w:after="0"/>
              <w:rPr>
                <w:sz w:val="14"/>
                <w:szCs w:val="14"/>
                <w:color w:val="auto"/>
              </w:rPr>
            </w:pPr>
          </w:p>
        </w:tc>
        <w:tc>
          <w:tcPr>
            <w:tcW w:w="300" w:type="dxa"/>
            <w:vAlign w:val="bottom"/>
            <w:gridSpan w:val="7"/>
          </w:tcPr>
          <w:p>
            <w:pPr>
              <w:spacing w:after="0"/>
              <w:rPr>
                <w:sz w:val="14"/>
                <w:szCs w:val="14"/>
                <w:color w:val="auto"/>
              </w:rPr>
            </w:pPr>
          </w:p>
        </w:tc>
        <w:tc>
          <w:tcPr>
            <w:tcW w:w="4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gridSpan w:val="21"/>
          </w:tcPr>
          <w:p>
            <w:pPr>
              <w:spacing w:after="0" w:line="170" w:lineRule="exact"/>
              <w:rPr>
                <w:rFonts w:ascii="Arial" w:cs="Arial" w:eastAsia="Arial" w:hAnsi="Arial"/>
                <w:sz w:val="18"/>
                <w:szCs w:val="18"/>
                <w:color w:val="0000EE"/>
              </w:rPr>
            </w:pPr>
            <w:hyperlink w:anchor="page85">
              <w:r>
                <w:rPr>
                  <w:rFonts w:ascii="Arial" w:cs="Arial" w:eastAsia="Arial" w:hAnsi="Arial"/>
                  <w:sz w:val="18"/>
                  <w:szCs w:val="18"/>
                  <w:color w:val="0000EE"/>
                </w:rPr>
                <w:t>Section 1350, as Adopted Pursuant to Section 906 of</w:t>
              </w:r>
            </w:hyperlink>
          </w:p>
        </w:tc>
        <w:tc>
          <w:tcPr>
            <w:tcW w:w="0" w:type="dxa"/>
            <w:vAlign w:val="bottom"/>
          </w:tcPr>
          <w:p>
            <w:pPr>
              <w:spacing w:after="0"/>
              <w:rPr>
                <w:sz w:val="1"/>
                <w:szCs w:val="1"/>
                <w:color w:val="auto"/>
              </w:rPr>
            </w:pPr>
          </w:p>
        </w:tc>
      </w:tr>
      <w:tr>
        <w:trPr>
          <w:trHeight w:val="169"/>
        </w:trPr>
        <w:tc>
          <w:tcPr>
            <w:tcW w:w="7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4"/>
                <w:szCs w:val="14"/>
                <w:color w:val="auto"/>
              </w:rPr>
            </w:pPr>
          </w:p>
        </w:tc>
        <w:tc>
          <w:tcPr>
            <w:tcW w:w="3840" w:type="dxa"/>
            <w:vAlign w:val="bottom"/>
            <w:tcBorders>
              <w:top w:val="single" w:sz="8" w:color="0000EE"/>
            </w:tcBorders>
            <w:gridSpan w:val="14"/>
          </w:tcPr>
          <w:p>
            <w:pPr>
              <w:spacing w:after="0" w:line="170" w:lineRule="exact"/>
              <w:rPr>
                <w:rFonts w:ascii="Arial" w:cs="Arial" w:eastAsia="Arial" w:hAnsi="Arial"/>
                <w:sz w:val="18"/>
                <w:szCs w:val="18"/>
                <w:color w:val="0000EE"/>
              </w:rPr>
            </w:pPr>
            <w:hyperlink w:anchor="page85">
              <w:r>
                <w:rPr>
                  <w:rFonts w:ascii="Arial" w:cs="Arial" w:eastAsia="Arial" w:hAnsi="Arial"/>
                  <w:sz w:val="18"/>
                  <w:szCs w:val="18"/>
                  <w:color w:val="0000EE"/>
                </w:rPr>
                <w:t>the Sarbanes-Oxley Act of 2002.</w:t>
              </w:r>
            </w:hyperlink>
          </w:p>
        </w:tc>
        <w:tc>
          <w:tcPr>
            <w:tcW w:w="4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tcBorders>
              <w:top w:val="single" w:sz="8" w:color="0000EE"/>
            </w:tcBorders>
            <w:gridSpan w:val="3"/>
          </w:tcPr>
          <w:p>
            <w:pPr>
              <w:spacing w:after="0" w:line="195" w:lineRule="exact"/>
              <w:rPr>
                <w:sz w:val="20"/>
                <w:szCs w:val="20"/>
                <w:color w:val="auto"/>
              </w:rPr>
            </w:pPr>
            <w:r>
              <w:rPr>
                <w:rFonts w:ascii="Arial" w:cs="Arial" w:eastAsia="Arial" w:hAnsi="Arial"/>
                <w:sz w:val="18"/>
                <w:szCs w:val="18"/>
                <w:color w:val="auto"/>
              </w:rPr>
              <w:t>XBRL Instance Document</w:t>
            </w:r>
          </w:p>
        </w:tc>
        <w:tc>
          <w:tcPr>
            <w:tcW w:w="19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4"/>
              </w:rPr>
              <w:t>101.SCH*</w:t>
            </w:r>
          </w:p>
        </w:tc>
        <w:tc>
          <w:tcPr>
            <w:tcW w:w="140" w:type="dxa"/>
            <w:vAlign w:val="bottom"/>
          </w:tcPr>
          <w:p>
            <w:pPr>
              <w:spacing w:after="0"/>
              <w:rPr>
                <w:sz w:val="17"/>
                <w:szCs w:val="17"/>
                <w:color w:val="auto"/>
              </w:rPr>
            </w:pPr>
          </w:p>
        </w:tc>
        <w:tc>
          <w:tcPr>
            <w:tcW w:w="4320" w:type="dxa"/>
            <w:vAlign w:val="bottom"/>
            <w:gridSpan w:val="21"/>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8"/>
              </w:rPr>
              <w:t>101.CAL*</w:t>
            </w:r>
          </w:p>
        </w:tc>
        <w:tc>
          <w:tcPr>
            <w:tcW w:w="140" w:type="dxa"/>
            <w:vAlign w:val="bottom"/>
          </w:tcPr>
          <w:p>
            <w:pPr>
              <w:spacing w:after="0"/>
              <w:rPr>
                <w:sz w:val="16"/>
                <w:szCs w:val="16"/>
                <w:color w:val="auto"/>
              </w:rPr>
            </w:pPr>
          </w:p>
        </w:tc>
        <w:tc>
          <w:tcPr>
            <w:tcW w:w="4320" w:type="dxa"/>
            <w:vAlign w:val="bottom"/>
            <w:gridSpan w:val="21"/>
          </w:tcPr>
          <w:p>
            <w:pPr>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1"/>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4"/>
              </w:rPr>
              <w:t>101.DEF*</w:t>
            </w:r>
          </w:p>
        </w:tc>
        <w:tc>
          <w:tcPr>
            <w:tcW w:w="140" w:type="dxa"/>
            <w:vAlign w:val="bottom"/>
          </w:tcPr>
          <w:p>
            <w:pPr>
              <w:spacing w:after="0"/>
              <w:rPr>
                <w:sz w:val="16"/>
                <w:szCs w:val="16"/>
                <w:color w:val="auto"/>
              </w:rPr>
            </w:pPr>
          </w:p>
        </w:tc>
        <w:tc>
          <w:tcPr>
            <w:tcW w:w="4320" w:type="dxa"/>
            <w:vAlign w:val="bottom"/>
            <w:gridSpan w:val="21"/>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1"/>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9"/>
              </w:rPr>
              <w:t>101.LAB*</w:t>
            </w:r>
          </w:p>
        </w:tc>
        <w:tc>
          <w:tcPr>
            <w:tcW w:w="140" w:type="dxa"/>
            <w:vAlign w:val="bottom"/>
          </w:tcPr>
          <w:p>
            <w:pPr>
              <w:spacing w:after="0"/>
              <w:rPr>
                <w:sz w:val="16"/>
                <w:szCs w:val="16"/>
                <w:color w:val="auto"/>
              </w:rPr>
            </w:pPr>
          </w:p>
        </w:tc>
        <w:tc>
          <w:tcPr>
            <w:tcW w:w="4320" w:type="dxa"/>
            <w:vAlign w:val="bottom"/>
            <w:gridSpan w:val="21"/>
          </w:tcPr>
          <w:p>
            <w:pPr>
              <w:spacing w:after="0" w:line="189" w:lineRule="exact"/>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37"/>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40" w:type="dxa"/>
            <w:vAlign w:val="bottom"/>
          </w:tcPr>
          <w:p>
            <w:pPr>
              <w:spacing w:after="0"/>
              <w:rPr>
                <w:sz w:val="24"/>
                <w:szCs w:val="24"/>
                <w:color w:val="auto"/>
              </w:rPr>
            </w:pPr>
          </w:p>
        </w:tc>
        <w:tc>
          <w:tcPr>
            <w:tcW w:w="43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635"/>
        </w:trPr>
        <w:tc>
          <w:tcPr>
            <w:tcW w:w="780" w:type="dxa"/>
            <w:vAlign w:val="bottom"/>
          </w:tcPr>
          <w:p>
            <w:pPr>
              <w:spacing w:after="0"/>
              <w:rPr>
                <w:sz w:val="24"/>
                <w:szCs w:val="24"/>
                <w:color w:val="auto"/>
              </w:rPr>
            </w:pPr>
          </w:p>
        </w:tc>
        <w:tc>
          <w:tcPr>
            <w:tcW w:w="3880" w:type="dxa"/>
            <w:vAlign w:val="bottom"/>
            <w:gridSpan w:val="1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360" w:type="dxa"/>
            <w:vAlign w:val="bottom"/>
            <w:gridSpan w:val="6"/>
          </w:tcPr>
          <w:p>
            <w:pPr>
              <w:ind w:left="240"/>
              <w:spacing w:after="0"/>
              <w:rPr>
                <w:sz w:val="20"/>
                <w:szCs w:val="20"/>
                <w:color w:val="auto"/>
              </w:rPr>
            </w:pPr>
            <w:r>
              <w:rPr>
                <w:rFonts w:ascii="Arial" w:cs="Arial" w:eastAsia="Arial" w:hAnsi="Arial"/>
                <w:sz w:val="14"/>
                <w:szCs w:val="14"/>
                <w:b w:val="1"/>
                <w:bCs w:val="1"/>
                <w:color w:val="auto"/>
              </w:rPr>
              <w:t>Incorporation By Reference</w:t>
            </w:r>
          </w:p>
        </w:tc>
        <w:tc>
          <w:tcPr>
            <w:tcW w:w="980" w:type="dxa"/>
            <w:vAlign w:val="bottom"/>
          </w:tcPr>
          <w:p>
            <w:pPr>
              <w:spacing w:after="0"/>
              <w:rPr>
                <w:sz w:val="16"/>
                <w:szCs w:val="16"/>
                <w:color w:val="auto"/>
              </w:rPr>
            </w:pPr>
          </w:p>
        </w:tc>
      </w:tr>
      <w:tr>
        <w:trPr>
          <w:trHeight w:val="133"/>
        </w:trPr>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5"/>
        </w:trPr>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SEC File No.</w:t>
            </w:r>
          </w:p>
        </w:tc>
        <w:tc>
          <w:tcPr>
            <w:tcW w:w="1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4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r>
      <w:tr>
        <w:trPr>
          <w:trHeight w:val="317"/>
        </w:trPr>
        <w:tc>
          <w:tcPr>
            <w:tcW w:w="1540" w:type="dxa"/>
            <w:vAlign w:val="bottom"/>
            <w:gridSpan w:val="4"/>
          </w:tcPr>
          <w:p>
            <w:pPr>
              <w:ind w:left="80"/>
              <w:spacing w:after="0"/>
              <w:rPr>
                <w:sz w:val="20"/>
                <w:szCs w:val="20"/>
                <w:color w:val="auto"/>
              </w:rPr>
            </w:pPr>
            <w:r>
              <w:rPr>
                <w:rFonts w:ascii="Arial" w:cs="Arial" w:eastAsia="Arial" w:hAnsi="Arial"/>
                <w:sz w:val="18"/>
                <w:szCs w:val="18"/>
                <w:color w:val="auto"/>
              </w:rPr>
              <w:t>8-K   001-37900</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10/13/2016</w:t>
            </w:r>
          </w:p>
        </w:tc>
      </w:tr>
      <w:tr>
        <w:trPr>
          <w:trHeight w:val="189"/>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4"/>
              </w:rPr>
              <w:t>333-</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5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3.6</w:t>
            </w:r>
          </w:p>
        </w:tc>
        <w:tc>
          <w:tcPr>
            <w:tcW w:w="14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2"/>
              </w:rPr>
              <w:t>9/09/2016</w:t>
            </w:r>
          </w:p>
        </w:tc>
      </w:tr>
      <w:tr>
        <w:trPr>
          <w:trHeight w:val="189"/>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4"/>
              </w:rPr>
              <w:t>333-</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9/09/2016</w:t>
            </w:r>
          </w:p>
        </w:tc>
      </w:tr>
      <w:tr>
        <w:trPr>
          <w:trHeight w:val="945"/>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8/23/2017</w:t>
            </w:r>
          </w:p>
        </w:tc>
      </w:tr>
    </w:tbl>
    <w:p>
      <w:pPr>
        <w:sectPr>
          <w:pgSz w:w="11900" w:h="16838" w:orient="portrait"/>
          <w:cols w:equalWidth="0" w:num="2">
            <w:col w:w="5240" w:space="480"/>
            <w:col w:w="334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701040</wp:posOffset>
            </wp:positionV>
            <wp:extent cx="14408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5520" w:type="dxa"/>
            <w:vAlign w:val="bottom"/>
            <w:gridSpan w:val="2"/>
          </w:tcPr>
          <w:p>
            <w:pPr>
              <w:ind w:left="1680"/>
              <w:spacing w:after="0"/>
              <w:rPr>
                <w:sz w:val="20"/>
                <w:szCs w:val="20"/>
                <w:color w:val="auto"/>
              </w:rPr>
            </w:pPr>
            <w:r>
              <w:rPr>
                <w:rFonts w:ascii="Arial" w:cs="Arial" w:eastAsia="Arial" w:hAnsi="Arial"/>
                <w:sz w:val="18"/>
                <w:szCs w:val="18"/>
                <w:color w:val="auto"/>
              </w:rPr>
              <w:t>Everspin Technologies,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November 13, 2017</w:t>
            </w:r>
          </w:p>
        </w:tc>
        <w:tc>
          <w:tcPr>
            <w:tcW w:w="5520" w:type="dxa"/>
            <w:vAlign w:val="bottom"/>
            <w:gridSpan w:val="2"/>
          </w:tcPr>
          <w:p>
            <w:pPr>
              <w:ind w:left="1680"/>
              <w:spacing w:after="0"/>
              <w:rPr>
                <w:sz w:val="20"/>
                <w:szCs w:val="20"/>
                <w:color w:val="auto"/>
              </w:rPr>
            </w:pPr>
            <w:r>
              <w:rPr>
                <w:rFonts w:ascii="Arial" w:cs="Arial" w:eastAsia="Arial" w:hAnsi="Arial"/>
                <w:sz w:val="18"/>
                <w:szCs w:val="18"/>
                <w:color w:val="auto"/>
              </w:rPr>
              <w:t>By: /s/ Kevin Conley</w:t>
            </w:r>
          </w:p>
        </w:tc>
      </w:tr>
      <w:tr>
        <w:trPr>
          <w:trHeight w:val="195"/>
        </w:trPr>
        <w:tc>
          <w:tcPr>
            <w:tcW w:w="3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3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3540" w:type="dxa"/>
            <w:vAlign w:val="bottom"/>
          </w:tcPr>
          <w:p>
            <w:pPr>
              <w:spacing w:after="0"/>
              <w:rPr>
                <w:sz w:val="24"/>
                <w:szCs w:val="24"/>
                <w:color w:val="auto"/>
              </w:rPr>
            </w:pPr>
          </w:p>
        </w:tc>
        <w:tc>
          <w:tcPr>
            <w:tcW w:w="5520" w:type="dxa"/>
            <w:vAlign w:val="bottom"/>
            <w:gridSpan w:val="2"/>
          </w:tcPr>
          <w:p>
            <w:pPr>
              <w:ind w:left="1680"/>
              <w:spacing w:after="0"/>
              <w:rPr>
                <w:sz w:val="20"/>
                <w:szCs w:val="20"/>
                <w:color w:val="auto"/>
              </w:rPr>
            </w:pPr>
            <w:r>
              <w:rPr>
                <w:rFonts w:ascii="Arial" w:cs="Arial" w:eastAsia="Arial" w:hAnsi="Arial"/>
                <w:sz w:val="18"/>
                <w:szCs w:val="18"/>
                <w:color w:val="auto"/>
              </w:rPr>
              <w:t>Everspin Technologies,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November 13, 2017</w:t>
            </w:r>
          </w:p>
        </w:tc>
        <w:tc>
          <w:tcPr>
            <w:tcW w:w="5520" w:type="dxa"/>
            <w:vAlign w:val="bottom"/>
            <w:gridSpan w:val="2"/>
          </w:tcPr>
          <w:p>
            <w:pPr>
              <w:ind w:left="1680"/>
              <w:spacing w:after="0"/>
              <w:rPr>
                <w:sz w:val="20"/>
                <w:szCs w:val="20"/>
                <w:color w:val="auto"/>
              </w:rPr>
            </w:pPr>
            <w:r>
              <w:rPr>
                <w:rFonts w:ascii="Arial" w:cs="Arial" w:eastAsia="Arial" w:hAnsi="Arial"/>
                <w:sz w:val="18"/>
                <w:szCs w:val="18"/>
                <w:color w:val="auto"/>
              </w:rPr>
              <w:t>By: /s/ Jeffrey Winzeler</w:t>
            </w:r>
          </w:p>
        </w:tc>
      </w:tr>
      <w:tr>
        <w:trPr>
          <w:trHeight w:val="195"/>
        </w:trPr>
        <w:tc>
          <w:tcPr>
            <w:tcW w:w="3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3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August 23, 2017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Phillip LoPresti</w:t>
      </w:r>
    </w:p>
    <w:p>
      <w:pPr>
        <w:spacing w:after="0" w:line="205" w:lineRule="auto"/>
        <w:rPr>
          <w:sz w:val="20"/>
          <w:szCs w:val="20"/>
          <w:color w:val="auto"/>
        </w:rPr>
      </w:pPr>
      <w:r>
        <w:rPr>
          <w:rFonts w:ascii="Arial" w:cs="Arial" w:eastAsia="Arial" w:hAnsi="Arial"/>
          <w:sz w:val="22"/>
          <w:szCs w:val="22"/>
          <w:color w:val="auto"/>
        </w:rPr>
        <w:t>Everspin Technologies</w:t>
      </w:r>
    </w:p>
    <w:p>
      <w:pPr>
        <w:spacing w:after="0" w:line="205" w:lineRule="auto"/>
        <w:rPr>
          <w:sz w:val="20"/>
          <w:szCs w:val="20"/>
          <w:color w:val="auto"/>
        </w:rPr>
      </w:pPr>
      <w:r>
        <w:rPr>
          <w:rFonts w:ascii="Arial" w:cs="Arial" w:eastAsia="Arial" w:hAnsi="Arial"/>
          <w:sz w:val="22"/>
          <w:szCs w:val="22"/>
          <w:color w:val="auto"/>
        </w:rPr>
        <w:t>1347 North Alma School Road # 220</w:t>
      </w:r>
    </w:p>
    <w:p>
      <w:pPr>
        <w:spacing w:after="0"/>
        <w:rPr>
          <w:sz w:val="20"/>
          <w:szCs w:val="20"/>
          <w:color w:val="auto"/>
        </w:rPr>
      </w:pPr>
      <w:r>
        <w:rPr>
          <w:rFonts w:ascii="Arial" w:cs="Arial" w:eastAsia="Arial" w:hAnsi="Arial"/>
          <w:sz w:val="22"/>
          <w:szCs w:val="22"/>
          <w:color w:val="auto"/>
        </w:rPr>
        <w:t>Chandler, AZ 85224</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Dear Phill:</w:t>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letter sets forth the substance of the separation and consulting agreement (the “</w:t>
      </w:r>
      <w:r>
        <w:rPr>
          <w:rFonts w:ascii="Arial" w:cs="Arial" w:eastAsia="Arial" w:hAnsi="Arial"/>
          <w:sz w:val="22"/>
          <w:szCs w:val="22"/>
          <w:b w:val="1"/>
          <w:bCs w:val="1"/>
          <w:color w:val="auto"/>
        </w:rPr>
        <w:t>Agreement</w:t>
      </w:r>
      <w:r>
        <w:rPr>
          <w:rFonts w:ascii="Arial" w:cs="Arial" w:eastAsia="Arial" w:hAnsi="Arial"/>
          <w:sz w:val="22"/>
          <w:szCs w:val="22"/>
          <w:color w:val="auto"/>
        </w:rPr>
        <w:t>”) that Everspin Technologies, Inc. (the “</w:t>
      </w:r>
      <w:r>
        <w:rPr>
          <w:rFonts w:ascii="Arial" w:cs="Arial" w:eastAsia="Arial" w:hAnsi="Arial"/>
          <w:sz w:val="22"/>
          <w:szCs w:val="22"/>
          <w:b w:val="1"/>
          <w:bCs w:val="1"/>
          <w:color w:val="auto"/>
        </w:rPr>
        <w:t>Company</w:t>
      </w:r>
      <w:r>
        <w:rPr>
          <w:rFonts w:ascii="Arial" w:cs="Arial" w:eastAsia="Arial" w:hAnsi="Arial"/>
          <w:sz w:val="22"/>
          <w:szCs w:val="22"/>
          <w:color w:val="auto"/>
        </w:rPr>
        <w:t>”) is offering to you.</w:t>
      </w:r>
    </w:p>
    <w:p>
      <w:pPr>
        <w:spacing w:after="0" w:line="153" w:lineRule="exact"/>
        <w:rPr>
          <w:sz w:val="20"/>
          <w:szCs w:val="20"/>
          <w:color w:val="auto"/>
        </w:rPr>
      </w:pPr>
    </w:p>
    <w:p>
      <w:pPr>
        <w:ind w:firstLine="651"/>
        <w:spacing w:after="0" w:line="235" w:lineRule="auto"/>
        <w:tabs>
          <w:tab w:leader="none" w:pos="1378"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w:t>
      </w:r>
      <w:r>
        <w:rPr>
          <w:rFonts w:ascii="Arial" w:cs="Arial" w:eastAsia="Arial" w:hAnsi="Arial"/>
          <w:sz w:val="22"/>
          <w:szCs w:val="22"/>
          <w:color w:val="auto"/>
        </w:rPr>
        <w:t>. Your last day of work with the Company and your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date will be August 31, 2017 (the “</w:t>
      </w:r>
      <w:r>
        <w:rPr>
          <w:rFonts w:ascii="Arial" w:cs="Arial" w:eastAsia="Arial" w:hAnsi="Arial"/>
          <w:sz w:val="22"/>
          <w:szCs w:val="22"/>
          <w:b w:val="1"/>
          <w:bCs w:val="1"/>
          <w:color w:val="auto"/>
        </w:rPr>
        <w:t>Separation Date</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jc w:val="both"/>
        <w:ind w:firstLine="651"/>
        <w:spacing w:after="0" w:line="225" w:lineRule="auto"/>
        <w:tabs>
          <w:tab w:leader="none" w:pos="1323"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ACCRUED SALARY. </w:t>
      </w:r>
      <w:r>
        <w:rPr>
          <w:rFonts w:ascii="Arial" w:cs="Arial" w:eastAsia="Arial" w:hAnsi="Arial"/>
          <w:sz w:val="22"/>
          <w:szCs w:val="22"/>
          <w:color w:val="auto"/>
        </w:rPr>
        <w:t>On the Separation Date, the Company will pay you all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salary earned through the Separation Date, subject to standard payroll deductions and withholdings. You are entitled to this payment by law.</w:t>
      </w:r>
    </w:p>
    <w:p>
      <w:pPr>
        <w:spacing w:after="0" w:line="152" w:lineRule="exact"/>
        <w:rPr>
          <w:rFonts w:ascii="Arial" w:cs="Arial" w:eastAsia="Arial" w:hAnsi="Arial"/>
          <w:sz w:val="22"/>
          <w:szCs w:val="22"/>
          <w:b w:val="1"/>
          <w:bCs w:val="1"/>
          <w:color w:val="auto"/>
        </w:rPr>
      </w:pPr>
    </w:p>
    <w:p>
      <w:pPr>
        <w:jc w:val="both"/>
        <w:ind w:firstLine="651"/>
        <w:spacing w:after="0" w:line="225" w:lineRule="auto"/>
        <w:tabs>
          <w:tab w:leader="none" w:pos="133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If you sign this Agreement, allow it to become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and remain in compliance with your legal and contractual obligations to the Company, then the Company will provide you with the following severance benefits:</w:t>
      </w:r>
    </w:p>
    <w:p>
      <w:pPr>
        <w:spacing w:after="0" w:line="152" w:lineRule="exact"/>
        <w:rPr>
          <w:rFonts w:ascii="Arial" w:cs="Arial" w:eastAsia="Arial" w:hAnsi="Arial"/>
          <w:sz w:val="22"/>
          <w:szCs w:val="22"/>
          <w:b w:val="1"/>
          <w:bCs w:val="1"/>
          <w:color w:val="auto"/>
        </w:rPr>
      </w:pPr>
    </w:p>
    <w:p>
      <w:pPr>
        <w:jc w:val="both"/>
        <w:ind w:firstLine="1299"/>
        <w:spacing w:after="0" w:line="217" w:lineRule="auto"/>
        <w:tabs>
          <w:tab w:leader="none" w:pos="1999"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Cash Severance. </w:t>
      </w:r>
      <w:r>
        <w:rPr>
          <w:rFonts w:ascii="Arial" w:cs="Arial" w:eastAsia="Arial" w:hAnsi="Arial"/>
          <w:sz w:val="22"/>
          <w:szCs w:val="22"/>
          <w:color w:val="auto"/>
        </w:rPr>
        <w:t>The Company will pay you, as severance, the equivalent of</w:t>
      </w:r>
      <w:r>
        <w:rPr>
          <w:rFonts w:ascii="Arial" w:cs="Arial" w:eastAsia="Arial" w:hAnsi="Arial"/>
          <w:sz w:val="22"/>
          <w:szCs w:val="22"/>
          <w:b w:val="1"/>
          <w:bCs w:val="1"/>
          <w:color w:val="auto"/>
        </w:rPr>
        <w:t xml:space="preserve"> </w:t>
      </w:r>
      <w:r>
        <w:rPr>
          <w:rFonts w:ascii="Arial" w:cs="Arial" w:eastAsia="Arial" w:hAnsi="Arial"/>
          <w:sz w:val="22"/>
          <w:szCs w:val="22"/>
          <w:color w:val="auto"/>
        </w:rPr>
        <w:t>twelve (12) months of your base salary in effect as of the Separation Date, subject to standard payroll deductions and withholdings. This amount will be paid in equal installments on the Company’s normal payroll cycle beginning on the first regular payday no earlier than one week after the Effective Date, as defined in paragraph 13 below.</w:t>
      </w:r>
    </w:p>
    <w:p>
      <w:pPr>
        <w:spacing w:after="0" w:line="152" w:lineRule="exact"/>
        <w:rPr>
          <w:rFonts w:ascii="Arial" w:cs="Arial" w:eastAsia="Arial" w:hAnsi="Arial"/>
          <w:sz w:val="22"/>
          <w:szCs w:val="22"/>
          <w:b w:val="1"/>
          <w:bCs w:val="1"/>
          <w:color w:val="auto"/>
        </w:rPr>
      </w:pPr>
    </w:p>
    <w:p>
      <w:pPr>
        <w:jc w:val="both"/>
        <w:ind w:firstLine="1299"/>
        <w:spacing w:after="0" w:line="225" w:lineRule="auto"/>
        <w:tabs>
          <w:tab w:leader="none" w:pos="1997"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Pro-Rata Bonus. </w:t>
      </w:r>
      <w:r>
        <w:rPr>
          <w:rFonts w:ascii="Arial" w:cs="Arial" w:eastAsia="Arial" w:hAnsi="Arial"/>
          <w:sz w:val="22"/>
          <w:szCs w:val="22"/>
          <w:color w:val="auto"/>
        </w:rPr>
        <w:t>You will receive a prorated bonus for 2017 (the “</w:t>
      </w:r>
      <w:r>
        <w:rPr>
          <w:rFonts w:ascii="Arial" w:cs="Arial" w:eastAsia="Arial" w:hAnsi="Arial"/>
          <w:sz w:val="22"/>
          <w:szCs w:val="22"/>
          <w:b w:val="1"/>
          <w:bCs w:val="1"/>
          <w:color w:val="auto"/>
        </w:rPr>
        <w:t>Pro-Rata Bonus</w:t>
      </w:r>
      <w:r>
        <w:rPr>
          <w:rFonts w:ascii="Arial" w:cs="Arial" w:eastAsia="Arial" w:hAnsi="Arial"/>
          <w:sz w:val="22"/>
          <w:szCs w:val="22"/>
          <w:color w:val="auto"/>
        </w:rPr>
        <w:t>”), to be paid at the same time as when bonuses are paid to the remaining executive team, but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March 15, 2018.</w:t>
      </w:r>
    </w:p>
    <w:p>
      <w:pPr>
        <w:spacing w:after="0" w:line="152" w:lineRule="exact"/>
        <w:rPr>
          <w:rFonts w:ascii="Arial" w:cs="Arial" w:eastAsia="Arial" w:hAnsi="Arial"/>
          <w:sz w:val="22"/>
          <w:szCs w:val="22"/>
          <w:b w:val="1"/>
          <w:bCs w:val="1"/>
          <w:color w:val="auto"/>
        </w:rPr>
      </w:pPr>
    </w:p>
    <w:p>
      <w:pPr>
        <w:jc w:val="both"/>
        <w:ind w:firstLine="1299"/>
        <w:spacing w:after="0" w:line="230" w:lineRule="auto"/>
        <w:tabs>
          <w:tab w:leader="none" w:pos="1960" w:val="left"/>
        </w:tabs>
        <w:numPr>
          <w:ilvl w:val="1"/>
          <w:numId w:val="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Accelerated Vesting. </w:t>
      </w:r>
      <w:r>
        <w:rPr>
          <w:rFonts w:ascii="Arial" w:cs="Arial" w:eastAsia="Arial" w:hAnsi="Arial"/>
          <w:sz w:val="21"/>
          <w:szCs w:val="21"/>
          <w:color w:val="auto"/>
        </w:rPr>
        <w:t>During your employment, you were granted certain equity</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interests (the “</w:t>
      </w:r>
      <w:r>
        <w:rPr>
          <w:rFonts w:ascii="Arial" w:cs="Arial" w:eastAsia="Arial" w:hAnsi="Arial"/>
          <w:sz w:val="21"/>
          <w:szCs w:val="21"/>
          <w:b w:val="1"/>
          <w:bCs w:val="1"/>
          <w:color w:val="auto"/>
        </w:rPr>
        <w:t>Awards</w:t>
      </w:r>
      <w:r>
        <w:rPr>
          <w:rFonts w:ascii="Arial" w:cs="Arial" w:eastAsia="Arial" w:hAnsi="Arial"/>
          <w:sz w:val="21"/>
          <w:szCs w:val="21"/>
          <w:color w:val="auto"/>
        </w:rPr>
        <w:t>”). The Company will accelerate the vesting of the Awards such that, as of the Separation Date, you will be deemed vested in those Awards that would have vested in the twelve (12) months following the Separation Date had you remained employed.</w:t>
      </w:r>
    </w:p>
    <w:p>
      <w:pPr>
        <w:spacing w:after="0" w:line="154" w:lineRule="exact"/>
        <w:rPr>
          <w:rFonts w:ascii="Arial" w:cs="Arial" w:eastAsia="Arial" w:hAnsi="Arial"/>
          <w:sz w:val="21"/>
          <w:szCs w:val="21"/>
          <w:b w:val="1"/>
          <w:bCs w:val="1"/>
          <w:color w:val="auto"/>
        </w:rPr>
      </w:pPr>
    </w:p>
    <w:p>
      <w:pPr>
        <w:jc w:val="both"/>
        <w:ind w:firstLine="1299"/>
        <w:spacing w:after="0" w:line="225" w:lineRule="auto"/>
        <w:tabs>
          <w:tab w:leader="none" w:pos="1984" w:val="left"/>
        </w:tabs>
        <w:numPr>
          <w:ilvl w:val="1"/>
          <w:numId w:val="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Extension of Post-Termination Exercise Period. </w:t>
      </w:r>
      <w:r>
        <w:rPr>
          <w:rFonts w:ascii="Arial" w:cs="Arial" w:eastAsia="Arial" w:hAnsi="Arial"/>
          <w:sz w:val="21"/>
          <w:szCs w:val="21"/>
          <w:color w:val="auto"/>
        </w:rPr>
        <w:t>The Company will amend the</w:t>
      </w:r>
      <w:r>
        <w:rPr>
          <w:rFonts w:ascii="Arial" w:cs="Arial" w:eastAsia="Arial" w:hAnsi="Arial"/>
          <w:sz w:val="21"/>
          <w:szCs w:val="21"/>
          <w:b w:val="1"/>
          <w:bCs w:val="1"/>
          <w:color w:val="auto"/>
        </w:rPr>
        <w:t xml:space="preserve"> </w:t>
      </w:r>
      <w:r>
        <w:rPr>
          <w:rFonts w:ascii="Arial" w:cs="Arial" w:eastAsia="Arial" w:hAnsi="Arial"/>
          <w:sz w:val="21"/>
          <w:szCs w:val="21"/>
          <w:color w:val="auto"/>
        </w:rPr>
        <w:t>Awards such that the Awards will remain exercisable through August 31, 2018 (but in no event beyond the term of the applicable Award). This amendment may affect the tax treatment of the Awards, and thus you are encouraged to seek independent tax advice. Except as expressly set forth in Sections 3.c and 3.d of this Agreement, the Awards shall continue to be governed in all respects by the terms of the applicable equity plans and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57" w:name="page58"/>
    <w:bookmarkEnd w:id="57"/>
    <w:p>
      <w:pPr>
        <w:jc w:val="both"/>
        <w:ind w:firstLine="651"/>
        <w:spacing w:after="0" w:line="239" w:lineRule="auto"/>
        <w:tabs>
          <w:tab w:leader="none" w:pos="1337"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HEALTH INSURANCE. </w:t>
      </w:r>
      <w:r>
        <w:rPr>
          <w:rFonts w:ascii="Arial" w:cs="Arial" w:eastAsia="Arial" w:hAnsi="Arial"/>
          <w:sz w:val="19"/>
          <w:szCs w:val="19"/>
          <w:color w:val="auto"/>
        </w:rPr>
        <w:t>To the extent provided by the federal COBRA law or, if</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As an additional benefit under this Agreement, provided that you timely elect continued coverage under COBRA, then the Company shall reimburse you for the COBRA premiums to continue your health insurance coverage (including coverage for eligible dependents, if applicable) through the period starting on the Separation Date and ending on the earliest to occur of: (a) twelve (12) months following the Separation Date; (b) the date you become eligible for group health insurance coverage through a new employer; or (c) the date you cease to be eligible for COBRA coverage for any reason. You must timely pay your premiums, and then provide the Company with</w:t>
      </w:r>
    </w:p>
    <w:p>
      <w:pPr>
        <w:spacing w:after="0"/>
        <w:tabs>
          <w:tab w:leader="none" w:pos="640" w:val="left"/>
          <w:tab w:leader="none" w:pos="1000" w:val="left"/>
          <w:tab w:leader="none" w:pos="1680" w:val="left"/>
          <w:tab w:leader="none" w:pos="2040" w:val="left"/>
          <w:tab w:leader="none" w:pos="2760" w:val="left"/>
          <w:tab w:leader="none" w:pos="4240" w:val="left"/>
          <w:tab w:leader="none" w:pos="4660" w:val="left"/>
          <w:tab w:leader="none" w:pos="5240" w:val="left"/>
          <w:tab w:leader="none" w:pos="6180" w:val="left"/>
          <w:tab w:leader="none" w:pos="7220" w:val="left"/>
          <w:tab w:leader="none" w:pos="7900" w:val="left"/>
          <w:tab w:leader="none" w:pos="8400" w:val="left"/>
        </w:tabs>
        <w:rPr>
          <w:sz w:val="20"/>
          <w:szCs w:val="20"/>
          <w:color w:val="auto"/>
        </w:rPr>
      </w:pPr>
      <w:r>
        <w:rPr>
          <w:rFonts w:ascii="Arial" w:cs="Arial" w:eastAsia="Arial" w:hAnsi="Arial"/>
          <w:sz w:val="22"/>
          <w:szCs w:val="22"/>
          <w:color w:val="auto"/>
        </w:rPr>
        <w:t>proof</w:t>
        <w:tab/>
        <w:t>of</w:t>
        <w:tab/>
        <w:t>same,</w:t>
        <w:tab/>
        <w:t>to</w:t>
        <w:tab/>
        <w:t>obtain</w:t>
        <w:tab/>
        <w:t>reimbursement</w:t>
        <w:tab/>
        <w:t>for</w:t>
        <w:tab/>
        <w:t>your</w:t>
        <w:tab/>
        <w:t>COBRA</w:t>
        <w:tab/>
        <w:t>premiums</w:t>
        <w:tab/>
        <w:t>under</w:t>
        <w:tab/>
        <w:t>this</w:t>
      </w:r>
      <w:r>
        <w:rPr>
          <w:sz w:val="20"/>
          <w:szCs w:val="20"/>
          <w:color w:val="auto"/>
        </w:rPr>
        <w:tab/>
      </w:r>
      <w:r>
        <w:rPr>
          <w:rFonts w:ascii="Arial" w:cs="Arial" w:eastAsia="Arial" w:hAnsi="Arial"/>
          <w:sz w:val="19"/>
          <w:szCs w:val="19"/>
          <w:color w:val="auto"/>
        </w:rPr>
        <w:t>Section</w:t>
      </w:r>
    </w:p>
    <w:p>
      <w:pPr>
        <w:jc w:val="both"/>
        <w:ind w:firstLine="3"/>
        <w:spacing w:after="0" w:line="212" w:lineRule="auto"/>
        <w:tabs>
          <w:tab w:leader="none" w:pos="299"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Notwithstanding the foregoing, if the Company determines, in its sole discretion, that it cannot pay the COBRA premiums without a substantial risk of violating applicable law, then the Company instead shall pay you a fully taxable cash payment equal to the remaining COBRA premiums due under this Section 4, subject to applicable tax withholdings, which you may, but are not obligated to, use toward the cost of COBRA premiums.</w:t>
      </w:r>
    </w:p>
    <w:p>
      <w:pPr>
        <w:spacing w:after="0" w:line="155" w:lineRule="exact"/>
        <w:rPr>
          <w:rFonts w:ascii="Arial" w:cs="Arial" w:eastAsia="Arial" w:hAnsi="Arial"/>
          <w:sz w:val="22"/>
          <w:szCs w:val="22"/>
          <w:color w:val="auto"/>
        </w:rPr>
      </w:pPr>
    </w:p>
    <w:p>
      <w:pPr>
        <w:ind w:firstLine="651"/>
        <w:spacing w:after="0" w:line="305" w:lineRule="auto"/>
        <w:tabs>
          <w:tab w:leader="none" w:pos="1351" w:val="left"/>
        </w:tabs>
        <w:numPr>
          <w:ilvl w:val="1"/>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AGREEMENT. </w:t>
      </w:r>
      <w:r>
        <w:rPr>
          <w:rFonts w:ascii="Arial" w:cs="Arial" w:eastAsia="Arial" w:hAnsi="Arial"/>
          <w:sz w:val="19"/>
          <w:szCs w:val="19"/>
          <w:color w:val="auto"/>
        </w:rPr>
        <w:t>If you timely sign this Agreement and allow it to</w:t>
      </w:r>
      <w:r>
        <w:rPr>
          <w:rFonts w:ascii="Arial" w:cs="Arial" w:eastAsia="Arial" w:hAnsi="Arial"/>
          <w:sz w:val="19"/>
          <w:szCs w:val="19"/>
          <w:b w:val="1"/>
          <w:bCs w:val="1"/>
          <w:color w:val="auto"/>
        </w:rPr>
        <w:t xml:space="preserve"> </w:t>
      </w:r>
      <w:r>
        <w:rPr>
          <w:rFonts w:ascii="Arial" w:cs="Arial" w:eastAsia="Arial" w:hAnsi="Arial"/>
          <w:sz w:val="19"/>
          <w:szCs w:val="19"/>
          <w:color w:val="auto"/>
        </w:rPr>
        <w:t>become effective, then the Company will engage you as a consultant under the terms set forth below.</w:t>
      </w:r>
    </w:p>
    <w:p>
      <w:pPr>
        <w:spacing w:after="0" w:line="92" w:lineRule="exact"/>
        <w:rPr>
          <w:rFonts w:ascii="Arial" w:cs="Arial" w:eastAsia="Arial" w:hAnsi="Arial"/>
          <w:sz w:val="19"/>
          <w:szCs w:val="19"/>
          <w:b w:val="1"/>
          <w:bCs w:val="1"/>
          <w:color w:val="auto"/>
        </w:rPr>
      </w:pPr>
    </w:p>
    <w:p>
      <w:pPr>
        <w:jc w:val="both"/>
        <w:ind w:firstLine="1299"/>
        <w:spacing w:after="0" w:line="225" w:lineRule="auto"/>
        <w:tabs>
          <w:tab w:leader="none" w:pos="1972" w:val="left"/>
        </w:tabs>
        <w:numPr>
          <w:ilvl w:val="2"/>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Period. </w:t>
      </w:r>
      <w:r>
        <w:rPr>
          <w:rFonts w:ascii="Arial" w:cs="Arial" w:eastAsia="Arial" w:hAnsi="Arial"/>
          <w:sz w:val="22"/>
          <w:szCs w:val="22"/>
          <w:color w:val="auto"/>
        </w:rPr>
        <w:t>You will serve as a consultant to the Company beginning on</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1, 2017, and ending on February 28, 2018 (the “</w:t>
      </w:r>
      <w:r>
        <w:rPr>
          <w:rFonts w:ascii="Arial" w:cs="Arial" w:eastAsia="Arial" w:hAnsi="Arial"/>
          <w:sz w:val="22"/>
          <w:szCs w:val="22"/>
          <w:b w:val="1"/>
          <w:bCs w:val="1"/>
          <w:color w:val="auto"/>
        </w:rPr>
        <w:t>Consulting Period</w:t>
      </w:r>
      <w:r>
        <w:rPr>
          <w:rFonts w:ascii="Arial" w:cs="Arial" w:eastAsia="Arial" w:hAnsi="Arial"/>
          <w:sz w:val="22"/>
          <w:szCs w:val="22"/>
          <w:color w:val="auto"/>
        </w:rPr>
        <w:t>”), unless terminated earlier pursuant to Section 5(j).</w:t>
      </w:r>
    </w:p>
    <w:p>
      <w:pPr>
        <w:spacing w:after="0" w:line="152" w:lineRule="exact"/>
        <w:rPr>
          <w:rFonts w:ascii="Arial" w:cs="Arial" w:eastAsia="Arial" w:hAnsi="Arial"/>
          <w:sz w:val="22"/>
          <w:szCs w:val="22"/>
          <w:b w:val="1"/>
          <w:bCs w:val="1"/>
          <w:color w:val="auto"/>
        </w:rPr>
      </w:pPr>
    </w:p>
    <w:p>
      <w:pPr>
        <w:jc w:val="both"/>
        <w:ind w:firstLine="1299"/>
        <w:spacing w:after="0" w:line="250" w:lineRule="auto"/>
        <w:tabs>
          <w:tab w:leader="none" w:pos="1997" w:val="left"/>
        </w:tabs>
        <w:numPr>
          <w:ilvl w:val="2"/>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Services. </w:t>
      </w:r>
      <w:r>
        <w:rPr>
          <w:rFonts w:ascii="Arial" w:cs="Arial" w:eastAsia="Arial" w:hAnsi="Arial"/>
          <w:sz w:val="19"/>
          <w:szCs w:val="19"/>
          <w:color w:val="auto"/>
        </w:rPr>
        <w:t>As a consultant, you will be responsible for assisting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any area of your expertise, as reasonably requested by the Board of Directors and the Chief Executive Officer (the “</w:t>
      </w:r>
      <w:r>
        <w:rPr>
          <w:rFonts w:ascii="Arial" w:cs="Arial" w:eastAsia="Arial" w:hAnsi="Arial"/>
          <w:sz w:val="19"/>
          <w:szCs w:val="19"/>
          <w:b w:val="1"/>
          <w:bCs w:val="1"/>
          <w:color w:val="auto"/>
        </w:rPr>
        <w:t>Consulting Services</w:t>
      </w:r>
      <w:r>
        <w:rPr>
          <w:rFonts w:ascii="Arial" w:cs="Arial" w:eastAsia="Arial" w:hAnsi="Arial"/>
          <w:sz w:val="19"/>
          <w:szCs w:val="19"/>
          <w:color w:val="auto"/>
        </w:rPr>
        <w:t>”). It is anticipated that you will provide eight hours of Consulting Services per week. You will conduct the Consulting Services offsite, unless otherwise requested by the Company. You will exercise the highest degree of professionalism and utilize your expertise and creative talents in performing the Consulting Services.</w:t>
      </w:r>
    </w:p>
    <w:p>
      <w:pPr>
        <w:spacing w:after="0" w:line="147" w:lineRule="exact"/>
        <w:rPr>
          <w:rFonts w:ascii="Arial" w:cs="Arial" w:eastAsia="Arial" w:hAnsi="Arial"/>
          <w:sz w:val="19"/>
          <w:szCs w:val="19"/>
          <w:b w:val="1"/>
          <w:bCs w:val="1"/>
          <w:color w:val="auto"/>
        </w:rPr>
      </w:pPr>
    </w:p>
    <w:p>
      <w:pPr>
        <w:jc w:val="both"/>
        <w:ind w:firstLine="1299"/>
        <w:spacing w:after="0" w:line="250" w:lineRule="auto"/>
        <w:tabs>
          <w:tab w:leader="none" w:pos="1987" w:val="left"/>
        </w:tabs>
        <w:numPr>
          <w:ilvl w:val="2"/>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Fee. </w:t>
      </w:r>
      <w:r>
        <w:rPr>
          <w:rFonts w:ascii="Arial" w:cs="Arial" w:eastAsia="Arial" w:hAnsi="Arial"/>
          <w:sz w:val="19"/>
          <w:szCs w:val="19"/>
          <w:color w:val="auto"/>
        </w:rPr>
        <w:t>Provided that you (i) perform the Consulting Services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satisfaction (as determined by the Board of Directors in its sole discretion), and (ii) comply with your continuing legal and contractual obligations to the Company (including, without limitation, the obligations set forth herein), then the Company will pay you consulting fees equal to $10,000 per month. You will also be reimbursed for any reasonable business expenses incurred during the Consulting Period, provided that you must obtain pre-approval in writing of any expense over $1,000.</w:t>
      </w:r>
    </w:p>
    <w:p>
      <w:pPr>
        <w:spacing w:after="0" w:line="147" w:lineRule="exact"/>
        <w:rPr>
          <w:rFonts w:ascii="Arial" w:cs="Arial" w:eastAsia="Arial" w:hAnsi="Arial"/>
          <w:sz w:val="19"/>
          <w:szCs w:val="19"/>
          <w:b w:val="1"/>
          <w:bCs w:val="1"/>
          <w:color w:val="auto"/>
        </w:rPr>
      </w:pPr>
    </w:p>
    <w:p>
      <w:pPr>
        <w:jc w:val="both"/>
        <w:ind w:firstLine="1299"/>
        <w:spacing w:after="0" w:line="225" w:lineRule="auto"/>
        <w:tabs>
          <w:tab w:leader="none" w:pos="2024" w:val="left"/>
        </w:tabs>
        <w:numPr>
          <w:ilvl w:val="2"/>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w:t>
      </w:r>
      <w:r>
        <w:rPr>
          <w:rFonts w:ascii="Arial" w:cs="Arial" w:eastAsia="Arial" w:hAnsi="Arial"/>
          <w:sz w:val="22"/>
          <w:szCs w:val="22"/>
          <w:color w:val="auto"/>
        </w:rPr>
        <w:t>You and the Company agree that during the Consulting Period,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cease vesting, however you will remain in continuous service for purposes of exercisability.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58" w:name="page59"/>
    <w:bookmarkEnd w:id="58"/>
    <w:p>
      <w:pPr>
        <w:jc w:val="both"/>
        <w:ind w:left="-3" w:firstLine="1299"/>
        <w:spacing w:after="0" w:line="251" w:lineRule="auto"/>
        <w:tabs>
          <w:tab w:leader="none" w:pos="1970"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Treatment. </w:t>
      </w:r>
      <w:r>
        <w:rPr>
          <w:rFonts w:ascii="Arial" w:cs="Arial" w:eastAsia="Arial" w:hAnsi="Arial"/>
          <w:sz w:val="19"/>
          <w:szCs w:val="19"/>
          <w:color w:val="auto"/>
        </w:rPr>
        <w:t>The Company will not make any withholdings or deductions,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issue you a form 1099, with respect to any consulting fees paid to you. You will be responsible for all taxes with respect to the consulting fees, and you agree to indemnify, hold harmless and defend the Company from any and all claims, liabilities, damages, taxes, fines or penalties sought or recovered by any governmental entity, including but not limited to the Internal Revenue Service or any state taxing authority, arising out of or in connection with the consulting fees.</w:t>
      </w:r>
    </w:p>
    <w:p>
      <w:pPr>
        <w:spacing w:after="0" w:line="142" w:lineRule="exact"/>
        <w:rPr>
          <w:rFonts w:ascii="Arial" w:cs="Arial" w:eastAsia="Arial" w:hAnsi="Arial"/>
          <w:sz w:val="19"/>
          <w:szCs w:val="19"/>
          <w:b w:val="1"/>
          <w:bCs w:val="1"/>
          <w:color w:val="auto"/>
        </w:rPr>
      </w:pPr>
    </w:p>
    <w:p>
      <w:pPr>
        <w:ind w:left="1997" w:hanging="701"/>
        <w:spacing w:after="0"/>
        <w:tabs>
          <w:tab w:leader="none" w:pos="1997"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Independent Contractor Status. </w:t>
      </w:r>
      <w:r>
        <w:rPr>
          <w:rFonts w:ascii="Arial" w:cs="Arial" w:eastAsia="Arial" w:hAnsi="Arial"/>
          <w:sz w:val="19"/>
          <w:szCs w:val="19"/>
          <w:color w:val="auto"/>
        </w:rPr>
        <w:t>You agree that during the Consulting Period,</w:t>
      </w:r>
    </w:p>
    <w:p>
      <w:pPr>
        <w:spacing w:after="0" w:line="21" w:lineRule="exact"/>
        <w:rPr>
          <w:rFonts w:ascii="Arial" w:cs="Arial" w:eastAsia="Arial" w:hAnsi="Arial"/>
          <w:sz w:val="19"/>
          <w:szCs w:val="19"/>
          <w:b w:val="1"/>
          <w:bCs w:val="1"/>
          <w:color w:val="auto"/>
        </w:rPr>
      </w:pPr>
    </w:p>
    <w:p>
      <w:pPr>
        <w:jc w:val="both"/>
        <w:ind w:left="-3" w:firstLine="3"/>
        <w:spacing w:after="0" w:line="214" w:lineRule="auto"/>
        <w:tabs>
          <w:tab w:leader="none" w:pos="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you will be an independent contractor to the Company and not an employee of the Company, and (ii) the Company will not make payments for state or federal income tax, FICA (social security and Medicare), make unemployment insurance or disability insurance contributions, or obtain workers’ compensation insurance on your behalf.</w:t>
      </w:r>
    </w:p>
    <w:p>
      <w:pPr>
        <w:spacing w:after="0" w:line="154" w:lineRule="exact"/>
        <w:rPr>
          <w:rFonts w:ascii="Arial" w:cs="Arial" w:eastAsia="Arial" w:hAnsi="Arial"/>
          <w:sz w:val="22"/>
          <w:szCs w:val="22"/>
          <w:color w:val="auto"/>
        </w:rPr>
      </w:pPr>
    </w:p>
    <w:p>
      <w:pPr>
        <w:jc w:val="both"/>
        <w:ind w:left="-3" w:firstLine="1299"/>
        <w:spacing w:after="0" w:line="223" w:lineRule="auto"/>
        <w:tabs>
          <w:tab w:leader="none" w:pos="1996" w:val="left"/>
        </w:tabs>
        <w:numPr>
          <w:ilvl w:val="1"/>
          <w:numId w:val="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Protection of Information. </w:t>
      </w:r>
      <w:r>
        <w:rPr>
          <w:rFonts w:ascii="Arial" w:cs="Arial" w:eastAsia="Arial" w:hAnsi="Arial"/>
          <w:sz w:val="21"/>
          <w:szCs w:val="21"/>
          <w:color w:val="auto"/>
        </w:rPr>
        <w:t>You agree that during the Consulting Period and</w:t>
      </w:r>
      <w:r>
        <w:rPr>
          <w:rFonts w:ascii="Arial" w:cs="Arial" w:eastAsia="Arial" w:hAnsi="Arial"/>
          <w:sz w:val="21"/>
          <w:szCs w:val="21"/>
          <w:b w:val="1"/>
          <w:bCs w:val="1"/>
          <w:color w:val="auto"/>
        </w:rPr>
        <w:t xml:space="preserve"> </w:t>
      </w:r>
      <w:r>
        <w:rPr>
          <w:rFonts w:ascii="Arial" w:cs="Arial" w:eastAsia="Arial" w:hAnsi="Arial"/>
          <w:sz w:val="21"/>
          <w:szCs w:val="21"/>
          <w:color w:val="auto"/>
        </w:rPr>
        <w:t>thereafter, you will not use or disclose any confidential or proprietary information or materials of the Company that you obtain or develop in the course of performing consulting services for the Company. Any and all work product you create in the course of performing consulting services for the Company will be the sole and exclusive property of the Company. You hereby assign to the Company all right, title, and interest in all inventions, techniques, processes, materials, and other intellectual property developed in the course of performing consulting services for the Company.</w:t>
      </w:r>
    </w:p>
    <w:p>
      <w:pPr>
        <w:spacing w:after="0" w:line="158" w:lineRule="exact"/>
        <w:rPr>
          <w:rFonts w:ascii="Arial" w:cs="Arial" w:eastAsia="Arial" w:hAnsi="Arial"/>
          <w:sz w:val="21"/>
          <w:szCs w:val="21"/>
          <w:b w:val="1"/>
          <w:bCs w:val="1"/>
          <w:color w:val="auto"/>
        </w:rPr>
      </w:pPr>
    </w:p>
    <w:p>
      <w:pPr>
        <w:jc w:val="both"/>
        <w:ind w:left="-3" w:firstLine="1299"/>
        <w:spacing w:after="0" w:line="220" w:lineRule="auto"/>
        <w:tabs>
          <w:tab w:leader="none" w:pos="1994"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Authority. </w:t>
      </w:r>
      <w:r>
        <w:rPr>
          <w:rFonts w:ascii="Arial" w:cs="Arial" w:eastAsia="Arial" w:hAnsi="Arial"/>
          <w:sz w:val="22"/>
          <w:szCs w:val="22"/>
          <w:color w:val="auto"/>
        </w:rPr>
        <w:t>You will have no responsibilities or authority as a</w:t>
      </w:r>
      <w:r>
        <w:rPr>
          <w:rFonts w:ascii="Arial" w:cs="Arial" w:eastAsia="Arial" w:hAnsi="Arial"/>
          <w:sz w:val="22"/>
          <w:szCs w:val="22"/>
          <w:b w:val="1"/>
          <w:bCs w:val="1"/>
          <w:color w:val="auto"/>
        </w:rPr>
        <w:t xml:space="preserve"> </w:t>
      </w:r>
      <w:r>
        <w:rPr>
          <w:rFonts w:ascii="Arial" w:cs="Arial" w:eastAsia="Arial" w:hAnsi="Arial"/>
          <w:sz w:val="22"/>
          <w:szCs w:val="22"/>
          <w:color w:val="auto"/>
        </w:rPr>
        <w:t>consultant to the Company other than as provided above. You agree not to represent or purport to represent the Company in any manner whatsoever to any third party except with my prior written consent.</w:t>
      </w:r>
    </w:p>
    <w:p>
      <w:pPr>
        <w:spacing w:after="0" w:line="152" w:lineRule="exact"/>
        <w:rPr>
          <w:rFonts w:ascii="Arial" w:cs="Arial" w:eastAsia="Arial" w:hAnsi="Arial"/>
          <w:sz w:val="22"/>
          <w:szCs w:val="22"/>
          <w:b w:val="1"/>
          <w:bCs w:val="1"/>
          <w:color w:val="auto"/>
        </w:rPr>
      </w:pPr>
    </w:p>
    <w:p>
      <w:pPr>
        <w:jc w:val="both"/>
        <w:ind w:left="-3" w:firstLine="1299"/>
        <w:spacing w:after="0" w:line="244" w:lineRule="auto"/>
        <w:tabs>
          <w:tab w:leader="none" w:pos="2015"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Standards of Conduct; Noncompetition. </w:t>
      </w:r>
      <w:r>
        <w:rPr>
          <w:rFonts w:ascii="Arial" w:cs="Arial" w:eastAsia="Arial" w:hAnsi="Arial"/>
          <w:sz w:val="19"/>
          <w:szCs w:val="19"/>
          <w:color w:val="auto"/>
        </w:rPr>
        <w:t>You agree not to engage in any</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during the Consulting Period that is detrimental to the interests of the Company. You further agree during the Consulting Period that you will not, directly or indirectly, as an officer, director, employee, consultant, owner, manager, member, partner, or in any other capacity solicit, perform, or provide, or attempt to perform or provide Conflicting Services in the United States, nor will you assist another person to solicit, perform or provide or attempt to perform or provide Conflicting Services in the United States. You and the Company agree that for purposes of this Agreement, “Conflicting Services” means any product, service, or process or the research and development thereof, of any person or organization other than the Company that is substantially similar to or competitive with a product, service, or process, including the research and development thereof, of the Company.</w:t>
      </w:r>
    </w:p>
    <w:p>
      <w:pPr>
        <w:spacing w:after="0" w:line="155" w:lineRule="exact"/>
        <w:rPr>
          <w:rFonts w:ascii="Arial" w:cs="Arial" w:eastAsia="Arial" w:hAnsi="Arial"/>
          <w:sz w:val="19"/>
          <w:szCs w:val="19"/>
          <w:b w:val="1"/>
          <w:bCs w:val="1"/>
          <w:color w:val="auto"/>
        </w:rPr>
      </w:pPr>
    </w:p>
    <w:p>
      <w:pPr>
        <w:jc w:val="both"/>
        <w:ind w:left="-3" w:firstLine="1299"/>
        <w:spacing w:after="0" w:line="254" w:lineRule="auto"/>
        <w:tabs>
          <w:tab w:leader="none" w:pos="2000"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Consulting Period. </w:t>
      </w:r>
      <w:r>
        <w:rPr>
          <w:rFonts w:ascii="Arial" w:cs="Arial" w:eastAsia="Arial" w:hAnsi="Arial"/>
          <w:sz w:val="19"/>
          <w:szCs w:val="19"/>
          <w:color w:val="auto"/>
        </w:rPr>
        <w:t>You may terminate the Consulting Period,</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and for any reason, upon ten (10) days written notice to the Company. The Company may only terminate the Consulting Period upon your material breach of any of the obligations in this Agreement. Upon termination of the Consulting Period by either party, the Company will have no further obligations to you, including any obligation to pay you further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57"/>
          </w:cols>
          <w:pgMar w:left="1423" w:top="98" w:right="1419" w:bottom="1440" w:gutter="0" w:footer="0" w:header="0"/>
        </w:sectPr>
      </w:pPr>
    </w:p>
    <w:bookmarkStart w:id="59" w:name="page60"/>
    <w:bookmarkEnd w:id="59"/>
    <w:p>
      <w:pPr>
        <w:jc w:val="both"/>
        <w:ind w:left="-20" w:firstLine="651"/>
        <w:spacing w:after="0" w:line="222" w:lineRule="auto"/>
        <w:tabs>
          <w:tab w:leader="none" w:pos="1358"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COMPENSATION OR BENEFITS. </w:t>
      </w:r>
      <w:r>
        <w:rPr>
          <w:rFonts w:ascii="Arial" w:cs="Arial" w:eastAsia="Arial" w:hAnsi="Arial"/>
          <w:sz w:val="21"/>
          <w:szCs w:val="21"/>
          <w:color w:val="auto"/>
        </w:rPr>
        <w:t>You acknowledge that,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provided in this Agreement, you will not receive any additional compensation, severance, or benefits after the Separation Date. You further expressly acknowledge and agree that the severance benefits being provided to you under this Agreement are more generous than the severance benefits you are eligible to receive under the terms of your Executive Employment Agreement with the Company dated April 25, 2016 (the “</w:t>
      </w:r>
      <w:r>
        <w:rPr>
          <w:rFonts w:ascii="Arial" w:cs="Arial" w:eastAsia="Arial" w:hAnsi="Arial"/>
          <w:sz w:val="21"/>
          <w:szCs w:val="21"/>
          <w:b w:val="1"/>
          <w:bCs w:val="1"/>
          <w:color w:val="auto"/>
        </w:rPr>
        <w:t>Employment Agreement</w:t>
      </w:r>
      <w:r>
        <w:rPr>
          <w:rFonts w:ascii="Arial" w:cs="Arial" w:eastAsia="Arial" w:hAnsi="Arial"/>
          <w:sz w:val="21"/>
          <w:szCs w:val="21"/>
          <w:color w:val="auto"/>
        </w:rPr>
        <w:t>”), and are being provided in lieu of such benefits. As such, you acknowledge and agree that you are not entitled to, and will not receive, any severance benefits under the Employment Agreement.</w:t>
      </w:r>
    </w:p>
    <w:p>
      <w:pPr>
        <w:spacing w:after="0" w:line="158" w:lineRule="exact"/>
        <w:rPr>
          <w:rFonts w:ascii="Arial" w:cs="Arial" w:eastAsia="Arial" w:hAnsi="Arial"/>
          <w:sz w:val="21"/>
          <w:szCs w:val="21"/>
          <w:b w:val="1"/>
          <w:bCs w:val="1"/>
          <w:color w:val="auto"/>
        </w:rPr>
      </w:pPr>
    </w:p>
    <w:p>
      <w:pPr>
        <w:jc w:val="both"/>
        <w:ind w:left="-20" w:firstLine="651"/>
        <w:spacing w:after="0" w:line="217" w:lineRule="auto"/>
        <w:tabs>
          <w:tab w:leader="none" w:pos="134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ten (10) days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52" w:lineRule="exact"/>
        <w:rPr>
          <w:rFonts w:ascii="Arial" w:cs="Arial" w:eastAsia="Arial" w:hAnsi="Arial"/>
          <w:sz w:val="22"/>
          <w:szCs w:val="22"/>
          <w:b w:val="1"/>
          <w:bCs w:val="1"/>
          <w:color w:val="auto"/>
        </w:rPr>
      </w:pPr>
    </w:p>
    <w:p>
      <w:pPr>
        <w:jc w:val="both"/>
        <w:ind w:left="-20" w:firstLine="651"/>
        <w:spacing w:after="0" w:line="244" w:lineRule="auto"/>
        <w:tabs>
          <w:tab w:leader="none" w:pos="1303"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RETURN OF COMPANY PROPERTY</w:t>
      </w:r>
      <w:r>
        <w:rPr>
          <w:rFonts w:ascii="Arial" w:cs="Arial" w:eastAsia="Arial" w:hAnsi="Arial"/>
          <w:sz w:val="19"/>
          <w:szCs w:val="19"/>
          <w:color w:val="auto"/>
        </w:rPr>
        <w:t>. By the Separation Date, you agree to return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 Company all Company documents (and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you are permitted to retain any Company property that is necessary for the performance of your services under the Consulting Agreement (including your Company laptop, which you may retain during the Consulting Period, but will be required to return to the Company upon the termination of the Consulting Period).</w:t>
      </w:r>
    </w:p>
    <w:p>
      <w:pPr>
        <w:spacing w:after="0" w:line="155" w:lineRule="exact"/>
        <w:rPr>
          <w:rFonts w:ascii="Arial" w:cs="Arial" w:eastAsia="Arial" w:hAnsi="Arial"/>
          <w:sz w:val="19"/>
          <w:szCs w:val="19"/>
          <w:b w:val="1"/>
          <w:bCs w:val="1"/>
          <w:color w:val="auto"/>
        </w:rPr>
      </w:pPr>
    </w:p>
    <w:p>
      <w:pPr>
        <w:jc w:val="both"/>
        <w:ind w:left="-20" w:firstLine="651"/>
        <w:spacing w:after="0" w:line="225" w:lineRule="auto"/>
        <w:tabs>
          <w:tab w:leader="none" w:pos="1412"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PROPRIETARY INFORMATION OBLIGATIONS</w:t>
      </w:r>
      <w:r>
        <w:rPr>
          <w:rFonts w:ascii="Arial" w:cs="Arial" w:eastAsia="Arial" w:hAnsi="Arial"/>
          <w:sz w:val="22"/>
          <w:szCs w:val="22"/>
          <w:color w:val="auto"/>
        </w:rPr>
        <w:t>. You acknowledge your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continuing obligations under your Employee Proprietary Information and Inventions Assignment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52" w:lineRule="exact"/>
        <w:rPr>
          <w:rFonts w:ascii="Arial" w:cs="Arial" w:eastAsia="Arial" w:hAnsi="Arial"/>
          <w:sz w:val="22"/>
          <w:szCs w:val="22"/>
          <w:b w:val="1"/>
          <w:bCs w:val="1"/>
          <w:color w:val="auto"/>
        </w:rPr>
      </w:pPr>
    </w:p>
    <w:p>
      <w:pPr>
        <w:jc w:val="both"/>
        <w:ind w:left="-20" w:firstLine="651"/>
        <w:spacing w:after="0" w:line="225" w:lineRule="auto"/>
        <w:tabs>
          <w:tab w:leader="none" w:pos="1358" w:val="left"/>
        </w:tabs>
        <w:numPr>
          <w:ilvl w:val="0"/>
          <w:numId w:val="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NONDISPARAGEMENT. </w:t>
      </w:r>
      <w:r>
        <w:rPr>
          <w:rFonts w:ascii="Arial" w:cs="Arial" w:eastAsia="Arial" w:hAnsi="Arial"/>
          <w:sz w:val="21"/>
          <w:szCs w:val="21"/>
          <w:color w:val="auto"/>
        </w:rPr>
        <w:t>You agree not to disparage the Company, its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employees, shareholders, and agents, in any manner likely to be harmful to its or their business, business reputation or personal reputation; and the Company (through its directors) agrees not to disparage you in any manner likely to be harmful to you or your business, business reputation or personal reputation; provided that you and the Company will respond accurately and fully to any question, inquiry or request for information when required by legal process.</w:t>
      </w:r>
    </w:p>
    <w:p>
      <w:pPr>
        <w:spacing w:after="0" w:line="154" w:lineRule="exact"/>
        <w:rPr>
          <w:rFonts w:ascii="Arial" w:cs="Arial" w:eastAsia="Arial" w:hAnsi="Arial"/>
          <w:sz w:val="21"/>
          <w:szCs w:val="21"/>
          <w:b w:val="1"/>
          <w:bCs w:val="1"/>
          <w:color w:val="auto"/>
        </w:rPr>
      </w:pPr>
    </w:p>
    <w:p>
      <w:pPr>
        <w:jc w:val="both"/>
        <w:ind w:left="-20" w:firstLine="651"/>
        <w:spacing w:after="0" w:line="271" w:lineRule="auto"/>
        <w:tabs>
          <w:tab w:leader="none" w:pos="1318"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ADMISSIONS. </w:t>
      </w:r>
      <w:r>
        <w:rPr>
          <w:rFonts w:ascii="Arial" w:cs="Arial" w:eastAsia="Arial" w:hAnsi="Arial"/>
          <w:sz w:val="19"/>
          <w:szCs w:val="19"/>
          <w:color w:val="auto"/>
        </w:rPr>
        <w:t>You understand and agree that the promises and payments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of this Agreement shall not be construed to be an admission of any liability or obligation by the Company to you or to any other person, and that the Company makes no such admission.</w:t>
      </w:r>
    </w:p>
    <w:p>
      <w:pPr>
        <w:spacing w:after="0" w:line="124" w:lineRule="exact"/>
        <w:rPr>
          <w:rFonts w:ascii="Arial" w:cs="Arial" w:eastAsia="Arial" w:hAnsi="Arial"/>
          <w:sz w:val="19"/>
          <w:szCs w:val="19"/>
          <w:b w:val="1"/>
          <w:bCs w:val="1"/>
          <w:color w:val="auto"/>
        </w:rPr>
      </w:pPr>
    </w:p>
    <w:p>
      <w:pPr>
        <w:jc w:val="both"/>
        <w:ind w:left="-20" w:firstLine="651"/>
        <w:spacing w:after="0" w:line="260" w:lineRule="auto"/>
        <w:tabs>
          <w:tab w:leader="none" w:pos="1317"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OF CLAIMS. </w:t>
      </w:r>
      <w:r>
        <w:rPr>
          <w:rFonts w:ascii="Arial" w:cs="Arial" w:eastAsia="Arial" w:hAnsi="Arial"/>
          <w:sz w:val="19"/>
          <w:szCs w:val="19"/>
          <w:color w:val="auto"/>
        </w:rPr>
        <w:t>In exchange for the consideration under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you would not otherwise be entitled, you hereby generally and completely release the Company and its directors, officers, employees, shareholders, partners, agents, attorneys, predecessors, successors, parent and subsidiary entities, insurers, affiliates, and assigns from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248285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98" w:right="1419" w:bottom="1440" w:gutter="0" w:footer="0" w:header="0"/>
        </w:sectPr>
      </w:pPr>
    </w:p>
    <w:bookmarkStart w:id="60" w:name="page61"/>
    <w:bookmarkEnd w:id="60"/>
    <w:p>
      <w:pPr>
        <w:jc w:val="both"/>
        <w:spacing w:after="0" w:line="241" w:lineRule="auto"/>
        <w:rPr>
          <w:sz w:val="20"/>
          <w:szCs w:val="20"/>
          <w:color w:val="auto"/>
        </w:rPr>
      </w:pPr>
      <w:r>
        <w:rPr>
          <w:rFonts w:ascii="Arial" w:cs="Arial" w:eastAsia="Arial" w:hAnsi="Arial"/>
          <w:sz w:val="19"/>
          <w:szCs w:val="19"/>
          <w:color w:val="auto"/>
        </w:rPr>
        <w:t>and all claims, liabilities and obligations, both known and unknown, that arise out of or are in any way related to events, acts, conduct, or omissions occurring at any time prior to and including the date you sign this Agreement. This general release includes, but is not limited to: (a) all claims arising out of or in any way related to your employment with the Company or the termination of that employment; (b) 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Arizona Wage Act, the Arizona Employment Protection Act, the Arizona Civil Rights Act, the Arizona Revised Statutes, and the Arizona Administrative Rules.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371" w:lineRule="exact"/>
        <w:rPr>
          <w:sz w:val="20"/>
          <w:szCs w:val="20"/>
          <w:color w:val="auto"/>
        </w:rPr>
      </w:pPr>
    </w:p>
    <w:p>
      <w:pPr>
        <w:jc w:val="both"/>
        <w:ind w:firstLine="651"/>
        <w:spacing w:after="0" w:line="220" w:lineRule="auto"/>
        <w:tabs>
          <w:tab w:leader="none" w:pos="1337"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ADEA RELEASE. </w:t>
      </w:r>
      <w:r>
        <w:rPr>
          <w:rFonts w:ascii="Arial" w:cs="Arial" w:eastAsia="Arial" w:hAnsi="Arial"/>
          <w:sz w:val="21"/>
          <w:szCs w:val="21"/>
          <w:color w:val="auto"/>
        </w:rPr>
        <w:t>You acknowledge that you are knowingly and voluntarily waiving</w:t>
      </w:r>
      <w:r>
        <w:rPr>
          <w:rFonts w:ascii="Arial" w:cs="Arial" w:eastAsia="Arial" w:hAnsi="Arial"/>
          <w:sz w:val="21"/>
          <w:szCs w:val="21"/>
          <w:b w:val="1"/>
          <w:bCs w:val="1"/>
          <w:color w:val="auto"/>
        </w:rPr>
        <w:t xml:space="preserve"> </w:t>
      </w:r>
      <w:r>
        <w:rPr>
          <w:rFonts w:ascii="Arial" w:cs="Arial" w:eastAsia="Arial" w:hAnsi="Arial"/>
          <w:sz w:val="21"/>
          <w:szCs w:val="21"/>
          <w:color w:val="auto"/>
        </w:rPr>
        <w:t>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21"/>
          <w:szCs w:val="21"/>
          <w:b w:val="1"/>
          <w:b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152" w:lineRule="exact"/>
        <w:rPr>
          <w:rFonts w:ascii="Arial" w:cs="Arial" w:eastAsia="Arial" w:hAnsi="Arial"/>
          <w:sz w:val="21"/>
          <w:szCs w:val="21"/>
          <w:b w:val="1"/>
          <w:bCs w:val="1"/>
          <w:color w:val="auto"/>
        </w:rPr>
      </w:pPr>
    </w:p>
    <w:p>
      <w:pPr>
        <w:jc w:val="both"/>
        <w:ind w:firstLine="651"/>
        <w:spacing w:after="0" w:line="243" w:lineRule="auto"/>
        <w:tabs>
          <w:tab w:leader="none" w:pos="1337"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You understand that nothing in this Agreement limits your</w:t>
      </w:r>
      <w:r>
        <w:rPr>
          <w:rFonts w:ascii="Arial" w:cs="Arial" w:eastAsia="Arial" w:hAnsi="Arial"/>
          <w:sz w:val="19"/>
          <w:szCs w:val="19"/>
          <w:b w:val="1"/>
          <w:bCs w:val="1"/>
          <w:color w:val="auto"/>
        </w:rPr>
        <w:t xml:space="preserve"> </w:t>
      </w:r>
      <w:r>
        <w:rPr>
          <w:rFonts w:ascii="Arial" w:cs="Arial" w:eastAsia="Arial" w:hAnsi="Arial"/>
          <w:sz w:val="19"/>
          <w:szCs w:val="19"/>
          <w:color w:val="auto"/>
        </w:rPr>
        <w:t>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1" w:name="page62"/>
    <w:bookmarkEnd w:id="61"/>
    <w:p>
      <w:pPr>
        <w:jc w:val="both"/>
        <w:ind w:firstLine="651"/>
        <w:spacing w:after="0" w:line="260" w:lineRule="auto"/>
        <w:tabs>
          <w:tab w:leader="none" w:pos="1323"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REPRESENTATIONS. </w:t>
      </w:r>
      <w:r>
        <w:rPr>
          <w:rFonts w:ascii="Arial" w:cs="Arial" w:eastAsia="Arial" w:hAnsi="Arial"/>
          <w:sz w:val="19"/>
          <w:szCs w:val="19"/>
          <w:color w:val="auto"/>
        </w:rPr>
        <w:t>You hereby represent that you have been paid all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owed and for all hours worked, have received all the leave and leave benefits and protections for which you are eligible pursuant to the Family and Medical Leave Act or otherwise, and have not suffered any on-the-job injury for which you have not already filed a workers’ compensation claim.</w:t>
      </w:r>
    </w:p>
    <w:p>
      <w:pPr>
        <w:spacing w:after="0" w:line="134" w:lineRule="exact"/>
        <w:rPr>
          <w:rFonts w:ascii="Arial" w:cs="Arial" w:eastAsia="Arial" w:hAnsi="Arial"/>
          <w:sz w:val="19"/>
          <w:szCs w:val="19"/>
          <w:b w:val="1"/>
          <w:bCs w:val="1"/>
          <w:color w:val="auto"/>
        </w:rPr>
      </w:pPr>
    </w:p>
    <w:p>
      <w:pPr>
        <w:jc w:val="both"/>
        <w:ind w:firstLine="651"/>
        <w:spacing w:after="0" w:line="241" w:lineRule="auto"/>
        <w:tabs>
          <w:tab w:leader="none" w:pos="1323"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including</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 constitutes the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388" w:lineRule="exact"/>
        <w:rPr>
          <w:sz w:val="20"/>
          <w:szCs w:val="20"/>
          <w:color w:val="auto"/>
        </w:rPr>
      </w:pPr>
    </w:p>
    <w:p>
      <w:pPr>
        <w:ind w:right="240"/>
        <w:spacing w:after="0" w:line="218" w:lineRule="auto"/>
        <w:rPr>
          <w:sz w:val="20"/>
          <w:szCs w:val="20"/>
          <w:color w:val="auto"/>
        </w:rPr>
      </w:pPr>
      <w:r>
        <w:rPr>
          <w:rFonts w:ascii="Arial" w:cs="Arial" w:eastAsia="Arial" w:hAnsi="Arial"/>
          <w:sz w:val="22"/>
          <w:szCs w:val="22"/>
          <w:color w:val="auto"/>
        </w:rPr>
        <w:t>If this Agreement is acceptable to you, please sign below and return the original to me. You have twenty-one (21) calendar days to decide whether you would like to accept this Agreement, and the Company’s offer contained herein will automatically expire if you do not sign and return it within this timeframe.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By: /s/ Stephen Socolof</w:t>
      </w:r>
    </w:p>
    <w:p>
      <w:pPr>
        <w:ind w:left="680"/>
        <w:spacing w:after="0"/>
        <w:rPr>
          <w:sz w:val="20"/>
          <w:szCs w:val="20"/>
          <w:color w:val="auto"/>
        </w:rPr>
      </w:pPr>
      <w:r>
        <w:rPr>
          <w:rFonts w:ascii="Arial" w:cs="Arial" w:eastAsia="Arial" w:hAnsi="Arial"/>
          <w:sz w:val="22"/>
          <w:szCs w:val="22"/>
          <w:color w:val="auto"/>
        </w:rPr>
        <w:t>Stephen Socolof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-149225</wp:posOffset>
            </wp:positionV>
            <wp:extent cx="2263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3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Exhibit A – Employee Proprietary Information and Inventions Assignment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HAVE READ, UNDERSTAND AND AGREE FULLY TO THE FOREGOING AGREEMENT: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gridSpan w:val="3"/>
          </w:tcPr>
          <w:p>
            <w:pPr>
              <w:spacing w:after="0"/>
              <w:rPr>
                <w:sz w:val="20"/>
                <w:szCs w:val="20"/>
                <w:color w:val="auto"/>
              </w:rPr>
            </w:pPr>
            <w:r>
              <w:rPr>
                <w:rFonts w:ascii="Arial" w:cs="Arial" w:eastAsia="Arial" w:hAnsi="Arial"/>
                <w:sz w:val="22"/>
                <w:szCs w:val="22"/>
                <w:color w:val="auto"/>
              </w:rPr>
              <w:t>/s/ Phillip LoPresti</w:t>
            </w:r>
          </w:p>
        </w:tc>
        <w:tc>
          <w:tcPr>
            <w:tcW w:w="4380" w:type="dxa"/>
            <w:vAlign w:val="bottom"/>
          </w:tcPr>
          <w:p>
            <w:pPr>
              <w:spacing w:after="0"/>
              <w:rPr>
                <w:sz w:val="20"/>
                <w:szCs w:val="20"/>
                <w:color w:val="auto"/>
              </w:rPr>
            </w:pPr>
            <w:r>
              <w:rPr>
                <w:rFonts w:ascii="Arial" w:cs="Arial" w:eastAsia="Arial" w:hAnsi="Arial"/>
                <w:sz w:val="22"/>
                <w:szCs w:val="22"/>
                <w:color w:val="auto"/>
              </w:rPr>
              <w:t>September 5, 2017</w:t>
            </w:r>
          </w:p>
        </w:tc>
      </w:tr>
      <w:tr>
        <w:trPr>
          <w:trHeight w:val="274"/>
        </w:trPr>
        <w:tc>
          <w:tcPr>
            <w:tcW w:w="20" w:type="dxa"/>
            <w:vAlign w:val="bottom"/>
          </w:tcPr>
          <w:p>
            <w:pPr>
              <w:spacing w:after="0"/>
              <w:rPr>
                <w:sz w:val="23"/>
                <w:szCs w:val="23"/>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Phillip LoPresti</w:t>
            </w:r>
          </w:p>
        </w:tc>
        <w:tc>
          <w:tcPr>
            <w:tcW w:w="280" w:type="dxa"/>
            <w:vAlign w:val="bottom"/>
          </w:tcPr>
          <w:p>
            <w:pPr>
              <w:spacing w:after="0"/>
              <w:rPr>
                <w:sz w:val="23"/>
                <w:szCs w:val="23"/>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Date</w:t>
            </w:r>
          </w:p>
        </w:tc>
      </w:tr>
      <w:tr>
        <w:trPr>
          <w:trHeight w:val="388"/>
        </w:trPr>
        <w:tc>
          <w:tcPr>
            <w:tcW w:w="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98" w:right="1419" w:bottom="1440" w:gutter="0" w:footer="0" w:header="0"/>
        </w:sectPr>
      </w:pPr>
    </w:p>
    <w:bookmarkStart w:id="62" w:name="page63"/>
    <w:bookmarkEnd w:id="62"/>
    <w:p>
      <w:pPr>
        <w:ind w:left="3940"/>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EMPLOYEE PROPRIETARY INFORMATION AND INVENTIONS ASSIGNMENT</w:t>
      </w: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3" w:name="page64"/>
    <w:bookmarkEnd w:id="63"/>
    <w:p>
      <w:pPr>
        <w:jc w:val="center"/>
        <w:spacing w:after="0" w:line="236" w:lineRule="auto"/>
        <w:rPr>
          <w:sz w:val="20"/>
          <w:szCs w:val="20"/>
          <w:color w:val="auto"/>
        </w:rPr>
      </w:pPr>
      <w:r>
        <w:rPr>
          <w:rFonts w:ascii="Arial" w:cs="Arial" w:eastAsia="Arial" w:hAnsi="Arial"/>
          <w:sz w:val="22"/>
          <w:szCs w:val="22"/>
          <w:b w:val="1"/>
          <w:bCs w:val="1"/>
          <w:color w:val="auto"/>
        </w:rPr>
        <w:t>EMPLOYEE PROPRIETARY INFORMATION AND INVENTIONS ASSIGNMENT AGREEMENT</w:t>
      </w:r>
    </w:p>
    <w:p>
      <w:pPr>
        <w:spacing w:after="0" w:line="158"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In consideration of my employment or continued employment by Everspin Technologies, Inc. (“</w:t>
      </w:r>
      <w:r>
        <w:rPr>
          <w:rFonts w:ascii="Arial" w:cs="Arial" w:eastAsia="Arial" w:hAnsi="Arial"/>
          <w:sz w:val="22"/>
          <w:szCs w:val="22"/>
          <w:b w:val="1"/>
          <w:bCs w:val="1"/>
          <w:color w:val="auto"/>
        </w:rPr>
        <w:t>Company</w:t>
      </w:r>
      <w:r>
        <w:rPr>
          <w:rFonts w:ascii="Arial" w:cs="Arial" w:eastAsia="Arial" w:hAnsi="Arial"/>
          <w:sz w:val="22"/>
          <w:szCs w:val="22"/>
          <w:color w:val="auto"/>
        </w:rPr>
        <w:t>”), and the compensation paid to me now and during my employment with the Company, I agree to the terms of this Agreement as follows: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Confidential Information Protections.</w:t>
      </w:r>
    </w:p>
    <w:p>
      <w:pPr>
        <w:spacing w:after="0" w:line="17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21"/>
          <w:szCs w:val="21"/>
          <w:b w:val="1"/>
          <w:bCs w:val="1"/>
          <w:color w:val="auto"/>
        </w:rPr>
        <w:t>1.1 Nondisclosure; Recognition of Company’s Rights</w:t>
      </w:r>
      <w:r>
        <w:rPr>
          <w:rFonts w:ascii="Arial" w:cs="Arial" w:eastAsia="Arial" w:hAnsi="Arial"/>
          <w:sz w:val="21"/>
          <w:szCs w:val="21"/>
          <w:color w:val="auto"/>
        </w:rPr>
        <w:t>. At all times during and after my</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I will hold in confidence and will not disclose, use, lecture upon, or publish any of Company’s Confidential Information (defined below), except as may be required in connection with my work for Company, or as expressly authorized by the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of Company. I will obtain the Board’s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19"/>
          <w:szCs w:val="19"/>
          <w:b w:val="1"/>
          <w:bCs w:val="1"/>
          <w:color w:val="auto"/>
        </w:rPr>
        <w:t xml:space="preserve">1.2 Confidential Information. </w:t>
      </w:r>
      <w:r>
        <w:rPr>
          <w:rFonts w:ascii="Arial" w:cs="Arial" w:eastAsia="Arial" w:hAnsi="Arial"/>
          <w:sz w:val="19"/>
          <w:szCs w:val="19"/>
          <w:color w:val="auto"/>
        </w:rPr>
        <w:t>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mean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knowledge, data or information related to Company’s business or its actual or demonstrably anticipated research or development, including without limitation (a) 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w:t>
      </w:r>
    </w:p>
    <w:p>
      <w:pPr>
        <w:spacing w:after="0" w:line="5" w:lineRule="exact"/>
        <w:rPr>
          <w:sz w:val="20"/>
          <w:szCs w:val="20"/>
          <w:color w:val="auto"/>
        </w:rPr>
      </w:pPr>
    </w:p>
    <w:p>
      <w:pPr>
        <w:ind w:firstLine="3"/>
        <w:spacing w:after="0" w:line="224" w:lineRule="auto"/>
        <w:tabs>
          <w:tab w:leader="none" w:pos="3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existence of any business discussions, negotiations, or agreements between Company and any third party.</w:t>
      </w:r>
    </w:p>
    <w:p>
      <w:pPr>
        <w:spacing w:after="0" w:line="15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22"/>
          <w:szCs w:val="22"/>
          <w:b w:val="1"/>
          <w:bCs w:val="1"/>
          <w:color w:val="auto"/>
        </w:rPr>
        <w:t xml:space="preserve">1.3 Third Party Information. </w:t>
      </w:r>
      <w:r>
        <w:rPr>
          <w:rFonts w:ascii="Arial" w:cs="Arial" w:eastAsia="Arial" w:hAnsi="Arial"/>
          <w:sz w:val="22"/>
          <w:szCs w:val="22"/>
          <w:color w:val="auto"/>
        </w:rPr>
        <w:t>I understand that Company has received and in the future will</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from third parties confidential or proprietary information (“</w:t>
      </w:r>
      <w:r>
        <w:rPr>
          <w:rFonts w:ascii="Arial" w:cs="Arial" w:eastAsia="Arial" w:hAnsi="Arial"/>
          <w:sz w:val="22"/>
          <w:szCs w:val="22"/>
          <w:b w:val="1"/>
          <w:bCs w:val="1"/>
          <w:color w:val="auto"/>
        </w:rPr>
        <w:t>Third Party Information</w:t>
      </w:r>
      <w:r>
        <w:rPr>
          <w:rFonts w:ascii="Arial" w:cs="Arial" w:eastAsia="Arial" w:hAnsi="Arial"/>
          <w:sz w:val="22"/>
          <w:szCs w:val="22"/>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57"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b w:val="1"/>
          <w:bCs w:val="1"/>
          <w:color w:val="auto"/>
        </w:rPr>
        <w:t xml:space="preserve">1.4 No Improper Use of Information of Prior Employers and Others. </w:t>
      </w:r>
      <w:r>
        <w:rPr>
          <w:rFonts w:ascii="Arial" w:cs="Arial" w:eastAsia="Arial" w:hAnsi="Arial"/>
          <w:sz w:val="22"/>
          <w:szCs w:val="22"/>
          <w:color w:val="auto"/>
        </w:rPr>
        <w:t>I represent that my</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by Company does not and will not breach any agreement with any former employer, including any noncompete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64" w:name="page65"/>
    <w:bookmarkEnd w:id="64"/>
    <w:p>
      <w:pPr>
        <w:jc w:val="both"/>
        <w:spacing w:after="0" w:line="244" w:lineRule="auto"/>
        <w:rPr>
          <w:sz w:val="20"/>
          <w:szCs w:val="20"/>
          <w:color w:val="auto"/>
        </w:rPr>
      </w:pPr>
      <w:r>
        <w:rPr>
          <w:rFonts w:ascii="Arial" w:cs="Arial" w:eastAsia="Arial" w:hAnsi="Arial"/>
          <w:sz w:val="19"/>
          <w:szCs w:val="19"/>
          <w:color w:val="auto"/>
        </w:rPr>
        <w:t>agreement or any agreement to keep in confidence or refrain from using information acquired by me prior to my employment by 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Inventions.</w:t>
      </w:r>
    </w:p>
    <w:p>
      <w:pPr>
        <w:spacing w:after="0" w:line="17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9"/>
          <w:szCs w:val="19"/>
          <w:b w:val="1"/>
          <w:bCs w:val="1"/>
          <w:color w:val="auto"/>
        </w:rPr>
        <w:t xml:space="preserve">2.1 Inventions and Intellectual Property Rights. </w:t>
      </w:r>
      <w:r>
        <w:rPr>
          <w:rFonts w:ascii="Arial" w:cs="Arial" w:eastAsia="Arial" w:hAnsi="Arial"/>
          <w:sz w:val="19"/>
          <w:szCs w:val="19"/>
          <w:color w:val="auto"/>
        </w:rPr>
        <w:t>As used in this Agreement,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Arial" w:cs="Arial" w:eastAsia="Arial" w:hAnsi="Arial"/>
          <w:sz w:val="19"/>
          <w:szCs w:val="19"/>
          <w:b w:val="1"/>
          <w:bCs w:val="1"/>
          <w:color w:val="auto"/>
        </w:rPr>
        <w:t>Intellectual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 Rights</w:t>
      </w:r>
      <w:r>
        <w:rPr>
          <w:rFonts w:ascii="Arial" w:cs="Arial" w:eastAsia="Arial" w:hAnsi="Arial"/>
          <w:sz w:val="19"/>
          <w:szCs w:val="19"/>
          <w:color w:val="auto"/>
        </w:rPr>
        <w:t>” means all trade secrets, copyrights, trademarks, mask work rights, patents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intellectual property rights recognized by the laws of any jurisdiction or country.</w:t>
      </w:r>
    </w:p>
    <w:p>
      <w:pPr>
        <w:spacing w:after="0" w:line="14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9"/>
          <w:szCs w:val="19"/>
          <w:b w:val="1"/>
          <w:bCs w:val="1"/>
          <w:color w:val="auto"/>
        </w:rPr>
        <w:t xml:space="preserve">2.2 Prior Inventions. </w:t>
      </w:r>
      <w:r>
        <w:rPr>
          <w:rFonts w:ascii="Arial" w:cs="Arial" w:eastAsia="Arial" w:hAnsi="Arial"/>
          <w:sz w:val="19"/>
          <w:szCs w:val="19"/>
          <w:color w:val="auto"/>
        </w:rPr>
        <w:t>I have disclosed on</w:t>
      </w:r>
      <w:r>
        <w:rPr>
          <w:rFonts w:ascii="Arial" w:cs="Arial" w:eastAsia="Arial" w:hAnsi="Arial"/>
          <w:sz w:val="19"/>
          <w:szCs w:val="19"/>
          <w:b w:val="1"/>
          <w:bCs w:val="1"/>
          <w:color w:val="auto"/>
        </w:rPr>
        <w:t xml:space="preserve"> Exhibit A </w:t>
      </w:r>
      <w:r>
        <w:rPr>
          <w:rFonts w:ascii="Arial" w:cs="Arial" w:eastAsia="Arial" w:hAnsi="Arial"/>
          <w:sz w:val="19"/>
          <w:szCs w:val="19"/>
          <w:color w:val="auto"/>
        </w:rPr>
        <w:t>a complete list of all Inventions that (a) I</w:t>
      </w:r>
      <w:r>
        <w:rPr>
          <w:rFonts w:ascii="Arial" w:cs="Arial" w:eastAsia="Arial" w:hAnsi="Arial"/>
          <w:sz w:val="19"/>
          <w:szCs w:val="19"/>
          <w:b w:val="1"/>
          <w:bCs w:val="1"/>
          <w:color w:val="auto"/>
        </w:rPr>
        <w:t xml:space="preserve"> </w:t>
      </w:r>
      <w:r>
        <w:rPr>
          <w:rFonts w:ascii="Arial" w:cs="Arial" w:eastAsia="Arial" w:hAnsi="Arial"/>
          <w:sz w:val="19"/>
          <w:szCs w:val="19"/>
          <w:color w:val="auto"/>
        </w:rPr>
        <w:t>have, or I have caused 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9"/>
          <w:szCs w:val="19"/>
          <w:b w:val="1"/>
          <w:bCs w:val="1"/>
          <w:color w:val="auto"/>
        </w:rPr>
        <w:t>Prior Inventions</w:t>
      </w:r>
      <w:r>
        <w:rPr>
          <w:rFonts w:ascii="Arial" w:cs="Arial" w:eastAsia="Arial" w:hAnsi="Arial"/>
          <w:sz w:val="19"/>
          <w:szCs w:val="19"/>
          <w:color w:val="auto"/>
        </w:rPr>
        <w:t xml:space="preserve">”). If no Prior Inventions are listed in </w:t>
      </w:r>
      <w:r>
        <w:rPr>
          <w:rFonts w:ascii="Arial" w:cs="Arial" w:eastAsia="Arial" w:hAnsi="Arial"/>
          <w:sz w:val="19"/>
          <w:szCs w:val="19"/>
          <w:b w:val="1"/>
          <w:bCs w:val="1"/>
          <w:color w:val="auto"/>
        </w:rPr>
        <w:t>Exhibit A</w:t>
      </w:r>
      <w:r>
        <w:rPr>
          <w:rFonts w:ascii="Arial" w:cs="Arial" w:eastAsia="Arial" w:hAnsi="Arial"/>
          <w:sz w:val="19"/>
          <w:szCs w:val="19"/>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use, sell, import, offer for sale, and exercise any and all present or future rights in, such Prior Invention.</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22"/>
          <w:szCs w:val="22"/>
          <w:b w:val="1"/>
          <w:bCs w:val="1"/>
          <w:color w:val="auto"/>
        </w:rPr>
        <w:t xml:space="preserve">2.3 Assignment of Company Inventions. </w:t>
      </w:r>
      <w:r>
        <w:rPr>
          <w:rFonts w:ascii="Arial" w:cs="Arial" w:eastAsia="Arial" w:hAnsi="Arial"/>
          <w:sz w:val="22"/>
          <w:szCs w:val="22"/>
          <w:color w:val="auto"/>
        </w:rPr>
        <w:t>Inventions assigned to the Company or to a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as directed by the Company pursuant to the section titled “Government or Third Party” are referred to in this Agreement as “</w:t>
      </w:r>
      <w:r>
        <w:rPr>
          <w:rFonts w:ascii="Arial" w:cs="Arial" w:eastAsia="Arial" w:hAnsi="Arial"/>
          <w:sz w:val="22"/>
          <w:szCs w:val="22"/>
          <w:b w:val="1"/>
          <w:bCs w:val="1"/>
          <w:color w:val="auto"/>
        </w:rPr>
        <w:t>Company Inventions</w:t>
      </w:r>
      <w:r>
        <w:rPr>
          <w:rFonts w:ascii="Arial" w:cs="Arial" w:eastAsia="Arial" w:hAnsi="Arial"/>
          <w:sz w:val="22"/>
          <w:szCs w:val="22"/>
          <w:color w:val="auto"/>
        </w:rPr>
        <w:t xml:space="preserve">.” Subject to the section titled “Government or Third Party” and except for Inventions that I can prove qualify fully under the provisions of a Specific Inventions Law (as defined below) and I have set forth in </w:t>
      </w:r>
      <w:r>
        <w:rPr>
          <w:rFonts w:ascii="Arial" w:cs="Arial" w:eastAsia="Arial" w:hAnsi="Arial"/>
          <w:sz w:val="22"/>
          <w:szCs w:val="22"/>
          <w:b w:val="1"/>
          <w:bCs w:val="1"/>
          <w:color w:val="auto"/>
        </w:rPr>
        <w:t>Exhibit A</w:t>
      </w:r>
      <w:r>
        <w:rPr>
          <w:rFonts w:ascii="Arial" w:cs="Arial" w:eastAsia="Arial" w:hAnsi="Arial"/>
          <w:sz w:val="22"/>
          <w:szCs w:val="22"/>
          <w:color w:val="auto"/>
        </w:rPr>
        <w:t>, I hereby assign and agree to assign in the future (when any such 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w:t>
      </w:r>
    </w:p>
    <w:p>
      <w:pPr>
        <w:spacing w:after="0" w:line="1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9"/>
          <w:szCs w:val="19"/>
          <w:b w:val="1"/>
          <w:bCs w:val="1"/>
          <w:color w:val="auto"/>
        </w:rPr>
        <w:t xml:space="preserve">2.4 Specific Inventions Law. </w:t>
      </w:r>
      <w:r>
        <w:rPr>
          <w:rFonts w:ascii="Arial" w:cs="Arial" w:eastAsia="Arial" w:hAnsi="Arial"/>
          <w:sz w:val="19"/>
          <w:szCs w:val="19"/>
          <w:color w:val="auto"/>
        </w:rPr>
        <w:t>I recognize that, in the event of a specifically applicable state law,</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regulation, rule or public policy </w:t>
      </w:r>
      <w:r>
        <w:rPr>
          <w:rFonts w:ascii="Arial" w:cs="Arial" w:eastAsia="Arial" w:hAnsi="Arial"/>
          <w:sz w:val="19"/>
          <w:szCs w:val="19"/>
          <w:b w:val="1"/>
          <w:bCs w:val="1"/>
          <w:color w:val="auto"/>
        </w:rPr>
        <w:t>(“Specific Inventions Law”)</w:t>
      </w:r>
      <w:r>
        <w:rPr>
          <w:rFonts w:ascii="Arial" w:cs="Arial" w:eastAsia="Arial" w:hAnsi="Arial"/>
          <w:sz w:val="19"/>
          <w:szCs w:val="19"/>
          <w:color w:val="auto"/>
        </w:rPr>
        <w:t>, this Agreement will not be deemed to require assignment of any invention which qualifies fully for protection under a Specific Inventions Law by virtue of the fact that any such invention was, for example, developed entirely on my own time without using the company’s equipment, supplies, facilities, or trade secrets and neither related to the company’s actual or anticipated business, research or development, nor resulted from work performed by me for the Company. Examples of Specific Inventions Laws include California Labor Code Section 2870 and the Revised Code of Washington Section 49.44.140.</w:t>
      </w:r>
    </w:p>
    <w:p>
      <w:pPr>
        <w:spacing w:after="0" w:line="146" w:lineRule="exact"/>
        <w:rPr>
          <w:sz w:val="20"/>
          <w:szCs w:val="20"/>
          <w:color w:val="auto"/>
        </w:rPr>
      </w:pPr>
    </w:p>
    <w:p>
      <w:pPr>
        <w:jc w:val="both"/>
        <w:ind w:firstLine="324"/>
        <w:spacing w:after="0" w:line="217" w:lineRule="auto"/>
        <w:rPr>
          <w:sz w:val="20"/>
          <w:szCs w:val="20"/>
          <w:color w:val="auto"/>
        </w:rPr>
      </w:pPr>
      <w:r>
        <w:rPr>
          <w:rFonts w:ascii="Arial" w:cs="Arial" w:eastAsia="Arial" w:hAnsi="Arial"/>
          <w:sz w:val="22"/>
          <w:szCs w:val="22"/>
          <w:b w:val="1"/>
          <w:bCs w:val="1"/>
          <w:color w:val="auto"/>
        </w:rPr>
        <w:t xml:space="preserve">2.5 Obligation to Keep Company Informed. </w:t>
      </w:r>
      <w:r>
        <w:rPr>
          <w:rFonts w:ascii="Arial" w:cs="Arial" w:eastAsia="Arial" w:hAnsi="Arial"/>
          <w:sz w:val="22"/>
          <w:szCs w:val="22"/>
          <w:color w:val="auto"/>
        </w:rPr>
        <w:t>While employed with the Company and for one (1)</w:t>
      </w:r>
      <w:r>
        <w:rPr>
          <w:rFonts w:ascii="Arial" w:cs="Arial" w:eastAsia="Arial" w:hAnsi="Arial"/>
          <w:sz w:val="22"/>
          <w:szCs w:val="22"/>
          <w:b w:val="1"/>
          <w:bCs w:val="1"/>
          <w:color w:val="auto"/>
        </w:rPr>
        <w:t xml:space="preserve"> </w:t>
      </w:r>
      <w:r>
        <w:rPr>
          <w:rFonts w:ascii="Arial" w:cs="Arial" w:eastAsia="Arial" w:hAnsi="Arial"/>
          <w:sz w:val="22"/>
          <w:szCs w:val="22"/>
          <w:color w:val="auto"/>
        </w:rPr>
        <w:t>year after my employment ends, I will promptly and fully disclose to the Company in writing (a) all Inventions I author, conceive or reduce to practice, either alone or with others and including any that might be covered under a Specific Inventions Law, and (b) all patent applications I file or in which I am named as an inventor or co-inventor.</w:t>
      </w:r>
    </w:p>
    <w:p>
      <w:pPr>
        <w:spacing w:after="0" w:line="15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b w:val="1"/>
          <w:bCs w:val="1"/>
          <w:color w:val="auto"/>
        </w:rPr>
        <w:t xml:space="preserve">2.6 Government or Third Party. </w:t>
      </w:r>
      <w:r>
        <w:rPr>
          <w:rFonts w:ascii="Arial" w:cs="Arial" w:eastAsia="Arial" w:hAnsi="Arial"/>
          <w:sz w:val="22"/>
          <w:szCs w:val="22"/>
          <w:color w:val="auto"/>
        </w:rPr>
        <w:t>I agree that, as directed by the Company, I will assign to a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including without limitation the United States, all my right, title, and interest in and to any particular Company Invention.</w:t>
      </w:r>
    </w:p>
    <w:p>
      <w:pPr>
        <w:spacing w:after="0" w:line="15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b w:val="1"/>
          <w:bCs w:val="1"/>
          <w:color w:val="auto"/>
        </w:rPr>
        <w:t xml:space="preserve">2.7 Enforcement of Intellectual Property Rights and Assistance. </w:t>
      </w:r>
      <w:r>
        <w:rPr>
          <w:rFonts w:ascii="Arial" w:cs="Arial" w:eastAsia="Arial" w:hAnsi="Arial"/>
          <w:sz w:val="19"/>
          <w:szCs w:val="19"/>
          <w:color w:val="auto"/>
        </w:rPr>
        <w:t>During and after the period of</w:t>
      </w:r>
      <w:r>
        <w:rPr>
          <w:rFonts w:ascii="Arial" w:cs="Arial" w:eastAsia="Arial" w:hAnsi="Arial"/>
          <w:sz w:val="19"/>
          <w:szCs w:val="19"/>
          <w:b w:val="1"/>
          <w:bCs w:val="1"/>
          <w:color w:val="auto"/>
        </w:rPr>
        <w:t xml:space="preserve"> </w:t>
      </w:r>
      <w:r>
        <w:rPr>
          <w:rFonts w:ascii="Arial" w:cs="Arial" w:eastAsia="Arial" w:hAnsi="Arial"/>
          <w:sz w:val="19"/>
          <w:szCs w:val="19"/>
          <w:color w:val="auto"/>
        </w:rPr>
        <w:t>my employment, I will assist Company in every proper way to obtain and enforce United States and foreign Intellectual Property Rights relating to Company Inventions in all countries. If the Company is unable to secure my signature on any document needed in connection with such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6" w:name="page67"/>
    <w:bookmarkEnd w:id="66"/>
    <w:p>
      <w:pPr>
        <w:jc w:val="both"/>
        <w:spacing w:after="0" w:line="229" w:lineRule="auto"/>
        <w:rPr>
          <w:sz w:val="20"/>
          <w:szCs w:val="20"/>
          <w:color w:val="auto"/>
        </w:rPr>
      </w:pPr>
      <w:r>
        <w:rPr>
          <w:rFonts w:ascii="Arial" w:cs="Arial" w:eastAsia="Arial" w:hAnsi="Arial"/>
          <w:sz w:val="21"/>
          <w:szCs w:val="21"/>
          <w:color w:val="auto"/>
        </w:rPr>
        <w:t>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154" w:lineRule="exact"/>
        <w:rPr>
          <w:sz w:val="20"/>
          <w:szCs w:val="20"/>
          <w:color w:val="auto"/>
        </w:rPr>
      </w:pPr>
    </w:p>
    <w:p>
      <w:pPr>
        <w:jc w:val="both"/>
        <w:ind w:firstLine="324"/>
        <w:spacing w:after="0" w:line="217" w:lineRule="auto"/>
        <w:rPr>
          <w:sz w:val="20"/>
          <w:szCs w:val="20"/>
          <w:color w:val="auto"/>
        </w:rPr>
      </w:pPr>
      <w:r>
        <w:rPr>
          <w:rFonts w:ascii="Arial" w:cs="Arial" w:eastAsia="Arial" w:hAnsi="Arial"/>
          <w:sz w:val="22"/>
          <w:szCs w:val="22"/>
          <w:b w:val="1"/>
          <w:bCs w:val="1"/>
          <w:color w:val="auto"/>
        </w:rPr>
        <w:t xml:space="preserve">2.8 Incorporation of Software Code. </w:t>
      </w:r>
      <w:r>
        <w:rPr>
          <w:rFonts w:ascii="Arial" w:cs="Arial" w:eastAsia="Arial" w:hAnsi="Arial"/>
          <w:sz w:val="22"/>
          <w:szCs w:val="22"/>
          <w:color w:val="auto"/>
        </w:rPr>
        <w:t>I agree that I will not incorporate into any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153" w:lineRule="exact"/>
        <w:rPr>
          <w:sz w:val="20"/>
          <w:szCs w:val="20"/>
          <w:color w:val="auto"/>
        </w:rPr>
      </w:pPr>
    </w:p>
    <w:p>
      <w:pPr>
        <w:jc w:val="both"/>
        <w:ind w:firstLine="3"/>
        <w:spacing w:after="0" w:line="220" w:lineRule="auto"/>
        <w:tabs>
          <w:tab w:leader="none" w:pos="332"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Records. </w:t>
      </w:r>
      <w:r>
        <w:rPr>
          <w:rFonts w:ascii="Arial" w:cs="Arial" w:eastAsia="Arial" w:hAnsi="Arial"/>
          <w:sz w:val="22"/>
          <w:szCs w:val="22"/>
          <w:color w:val="auto"/>
        </w:rPr>
        <w:t>I agree to keep and maintain adequate and current records (in the form of notes, sketches,</w:t>
      </w:r>
      <w:r>
        <w:rPr>
          <w:rFonts w:ascii="Arial" w:cs="Arial" w:eastAsia="Arial" w:hAnsi="Arial"/>
          <w:sz w:val="22"/>
          <w:szCs w:val="22"/>
          <w:b w:val="1"/>
          <w:bCs w:val="1"/>
          <w:color w:val="auto"/>
        </w:rPr>
        <w:t xml:space="preserve"> </w:t>
      </w:r>
      <w:r>
        <w:rPr>
          <w:rFonts w:ascii="Arial" w:cs="Arial" w:eastAsia="Arial" w:hAnsi="Arial"/>
          <w:sz w:val="22"/>
          <w:szCs w:val="22"/>
          <w:color w:val="auto"/>
        </w:rPr>
        <w:t>drawings and in any other form that is required by the Company) of all Inventions made by me during the period of my employment by the Company, which records shall be available to, and remain the sole property of, the Company at all times.</w:t>
      </w:r>
    </w:p>
    <w:p>
      <w:pPr>
        <w:spacing w:after="0" w:line="152" w:lineRule="exact"/>
        <w:rPr>
          <w:rFonts w:ascii="Arial" w:cs="Arial" w:eastAsia="Arial" w:hAnsi="Arial"/>
          <w:sz w:val="22"/>
          <w:szCs w:val="22"/>
          <w:b w:val="1"/>
          <w:bCs w:val="1"/>
          <w:color w:val="auto"/>
        </w:rPr>
      </w:pPr>
    </w:p>
    <w:p>
      <w:pPr>
        <w:jc w:val="both"/>
        <w:ind w:firstLine="3"/>
        <w:spacing w:after="0" w:line="223" w:lineRule="auto"/>
        <w:tabs>
          <w:tab w:leader="none" w:pos="346"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Additional Activities. </w:t>
      </w:r>
      <w:r>
        <w:rPr>
          <w:rFonts w:ascii="Arial" w:cs="Arial" w:eastAsia="Arial" w:hAnsi="Arial"/>
          <w:sz w:val="21"/>
          <w:szCs w:val="21"/>
          <w:color w:val="auto"/>
        </w:rPr>
        <w:t>I agree that (a) during the term of my employment by Company, I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Company’s express written consent, engage in any employment or business activity that is competitive with, or would otherwise conflict with my employment by, Company, and (b) for the period of my employment by Company and for one (l)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158" w:lineRule="exact"/>
        <w:rPr>
          <w:rFonts w:ascii="Arial" w:cs="Arial" w:eastAsia="Arial" w:hAnsi="Arial"/>
          <w:sz w:val="21"/>
          <w:szCs w:val="21"/>
          <w:b w:val="1"/>
          <w:bCs w:val="1"/>
          <w:color w:val="auto"/>
        </w:rPr>
      </w:pPr>
    </w:p>
    <w:p>
      <w:pPr>
        <w:jc w:val="both"/>
        <w:ind w:firstLine="3"/>
        <w:spacing w:after="0" w:line="243" w:lineRule="auto"/>
        <w:tabs>
          <w:tab w:leader="none" w:pos="349"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Company Property. </w:t>
      </w:r>
      <w:r>
        <w:rPr>
          <w:rFonts w:ascii="Arial" w:cs="Arial" w:eastAsia="Arial" w:hAnsi="Arial"/>
          <w:sz w:val="19"/>
          <w:szCs w:val="19"/>
          <w:color w:val="auto"/>
        </w:rPr>
        <w:t>Upon termination of my employment or upon Company’s request</w:t>
      </w:r>
      <w:r>
        <w:rPr>
          <w:rFonts w:ascii="Arial" w:cs="Arial" w:eastAsia="Arial" w:hAnsi="Arial"/>
          <w:sz w:val="19"/>
          <w:szCs w:val="19"/>
          <w:b w:val="1"/>
          <w:bCs w:val="1"/>
          <w:color w:val="auto"/>
        </w:rPr>
        <w:t xml:space="preserve"> </w:t>
      </w:r>
      <w:r>
        <w:rPr>
          <w:rFonts w:ascii="Arial" w:cs="Arial" w:eastAsia="Arial" w:hAnsi="Arial"/>
          <w:sz w:val="19"/>
          <w:szCs w:val="19"/>
          <w:color w:val="auto"/>
        </w:rPr>
        <w:t>at 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7" w:name="page68"/>
    <w:bookmarkEnd w:id="67"/>
    <w:p>
      <w:pPr>
        <w:jc w:val="both"/>
        <w:spacing w:after="0" w:line="229" w:lineRule="auto"/>
        <w:rPr>
          <w:sz w:val="20"/>
          <w:szCs w:val="20"/>
          <w:color w:val="auto"/>
        </w:rPr>
      </w:pPr>
      <w:r>
        <w:rPr>
          <w:rFonts w:ascii="Arial" w:cs="Arial" w:eastAsia="Arial" w:hAnsi="Arial"/>
          <w:sz w:val="21"/>
          <w:szCs w:val="21"/>
          <w:color w:val="auto"/>
        </w:rPr>
        <w:t>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54" w:lineRule="exact"/>
        <w:rPr>
          <w:sz w:val="20"/>
          <w:szCs w:val="20"/>
          <w:color w:val="auto"/>
        </w:rPr>
      </w:pPr>
    </w:p>
    <w:p>
      <w:pPr>
        <w:jc w:val="both"/>
        <w:ind w:firstLine="3"/>
        <w:spacing w:after="0" w:line="225" w:lineRule="auto"/>
        <w:tabs>
          <w:tab w:leader="none" w:pos="344"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Notification Of New Employer. </w:t>
      </w:r>
      <w:r>
        <w:rPr>
          <w:rFonts w:ascii="Arial" w:cs="Arial" w:eastAsia="Arial" w:hAnsi="Arial"/>
          <w:sz w:val="22"/>
          <w:szCs w:val="22"/>
          <w:color w:val="auto"/>
        </w:rPr>
        <w:t>If I leave the employ of Company, I consent to the notification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my new employer of my rights and obligations under this Agreement, by Company providing a copy of this Agreement or otherwise.</w:t>
      </w:r>
    </w:p>
    <w:p>
      <w:pPr>
        <w:spacing w:after="0" w:line="152" w:lineRule="exact"/>
        <w:rPr>
          <w:rFonts w:ascii="Arial" w:cs="Arial" w:eastAsia="Arial" w:hAnsi="Arial"/>
          <w:sz w:val="22"/>
          <w:szCs w:val="22"/>
          <w:b w:val="1"/>
          <w:bCs w:val="1"/>
          <w:color w:val="auto"/>
        </w:rPr>
      </w:pPr>
    </w:p>
    <w:p>
      <w:pPr>
        <w:ind w:left="320" w:hanging="317"/>
        <w:spacing w:after="0"/>
        <w:tabs>
          <w:tab w:leader="none" w:pos="32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179"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2"/>
          <w:szCs w:val="22"/>
          <w:b w:val="1"/>
          <w:bCs w:val="1"/>
          <w:color w:val="auto"/>
        </w:rPr>
        <w:t xml:space="preserve">7.1 Governing Law and Venue. </w:t>
      </w:r>
      <w:r>
        <w:rPr>
          <w:rFonts w:ascii="Arial" w:cs="Arial" w:eastAsia="Arial" w:hAnsi="Arial"/>
          <w:sz w:val="22"/>
          <w:szCs w:val="22"/>
          <w:color w:val="auto"/>
        </w:rPr>
        <w:t>This Agreement and any action related thereto will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interpreted by and under the laws of the State of Arizona,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5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2"/>
          <w:szCs w:val="22"/>
          <w:b w:val="1"/>
          <w:bCs w:val="1"/>
          <w:color w:val="auto"/>
        </w:rPr>
        <w:t xml:space="preserve">7.2 Severability. </w:t>
      </w:r>
      <w:r>
        <w:rPr>
          <w:rFonts w:ascii="Arial" w:cs="Arial" w:eastAsia="Arial" w:hAnsi="Arial"/>
          <w:sz w:val="22"/>
          <w:szCs w:val="22"/>
          <w:color w:val="auto"/>
        </w:rPr>
        <w:t>If any provision of this Agreement is, for any reason, held to be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the other provisions of this Agreement will remain enforceable and the invalid or unenforceable provision will be deemed modified so that it is valid and enforceable to the maximum extent permitted by law.</w:t>
      </w:r>
    </w:p>
    <w:p>
      <w:pPr>
        <w:spacing w:after="0" w:line="15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b w:val="1"/>
          <w:bCs w:val="1"/>
          <w:color w:val="auto"/>
        </w:rPr>
        <w:t xml:space="preserve">7.3 Survival. </w:t>
      </w:r>
      <w:r>
        <w:rPr>
          <w:rFonts w:ascii="Arial" w:cs="Arial" w:eastAsia="Arial" w:hAnsi="Arial"/>
          <w:sz w:val="22"/>
          <w:szCs w:val="22"/>
          <w:color w:val="auto"/>
        </w:rPr>
        <w:t>This Agreement shall survive the termination of my employment and the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by Company to any successor or other assignee and be binding upon my heirs and legal representatives.</w:t>
      </w:r>
    </w:p>
    <w:p>
      <w:pPr>
        <w:spacing w:after="0" w:line="15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2"/>
          <w:szCs w:val="22"/>
          <w:b w:val="1"/>
          <w:bCs w:val="1"/>
          <w:color w:val="auto"/>
        </w:rPr>
        <w:t>7.4 Employment</w:t>
      </w:r>
      <w:r>
        <w:rPr>
          <w:rFonts w:ascii="Arial" w:cs="Arial" w:eastAsia="Arial" w:hAnsi="Arial"/>
          <w:sz w:val="22"/>
          <w:szCs w:val="22"/>
          <w:color w:val="auto"/>
        </w:rPr>
        <w:t>. I agree and understand that nothing in this Agreement shall give me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employment by Company, and it will not interfere in any way with my right or Company’s right to terminate my employment at any time, with or without cause and with or without advance notice.</w:t>
      </w:r>
    </w:p>
    <w:p>
      <w:pPr>
        <w:spacing w:after="0" w:line="153"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2"/>
          <w:szCs w:val="22"/>
          <w:b w:val="1"/>
          <w:bCs w:val="1"/>
          <w:color w:val="auto"/>
        </w:rPr>
        <w:t xml:space="preserve">7.5 Notices. </w:t>
      </w:r>
      <w:r>
        <w:rPr>
          <w:rFonts w:ascii="Arial" w:cs="Arial" w:eastAsia="Arial" w:hAnsi="Arial"/>
          <w:sz w:val="22"/>
          <w:szCs w:val="22"/>
          <w:color w:val="auto"/>
        </w:rPr>
        <w:t>Each party must deliver all notices or other communications required or permitted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in writing to the other party at the address listed on the signature page, by courier, by certified or registered mail (postage prepaid and return receipt requested), or by a nationally-recognized express mail service. Notice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8" w:name="page69"/>
    <w:bookmarkEnd w:id="68"/>
    <w:p>
      <w:pPr>
        <w:jc w:val="both"/>
        <w:spacing w:after="0" w:line="226" w:lineRule="auto"/>
        <w:rPr>
          <w:sz w:val="20"/>
          <w:szCs w:val="20"/>
          <w:color w:val="auto"/>
        </w:rPr>
      </w:pPr>
      <w:r>
        <w:rPr>
          <w:rFonts w:ascii="Arial" w:cs="Arial" w:eastAsia="Arial" w:hAnsi="Arial"/>
          <w:sz w:val="21"/>
          <w:szCs w:val="21"/>
          <w:color w:val="auto"/>
        </w:rPr>
        <w:t>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5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9"/>
          <w:szCs w:val="19"/>
          <w:b w:val="1"/>
          <w:bCs w:val="1"/>
          <w:color w:val="auto"/>
        </w:rPr>
        <w:t>7.6 Injunctive Relief</w:t>
      </w:r>
      <w:r>
        <w:rPr>
          <w:rFonts w:ascii="Arial" w:cs="Arial" w:eastAsia="Arial" w:hAnsi="Arial"/>
          <w:sz w:val="19"/>
          <w:szCs w:val="19"/>
          <w:color w:val="auto"/>
        </w:rPr>
        <w:t>. I acknowledge that, because my services are personal and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I will have access to the Confidential Information of Company, any breach of this Agreement by me would cause irreparable injury to Company for which monetary damages would not be an 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1"/>
          <w:szCs w:val="21"/>
          <w:b w:val="1"/>
          <w:bCs w:val="1"/>
          <w:color w:val="auto"/>
        </w:rPr>
        <w:t xml:space="preserve">7.7 Waiver. </w:t>
      </w:r>
      <w:r>
        <w:rPr>
          <w:rFonts w:ascii="Arial" w:cs="Arial" w:eastAsia="Arial" w:hAnsi="Arial"/>
          <w:sz w:val="21"/>
          <w:szCs w:val="21"/>
          <w:color w:val="auto"/>
        </w:rPr>
        <w:t>Any waiver or failure to enforce any provision of this Agreement on one occasion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deemed a waiver of that provision or any other provision on any other occasion.</w:t>
      </w:r>
    </w:p>
    <w:p>
      <w:pPr>
        <w:spacing w:after="0" w:line="13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22"/>
          <w:szCs w:val="22"/>
          <w:b w:val="1"/>
          <w:bCs w:val="1"/>
          <w:color w:val="auto"/>
        </w:rPr>
        <w:t>7.8 Export</w:t>
      </w:r>
      <w:r>
        <w:rPr>
          <w:rFonts w:ascii="Arial" w:cs="Arial" w:eastAsia="Arial" w:hAnsi="Arial"/>
          <w:sz w:val="22"/>
          <w:szCs w:val="22"/>
          <w:color w:val="auto"/>
        </w:rPr>
        <w:t>. I agree not to export, directly or indirectly, any U.S. technical data acquired from</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products utilizing such data, to countries outside the United States, because such export could be in violation of the United States export laws or regulations.</w:t>
      </w:r>
    </w:p>
    <w:p>
      <w:pPr>
        <w:spacing w:after="0" w:line="15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9"/>
          <w:szCs w:val="19"/>
          <w:b w:val="1"/>
          <w:bCs w:val="1"/>
          <w:color w:val="auto"/>
        </w:rPr>
        <w:t xml:space="preserve">7.9 Entire Agreement. </w:t>
      </w:r>
      <w:r>
        <w:rPr>
          <w:rFonts w:ascii="Arial" w:cs="Arial" w:eastAsia="Arial" w:hAnsi="Arial"/>
          <w:sz w:val="19"/>
          <w:szCs w:val="19"/>
          <w:color w:val="auto"/>
        </w:rPr>
        <w:t>If no other agreement governs nondisclosure and assignment of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an authorized representative of Company. Any subsequent change or changes in my duties, salary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69" w:name="page70"/>
    <w:bookmarkEnd w:id="69"/>
    <w:p>
      <w:pPr>
        <w:ind w:right="200"/>
        <w:spacing w:after="0" w:line="233" w:lineRule="auto"/>
        <w:rPr>
          <w:sz w:val="20"/>
          <w:szCs w:val="20"/>
          <w:color w:val="auto"/>
        </w:rPr>
      </w:pPr>
      <w:r>
        <w:rPr>
          <w:rFonts w:ascii="Arial" w:cs="Arial" w:eastAsia="Arial" w:hAnsi="Arial"/>
          <w:sz w:val="22"/>
          <w:szCs w:val="22"/>
          <w:color w:val="auto"/>
        </w:rPr>
        <w:t>This Employee Proprietary Information and Inventions Assignment Agreement shall be effective as of the first day of my employment with Company.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gridSpan w:val="4"/>
          </w:tcPr>
          <w:p>
            <w:pPr>
              <w:spacing w:after="0"/>
              <w:rPr>
                <w:sz w:val="20"/>
                <w:szCs w:val="20"/>
                <w:color w:val="auto"/>
              </w:rPr>
            </w:pPr>
            <w:r>
              <w:rPr>
                <w:rFonts w:ascii="Arial" w:cs="Arial" w:eastAsia="Arial" w:hAnsi="Arial"/>
                <w:sz w:val="22"/>
                <w:szCs w:val="22"/>
                <w:b w:val="1"/>
                <w:bCs w:val="1"/>
                <w:color w:val="auto"/>
              </w:rPr>
              <w:t>Employee:</w:t>
            </w:r>
          </w:p>
        </w:tc>
        <w:tc>
          <w:tcPr>
            <w:tcW w:w="24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22"/>
                <w:szCs w:val="22"/>
                <w:b w:val="1"/>
                <w:bCs w:val="1"/>
                <w:color w:val="auto"/>
              </w:rPr>
              <w:t>Company: EVERSPIN TECHNOLOGIES,</w:t>
            </w:r>
          </w:p>
        </w:tc>
        <w:tc>
          <w:tcPr>
            <w:tcW w:w="0" w:type="dxa"/>
            <w:vAlign w:val="bottom"/>
          </w:tcPr>
          <w:p>
            <w:pPr>
              <w:spacing w:after="0"/>
              <w:rPr>
                <w:sz w:val="1"/>
                <w:szCs w:val="1"/>
                <w:color w:val="auto"/>
              </w:rPr>
            </w:pPr>
          </w:p>
        </w:tc>
      </w:tr>
      <w:tr>
        <w:trPr>
          <w:trHeight w:val="216"/>
        </w:trPr>
        <w:tc>
          <w:tcPr>
            <w:tcW w:w="432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I have read, understand, and Accept this</w:t>
            </w:r>
          </w:p>
        </w:tc>
        <w:tc>
          <w:tcPr>
            <w:tcW w:w="240" w:type="dxa"/>
            <w:vAlign w:val="bottom"/>
          </w:tcPr>
          <w:p>
            <w:pPr>
              <w:spacing w:after="0"/>
              <w:rPr>
                <w:sz w:val="18"/>
                <w:szCs w:val="18"/>
                <w:color w:val="auto"/>
              </w:rPr>
            </w:pPr>
          </w:p>
        </w:tc>
        <w:tc>
          <w:tcPr>
            <w:tcW w:w="840" w:type="dxa"/>
            <w:vAlign w:val="bottom"/>
          </w:tcPr>
          <w:p>
            <w:pPr>
              <w:spacing w:after="0" w:line="217" w:lineRule="exact"/>
              <w:rPr>
                <w:sz w:val="20"/>
                <w:szCs w:val="20"/>
                <w:color w:val="auto"/>
              </w:rPr>
            </w:pPr>
            <w:r>
              <w:rPr>
                <w:rFonts w:ascii="Arial" w:cs="Arial" w:eastAsia="Arial" w:hAnsi="Arial"/>
                <w:sz w:val="22"/>
                <w:szCs w:val="22"/>
                <w:b w:val="1"/>
                <w:bCs w:val="1"/>
                <w:color w:val="auto"/>
              </w:rPr>
              <w:t>INC.</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2"/>
          </w:tcPr>
          <w:p>
            <w:pPr>
              <w:spacing w:after="0" w:line="217" w:lineRule="exact"/>
              <w:rPr>
                <w:sz w:val="20"/>
                <w:szCs w:val="20"/>
                <w:color w:val="auto"/>
              </w:rPr>
            </w:pPr>
            <w:r>
              <w:rPr>
                <w:rFonts w:ascii="Arial" w:cs="Arial" w:eastAsia="Arial" w:hAnsi="Arial"/>
                <w:sz w:val="22"/>
                <w:szCs w:val="22"/>
                <w:b w:val="1"/>
                <w:bCs w:val="1"/>
                <w:color w:val="auto"/>
              </w:rPr>
              <w:t>Accepted and agreed:</w:t>
            </w:r>
          </w:p>
        </w:tc>
        <w:tc>
          <w:tcPr>
            <w:tcW w:w="0" w:type="dxa"/>
            <w:vAlign w:val="bottom"/>
          </w:tcPr>
          <w:p>
            <w:pPr>
              <w:spacing w:after="0"/>
              <w:rPr>
                <w:sz w:val="1"/>
                <w:szCs w:val="1"/>
                <w:color w:val="auto"/>
              </w:rPr>
            </w:pPr>
          </w:p>
        </w:tc>
      </w:tr>
      <w:tr>
        <w:trPr>
          <w:trHeight w:val="216"/>
        </w:trPr>
        <w:tc>
          <w:tcPr>
            <w:tcW w:w="4320" w:type="dxa"/>
            <w:vAlign w:val="bottom"/>
            <w:gridSpan w:val="4"/>
          </w:tcPr>
          <w:p>
            <w:pPr>
              <w:spacing w:after="0" w:line="217" w:lineRule="exact"/>
              <w:rPr>
                <w:sz w:val="20"/>
                <w:szCs w:val="20"/>
                <w:color w:val="auto"/>
              </w:rPr>
            </w:pPr>
            <w:r>
              <w:rPr>
                <w:rFonts w:ascii="Arial" w:cs="Arial" w:eastAsia="Arial" w:hAnsi="Arial"/>
                <w:sz w:val="22"/>
                <w:szCs w:val="22"/>
                <w:b w:val="1"/>
                <w:bCs w:val="1"/>
                <w:color w:val="auto"/>
              </w:rPr>
              <w:t>agreement and have been given the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tcPr>
          <w:p>
            <w:pPr>
              <w:spacing w:after="0" w:line="217" w:lineRule="exact"/>
              <w:rPr>
                <w:sz w:val="20"/>
                <w:szCs w:val="20"/>
                <w:color w:val="auto"/>
              </w:rPr>
            </w:pPr>
            <w:r>
              <w:rPr>
                <w:rFonts w:ascii="Arial" w:cs="Arial" w:eastAsia="Arial" w:hAnsi="Arial"/>
                <w:sz w:val="22"/>
                <w:szCs w:val="22"/>
                <w:b w:val="1"/>
                <w:bCs w:val="1"/>
                <w:color w:val="auto"/>
                <w:w w:val="98"/>
              </w:rPr>
              <w:t>opportunity to Review it with independent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320" w:type="dxa"/>
            <w:vAlign w:val="bottom"/>
            <w:gridSpan w:val="4"/>
          </w:tcPr>
          <w:p>
            <w:pPr>
              <w:spacing w:after="0"/>
              <w:rPr>
                <w:sz w:val="20"/>
                <w:szCs w:val="20"/>
                <w:color w:val="auto"/>
              </w:rPr>
            </w:pPr>
            <w:r>
              <w:rPr>
                <w:rFonts w:ascii="Arial" w:cs="Arial" w:eastAsia="Arial" w:hAnsi="Arial"/>
                <w:sz w:val="22"/>
                <w:szCs w:val="22"/>
                <w:b w:val="1"/>
                <w:bCs w:val="1"/>
                <w:color w:val="auto"/>
              </w:rPr>
              <w:t>legal counsel.</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4320" w:type="dxa"/>
            <w:vAlign w:val="bottom"/>
            <w:gridSpan w:val="4"/>
          </w:tcPr>
          <w:p>
            <w:pPr>
              <w:spacing w:after="0"/>
              <w:rPr>
                <w:sz w:val="20"/>
                <w:szCs w:val="20"/>
                <w:color w:val="auto"/>
              </w:rPr>
            </w:pPr>
            <w:r>
              <w:rPr>
                <w:rFonts w:ascii="Arial" w:cs="Arial" w:eastAsia="Arial" w:hAnsi="Arial"/>
                <w:sz w:val="22"/>
                <w:szCs w:val="22"/>
                <w:color w:val="auto"/>
              </w:rPr>
              <w:t>/s/ Phillip LoPresti</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22"/>
                <w:szCs w:val="22"/>
                <w:color w:val="auto"/>
              </w:rPr>
              <w:t>/s/ Amy McKillip</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300" w:type="dxa"/>
            <w:vAlign w:val="bottom"/>
            <w:tcBorders>
              <w:top w:val="single" w:sz="8" w:color="auto"/>
            </w:tcBorders>
            <w:gridSpan w:val="3"/>
          </w:tcPr>
          <w:p>
            <w:pPr>
              <w:spacing w:after="0"/>
              <w:rPr>
                <w:sz w:val="20"/>
                <w:szCs w:val="20"/>
                <w:color w:val="auto"/>
              </w:rPr>
            </w:pPr>
            <w:r>
              <w:rPr>
                <w:rFonts w:ascii="Arial" w:cs="Arial" w:eastAsia="Arial" w:hAnsi="Arial"/>
                <w:sz w:val="22"/>
                <w:szCs w:val="22"/>
                <w:i w:val="1"/>
                <w:iCs w:val="1"/>
                <w:color w:val="auto"/>
              </w:rPr>
              <w:t>(Signature)</w:t>
            </w:r>
          </w:p>
        </w:tc>
        <w:tc>
          <w:tcPr>
            <w:tcW w:w="240" w:type="dxa"/>
            <w:vAlign w:val="bottom"/>
          </w:tcPr>
          <w:p>
            <w:pPr>
              <w:spacing w:after="0"/>
              <w:rPr>
                <w:sz w:val="23"/>
                <w:szCs w:val="23"/>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22"/>
                <w:szCs w:val="22"/>
                <w:i w:val="1"/>
                <w:iCs w:val="1"/>
                <w:color w:val="auto"/>
              </w:rPr>
              <w:t>(Signature)</w:t>
            </w:r>
          </w:p>
        </w:tc>
        <w:tc>
          <w:tcPr>
            <w:tcW w:w="0" w:type="dxa"/>
            <w:vAlign w:val="bottom"/>
          </w:tcPr>
          <w:p>
            <w:pPr>
              <w:spacing w:after="0"/>
              <w:rPr>
                <w:sz w:val="1"/>
                <w:szCs w:val="1"/>
                <w:color w:val="auto"/>
              </w:rPr>
            </w:pPr>
          </w:p>
        </w:tc>
      </w:tr>
      <w:tr>
        <w:trPr>
          <w:trHeight w:val="374"/>
        </w:trPr>
        <w:tc>
          <w:tcPr>
            <w:tcW w:w="660" w:type="dxa"/>
            <w:vAlign w:val="bottom"/>
            <w:gridSpan w:val="2"/>
          </w:tcPr>
          <w:p>
            <w:pPr>
              <w:spacing w:after="0"/>
              <w:rPr>
                <w:sz w:val="20"/>
                <w:szCs w:val="20"/>
                <w:color w:val="auto"/>
              </w:rPr>
            </w:pPr>
            <w:r>
              <w:rPr>
                <w:rFonts w:ascii="Arial" w:cs="Arial" w:eastAsia="Arial" w:hAnsi="Arial"/>
                <w:sz w:val="22"/>
                <w:szCs w:val="22"/>
                <w:color w:val="auto"/>
              </w:rPr>
              <w:t>By</w:t>
            </w:r>
          </w:p>
        </w:tc>
        <w:tc>
          <w:tcPr>
            <w:tcW w:w="3660" w:type="dxa"/>
            <w:vAlign w:val="bottom"/>
            <w:gridSpan w:val="2"/>
          </w:tcPr>
          <w:p>
            <w:pPr>
              <w:ind w:left="200"/>
              <w:spacing w:after="0"/>
              <w:rPr>
                <w:sz w:val="20"/>
                <w:szCs w:val="20"/>
                <w:color w:val="auto"/>
              </w:rPr>
            </w:pPr>
            <w:r>
              <w:rPr>
                <w:rFonts w:ascii="Arial" w:cs="Arial" w:eastAsia="Arial" w:hAnsi="Arial"/>
                <w:sz w:val="22"/>
                <w:szCs w:val="22"/>
                <w:color w:val="auto"/>
              </w:rPr>
              <w:t>Phillip LoPresti</w:t>
            </w:r>
          </w:p>
        </w:tc>
        <w:tc>
          <w:tcPr>
            <w:tcW w:w="2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spacing w:after="0"/>
              <w:rPr>
                <w:sz w:val="20"/>
                <w:szCs w:val="20"/>
                <w:color w:val="auto"/>
              </w:rPr>
            </w:pPr>
            <w:r>
              <w:rPr>
                <w:rFonts w:ascii="Arial" w:cs="Arial" w:eastAsia="Arial" w:hAnsi="Arial"/>
                <w:sz w:val="22"/>
                <w:szCs w:val="22"/>
                <w:color w:val="auto"/>
              </w:rPr>
              <w:t>Amy McKillip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2"/>
          </w:tcPr>
          <w:p>
            <w:pPr>
              <w:spacing w:after="0"/>
              <w:rPr>
                <w:sz w:val="20"/>
                <w:szCs w:val="20"/>
                <w:color w:val="auto"/>
              </w:rPr>
            </w:pPr>
            <w:r>
              <w:rPr>
                <w:rFonts w:ascii="Arial" w:cs="Arial" w:eastAsia="Arial" w:hAnsi="Arial"/>
                <w:sz w:val="22"/>
                <w:szCs w:val="22"/>
                <w:color w:val="auto"/>
              </w:rPr>
              <w:t>Title:</w:t>
            </w:r>
          </w:p>
        </w:tc>
        <w:tc>
          <w:tcPr>
            <w:tcW w:w="3660" w:type="dxa"/>
            <w:vAlign w:val="bottom"/>
            <w:gridSpan w:val="2"/>
          </w:tcPr>
          <w:p>
            <w:pPr>
              <w:ind w:left="200"/>
              <w:spacing w:after="0"/>
              <w:rPr>
                <w:sz w:val="20"/>
                <w:szCs w:val="20"/>
                <w:color w:val="auto"/>
              </w:rPr>
            </w:pPr>
            <w:r>
              <w:rPr>
                <w:rFonts w:ascii="Arial" w:cs="Arial" w:eastAsia="Arial" w:hAnsi="Arial"/>
                <w:sz w:val="22"/>
                <w:szCs w:val="22"/>
                <w:color w:val="auto"/>
              </w:rPr>
              <w:t>CEO</w:t>
            </w:r>
          </w:p>
        </w:tc>
        <w:tc>
          <w:tcPr>
            <w:tcW w:w="2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spacing w:after="0"/>
              <w:rPr>
                <w:sz w:val="20"/>
                <w:szCs w:val="20"/>
                <w:color w:val="auto"/>
              </w:rPr>
            </w:pPr>
            <w:r>
              <w:rPr>
                <w:rFonts w:ascii="Arial" w:cs="Arial" w:eastAsia="Arial" w:hAnsi="Arial"/>
                <w:sz w:val="22"/>
                <w:szCs w:val="22"/>
                <w:color w:val="auto"/>
              </w:rPr>
              <w:t>Accountant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2"/>
          </w:tcPr>
          <w:p>
            <w:pPr>
              <w:spacing w:after="0"/>
              <w:rPr>
                <w:sz w:val="20"/>
                <w:szCs w:val="20"/>
                <w:color w:val="auto"/>
              </w:rPr>
            </w:pPr>
            <w:r>
              <w:rPr>
                <w:rFonts w:ascii="Arial" w:cs="Arial" w:eastAsia="Arial" w:hAnsi="Arial"/>
                <w:sz w:val="22"/>
                <w:szCs w:val="22"/>
                <w:color w:val="auto"/>
              </w:rPr>
              <w:t>Date:</w:t>
            </w:r>
          </w:p>
        </w:tc>
        <w:tc>
          <w:tcPr>
            <w:tcW w:w="3660" w:type="dxa"/>
            <w:vAlign w:val="bottom"/>
            <w:gridSpan w:val="2"/>
          </w:tcPr>
          <w:p>
            <w:pPr>
              <w:ind w:left="200"/>
              <w:spacing w:after="0"/>
              <w:rPr>
                <w:sz w:val="20"/>
                <w:szCs w:val="20"/>
                <w:color w:val="auto"/>
              </w:rPr>
            </w:pPr>
            <w:r>
              <w:rPr>
                <w:rFonts w:ascii="Arial" w:cs="Arial" w:eastAsia="Arial" w:hAnsi="Arial"/>
                <w:sz w:val="22"/>
                <w:szCs w:val="22"/>
                <w:color w:val="auto"/>
              </w:rPr>
              <w:t>May 23, 2010</w:t>
            </w:r>
          </w:p>
        </w:tc>
        <w:tc>
          <w:tcPr>
            <w:tcW w:w="2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color w:val="auto"/>
              </w:rPr>
              <w:t>Date:</w:t>
            </w:r>
          </w:p>
        </w:tc>
        <w:tc>
          <w:tcPr>
            <w:tcW w:w="3660" w:type="dxa"/>
            <w:vAlign w:val="bottom"/>
          </w:tcPr>
          <w:p>
            <w:pPr>
              <w:spacing w:after="0"/>
              <w:rPr>
                <w:sz w:val="20"/>
                <w:szCs w:val="20"/>
                <w:color w:val="auto"/>
              </w:rPr>
            </w:pPr>
            <w:r>
              <w:rPr>
                <w:rFonts w:ascii="Arial" w:cs="Arial" w:eastAsia="Arial" w:hAnsi="Arial"/>
                <w:sz w:val="22"/>
                <w:szCs w:val="22"/>
                <w:color w:val="auto"/>
              </w:rPr>
              <w:t>May 23,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gridSpan w:val="4"/>
          </w:tcPr>
          <w:p>
            <w:pPr>
              <w:spacing w:after="0"/>
              <w:rPr>
                <w:sz w:val="20"/>
                <w:szCs w:val="20"/>
                <w:color w:val="auto"/>
              </w:rPr>
            </w:pPr>
            <w:r>
              <w:rPr>
                <w:rFonts w:ascii="Arial" w:cs="Arial" w:eastAsia="Arial" w:hAnsi="Arial"/>
                <w:sz w:val="22"/>
                <w:szCs w:val="22"/>
                <w:color w:val="auto"/>
              </w:rPr>
              <w:t>Address: 205 Vailco Lane, Austin, TX</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22"/>
                <w:szCs w:val="22"/>
                <w:color w:val="auto"/>
                <w:w w:val="90"/>
              </w:rPr>
              <w:t>Address: 1300 N Alma School, Chandler AZ 85224</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4" w:right="141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Exhibit A</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INVENTIONS</w:t>
      </w:r>
    </w:p>
    <w:p>
      <w:pPr>
        <w:spacing w:after="0" w:line="152" w:lineRule="exact"/>
        <w:rPr>
          <w:sz w:val="20"/>
          <w:szCs w:val="20"/>
          <w:color w:val="auto"/>
        </w:rPr>
      </w:pPr>
    </w:p>
    <w:p>
      <w:pPr>
        <w:ind w:right="239" w:firstLine="3"/>
        <w:spacing w:after="0" w:line="225" w:lineRule="auto"/>
        <w:tabs>
          <w:tab w:leader="none" w:pos="81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Prior Inventions Disclosure. </w:t>
      </w:r>
      <w:r>
        <w:rPr>
          <w:rFonts w:ascii="Arial" w:cs="Arial" w:eastAsia="Arial" w:hAnsi="Arial"/>
          <w:sz w:val="22"/>
          <w:szCs w:val="22"/>
          <w:color w:val="auto"/>
        </w:rPr>
        <w:t>The following is a complete list of all Prior Inventions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Section 2.2 of the attached Employee Proprietary Information and Inventions Assignment Agreement, defined herein as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18" w:lineRule="exact"/>
        <w:rPr>
          <w:sz w:val="20"/>
          <w:szCs w:val="20"/>
          <w:color w:val="auto"/>
        </w:rPr>
      </w:pPr>
    </w:p>
    <w:p>
      <w:pPr>
        <w:ind w:left="820" w:hanging="817"/>
        <w:spacing w:after="0"/>
        <w:tabs>
          <w:tab w:leader="none" w:pos="820" w:val="left"/>
        </w:tabs>
        <w:numPr>
          <w:ilvl w:val="0"/>
          <w:numId w:val="20"/>
        </w:numPr>
        <w:rPr>
          <w:rFonts w:ascii="MS PGothic" w:cs="MS PGothic" w:eastAsia="MS PGothic" w:hAnsi="MS PGothic"/>
          <w:sz w:val="20"/>
          <w:szCs w:val="20"/>
          <w:color w:val="auto"/>
        </w:rPr>
      </w:pPr>
      <w:r>
        <w:rPr>
          <w:rFonts w:ascii="Arial" w:cs="Arial" w:eastAsia="Arial" w:hAnsi="Arial"/>
          <w:sz w:val="22"/>
          <w:szCs w:val="22"/>
          <w:color w:val="auto"/>
        </w:rPr>
        <w:t>None</w:t>
      </w:r>
    </w:p>
    <w:p>
      <w:pPr>
        <w:spacing w:after="0" w:line="139" w:lineRule="exact"/>
        <w:rPr>
          <w:sz w:val="20"/>
          <w:szCs w:val="20"/>
          <w:color w:val="auto"/>
        </w:rPr>
      </w:pPr>
    </w:p>
    <w:p>
      <w:pPr>
        <w:ind w:left="840" w:hanging="837"/>
        <w:spacing w:after="0"/>
        <w:tabs>
          <w:tab w:leader="none" w:pos="840" w:val="left"/>
        </w:tabs>
        <w:numPr>
          <w:ilvl w:val="0"/>
          <w:numId w:val="21"/>
        </w:numPr>
        <w:rPr>
          <w:rFonts w:ascii="MS PGothic" w:cs="MS PGothic" w:eastAsia="MS PGothic" w:hAnsi="MS PGothic"/>
          <w:sz w:val="22"/>
          <w:szCs w:val="22"/>
          <w:color w:val="auto"/>
        </w:rPr>
      </w:pPr>
      <w:r>
        <w:rPr>
          <w:rFonts w:ascii="Arial" w:cs="Arial" w:eastAsia="Arial" w:hAnsi="Arial"/>
          <w:sz w:val="22"/>
          <w:szCs w:val="22"/>
          <w:color w:val="auto"/>
        </w:rPr>
        <w:t>See immediately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57543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57543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820" w:hanging="817"/>
        <w:spacing w:after="0"/>
        <w:tabs>
          <w:tab w:leader="none" w:pos="8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Limited Exclusion Notification.</w:t>
      </w:r>
    </w:p>
    <w:p>
      <w:pPr>
        <w:spacing w:after="0" w:line="139" w:lineRule="exact"/>
        <w:rPr>
          <w:sz w:val="20"/>
          <w:szCs w:val="20"/>
          <w:color w:val="auto"/>
        </w:rPr>
      </w:pPr>
    </w:p>
    <w:p>
      <w:pPr>
        <w:ind w:right="19"/>
        <w:spacing w:after="0" w:line="260" w:lineRule="auto"/>
        <w:rPr>
          <w:sz w:val="20"/>
          <w:szCs w:val="20"/>
          <w:color w:val="auto"/>
        </w:rPr>
      </w:pPr>
      <w:r>
        <w:rPr>
          <w:rFonts w:ascii="Arial" w:cs="Arial" w:eastAsia="Arial" w:hAnsi="Arial"/>
          <w:sz w:val="19"/>
          <w:szCs w:val="19"/>
          <w:b w:val="1"/>
          <w:bCs w:val="1"/>
          <w:color w:val="auto"/>
        </w:rPr>
        <w:t xml:space="preserve">This is to notify </w:t>
      </w:r>
      <w:r>
        <w:rPr>
          <w:rFonts w:ascii="Arial" w:cs="Arial" w:eastAsia="Arial" w:hAnsi="Arial"/>
          <w:sz w:val="19"/>
          <w:szCs w:val="19"/>
          <w:color w:val="auto"/>
        </w:rPr>
        <w:t>you in accordance with any applicable Specific Inventions Law that the foregoing</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pacing w:after="0" w:line="99" w:lineRule="exact"/>
        <w:rPr>
          <w:sz w:val="20"/>
          <w:szCs w:val="20"/>
          <w:color w:val="auto"/>
        </w:rPr>
      </w:pPr>
    </w:p>
    <w:p>
      <w:pPr>
        <w:ind w:right="279" w:firstLine="3"/>
        <w:spacing w:after="0" w:line="232" w:lineRule="auto"/>
        <w:tabs>
          <w:tab w:leader="none" w:pos="81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32" w:lineRule="exact"/>
        <w:rPr>
          <w:rFonts w:ascii="Arial" w:cs="Arial" w:eastAsia="Arial" w:hAnsi="Arial"/>
          <w:sz w:val="22"/>
          <w:szCs w:val="22"/>
          <w:b w:val="1"/>
          <w:bCs w:val="1"/>
          <w:color w:val="auto"/>
        </w:rPr>
      </w:pPr>
    </w:p>
    <w:p>
      <w:pPr>
        <w:ind w:left="820" w:hanging="817"/>
        <w:spacing w:after="0"/>
        <w:tabs>
          <w:tab w:leader="none" w:pos="82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Result from any work performed by you for Company.</w:t>
      </w:r>
    </w:p>
    <w:p>
      <w:pPr>
        <w:spacing w:after="0" w:line="139" w:lineRule="exact"/>
        <w:rPr>
          <w:sz w:val="20"/>
          <w:szCs w:val="20"/>
          <w:color w:val="auto"/>
        </w:rPr>
      </w:pPr>
    </w:p>
    <w:p>
      <w:pPr>
        <w:ind w:right="79"/>
        <w:spacing w:after="0" w:line="22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19" w:lineRule="exact"/>
        <w:rPr>
          <w:sz w:val="20"/>
          <w:szCs w:val="20"/>
          <w:color w:val="auto"/>
        </w:rPr>
      </w:pPr>
    </w:p>
    <w:p>
      <w:pPr>
        <w:ind w:right="219"/>
        <w:spacing w:after="0" w:line="223" w:lineRule="auto"/>
        <w:rPr>
          <w:sz w:val="20"/>
          <w:szCs w:val="20"/>
          <w:color w:val="auto"/>
        </w:rPr>
      </w:pPr>
      <w:r>
        <w:rPr>
          <w:rFonts w:ascii="Arial" w:cs="Arial" w:eastAsia="Arial" w:hAnsi="Arial"/>
          <w:sz w:val="22"/>
          <w:szCs w:val="22"/>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741045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98"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10.3</w:t>
      </w:r>
    </w:p>
    <w:p>
      <w:pPr>
        <w:spacing w:after="0" w:line="148"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EVERSPIN TECHNOLOGIES, INC.</w:t>
      </w:r>
    </w:p>
    <w:p>
      <w:pPr>
        <w:spacing w:after="0" w:line="129"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RESTRICTED STOCK UNIT GRANT NOTICE</w:t>
      </w: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132"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Everspin Technologies,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its 2016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a Restricted Stock Unit Award for the number of shares of the Company’s Common Stock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notice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grant (this “</w:t>
      </w:r>
      <w:r>
        <w:rPr>
          <w:rFonts w:ascii="Arial" w:cs="Arial" w:eastAsia="Arial" w:hAnsi="Arial"/>
          <w:sz w:val="20"/>
          <w:szCs w:val="20"/>
          <w:b w:val="1"/>
          <w:bCs w:val="1"/>
          <w:i w:val="1"/>
          <w:iCs w:val="1"/>
          <w:color w:val="auto"/>
        </w:rPr>
        <w:t>Restricted Stock Unit Grant Notice</w:t>
      </w:r>
      <w:r>
        <w:rPr>
          <w:rFonts w:ascii="Arial" w:cs="Arial" w:eastAsia="Arial" w:hAnsi="Arial"/>
          <w:sz w:val="20"/>
          <w:szCs w:val="20"/>
          <w:color w:val="auto"/>
        </w:rPr>
        <w:t>”), and in the Plan and the Restricted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Participant: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-134620</wp:posOffset>
            </wp:positionV>
            <wp:extent cx="19380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-134620</wp:posOffset>
            </wp:positionV>
            <wp:extent cx="1938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27305</wp:posOffset>
            </wp:positionV>
            <wp:extent cx="19380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-134620</wp:posOffset>
            </wp:positionV>
            <wp:extent cx="19380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220" w:type="dxa"/>
            <w:vAlign w:val="bottom"/>
          </w:tcPr>
          <w:p>
            <w:pPr>
              <w:ind w:left="160"/>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20"/>
                <w:szCs w:val="20"/>
                <w:color w:val="auto"/>
                <w:w w:val="97"/>
              </w:rPr>
              <w:t>, subject to Participant’s Continuous Service through each such vesting date.]</w:t>
            </w:r>
          </w:p>
        </w:tc>
      </w:tr>
      <w:tr>
        <w:trPr>
          <w:trHeight w:val="345"/>
        </w:trPr>
        <w:tc>
          <w:tcPr>
            <w:tcW w:w="1780" w:type="dxa"/>
            <w:vAlign w:val="bottom"/>
          </w:tcPr>
          <w:p>
            <w:pPr>
              <w:spacing w:after="0"/>
              <w:rPr>
                <w:sz w:val="20"/>
                <w:szCs w:val="20"/>
                <w:color w:val="auto"/>
              </w:rPr>
            </w:pPr>
            <w:r>
              <w:rPr>
                <w:rFonts w:ascii="Arial" w:cs="Arial" w:eastAsia="Arial" w:hAnsi="Arial"/>
                <w:sz w:val="20"/>
                <w:szCs w:val="20"/>
                <w:b w:val="1"/>
                <w:bCs w:val="1"/>
                <w:color w:val="auto"/>
                <w:w w:val="94"/>
              </w:rPr>
              <w:t>Issuance Schedule:</w:t>
            </w:r>
          </w:p>
        </w:tc>
        <w:tc>
          <w:tcPr>
            <w:tcW w:w="8280" w:type="dxa"/>
            <w:vAlign w:val="bottom"/>
            <w:gridSpan w:val="3"/>
          </w:tcPr>
          <w:p>
            <w:pPr>
              <w:ind w:left="220"/>
              <w:spacing w:after="0"/>
              <w:rPr>
                <w:sz w:val="20"/>
                <w:szCs w:val="20"/>
                <w:color w:val="auto"/>
              </w:rPr>
            </w:pPr>
            <w:r>
              <w:rPr>
                <w:rFonts w:ascii="Arial" w:cs="Arial" w:eastAsia="Arial" w:hAnsi="Arial"/>
                <w:sz w:val="20"/>
                <w:szCs w:val="20"/>
                <w:color w:val="auto"/>
                <w:w w:val="90"/>
              </w:rPr>
              <w:t>Subject to any Capitalization Adjustment, one share of Common Stock (or its cash equivalent, at the</w:t>
            </w:r>
          </w:p>
        </w:tc>
      </w:tr>
      <w:tr>
        <w:trPr>
          <w:trHeight w:val="189"/>
        </w:trPr>
        <w:tc>
          <w:tcPr>
            <w:tcW w:w="1780" w:type="dxa"/>
            <w:vAlign w:val="bottom"/>
          </w:tcPr>
          <w:p>
            <w:pPr>
              <w:spacing w:after="0"/>
              <w:rPr>
                <w:sz w:val="16"/>
                <w:szCs w:val="16"/>
                <w:color w:val="auto"/>
              </w:rPr>
            </w:pPr>
          </w:p>
        </w:tc>
        <w:tc>
          <w:tcPr>
            <w:tcW w:w="82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94"/>
              </w:rPr>
              <w:t>discretion of the Company) will be issued for each Restricted Stock Unit that vests at the time set</w:t>
            </w:r>
          </w:p>
        </w:tc>
      </w:tr>
      <w:tr>
        <w:trPr>
          <w:trHeight w:val="250"/>
        </w:trPr>
        <w:tc>
          <w:tcPr>
            <w:tcW w:w="1780" w:type="dxa"/>
            <w:vAlign w:val="bottom"/>
          </w:tcPr>
          <w:p>
            <w:pPr>
              <w:spacing w:after="0"/>
              <w:rPr>
                <w:sz w:val="21"/>
                <w:szCs w:val="21"/>
                <w:color w:val="auto"/>
              </w:rPr>
            </w:pPr>
          </w:p>
        </w:tc>
        <w:tc>
          <w:tcPr>
            <w:tcW w:w="8280" w:type="dxa"/>
            <w:vAlign w:val="bottom"/>
            <w:gridSpan w:val="3"/>
          </w:tcPr>
          <w:p>
            <w:pPr>
              <w:ind w:left="160"/>
              <w:spacing w:after="0"/>
              <w:rPr>
                <w:sz w:val="20"/>
                <w:szCs w:val="20"/>
                <w:color w:val="auto"/>
              </w:rPr>
            </w:pPr>
            <w:r>
              <w:rPr>
                <w:rFonts w:ascii="Arial" w:cs="Arial" w:eastAsia="Arial" w:hAnsi="Arial"/>
                <w:sz w:val="20"/>
                <w:szCs w:val="20"/>
                <w:color w:val="auto"/>
              </w:rPr>
              <w:t>forth in Section 6 of the Award Agreement.</w:t>
            </w:r>
          </w:p>
        </w:tc>
      </w:tr>
    </w:tbl>
    <w:p>
      <w:pPr>
        <w:spacing w:after="0" w:line="118" w:lineRule="exact"/>
        <w:rPr>
          <w:sz w:val="20"/>
          <w:szCs w:val="20"/>
          <w:color w:val="auto"/>
        </w:rPr>
      </w:pPr>
    </w:p>
    <w:p>
      <w:pPr>
        <w:jc w:val="both"/>
        <w:ind w:left="1940" w:hanging="1944"/>
        <w:spacing w:after="0" w:line="214" w:lineRule="auto"/>
        <w:rPr>
          <w:sz w:val="20"/>
          <w:szCs w:val="20"/>
          <w:color w:val="auto"/>
        </w:rPr>
      </w:pPr>
      <w:r>
        <w:rPr>
          <w:rFonts w:ascii="Arial" w:cs="Arial" w:eastAsia="Arial" w:hAnsi="Arial"/>
          <w:sz w:val="19"/>
          <w:szCs w:val="19"/>
          <w:b w:val="1"/>
          <w:bCs w:val="1"/>
          <w:color w:val="auto"/>
        </w:rPr>
        <w:t xml:space="preserve">Sell to Cover Election: </w:t>
      </w:r>
      <w:r>
        <w:rPr>
          <w:rFonts w:ascii="Arial" w:cs="Arial" w:eastAsia="Arial" w:hAnsi="Arial"/>
          <w:sz w:val="19"/>
          <w:szCs w:val="19"/>
          <w:color w:val="auto"/>
        </w:rPr>
        <w:t>By accepting this Award, Participant hereby: (1) elects, effective on the date Participant accepts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Award, to sell shares of Common Stock issued in respect of the Award in an amount determined in accordance with Section 11(b) of the Award Agreement, and to allow the Agent to remit the cash proceeds of such sale to the Company as more specifically set forth in Section 11(b) of the Award Agreement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xml:space="preserve">”); (2) directs the Company to make a cash payment to satisfy the Withholding Obligation from the cash proceeds of such sale directly to the appropriate taxing authorities; and (3) </w:t>
      </w:r>
      <w:r>
        <w:rPr>
          <w:rFonts w:ascii="Arial" w:cs="Arial" w:eastAsia="Arial" w:hAnsi="Arial"/>
          <w:sz w:val="19"/>
          <w:szCs w:val="19"/>
          <w:b w:val="1"/>
          <w:bCs w:val="1"/>
          <w:color w:val="auto"/>
        </w:rPr>
        <w:t>represents and warrants that (i) Participant has carefully reviewed Section</w:t>
      </w:r>
      <w:r>
        <w:rPr>
          <w:rFonts w:ascii="Arial" w:cs="Arial" w:eastAsia="Arial" w:hAnsi="Arial"/>
          <w:sz w:val="19"/>
          <w:szCs w:val="19"/>
          <w:color w:val="auto"/>
        </w:rPr>
        <w:t xml:space="preserve"> </w:t>
      </w:r>
      <w:r>
        <w:rPr>
          <w:rFonts w:ascii="Arial" w:cs="Arial" w:eastAsia="Arial" w:hAnsi="Arial"/>
          <w:sz w:val="19"/>
          <w:szCs w:val="19"/>
          <w:b w:val="1"/>
          <w:bCs w:val="1"/>
          <w:color w:val="auto"/>
        </w:rPr>
        <w:t>11(b) of the Award Agreement, (ii) on the date Participant accepts this Award he or she is not aware of any material, nonpublic information with respect to the Company or any securities of the Company, is not subject to any legal, regulatory or contractual restriction that would prevent the Agent from conducting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6388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292" w:right="919" w:bottom="1440" w:gutter="0" w:footer="0" w:header="0"/>
        </w:sectPr>
      </w:pPr>
    </w:p>
    <w:bookmarkStart w:id="72" w:name="page73"/>
    <w:bookmarkEnd w:id="72"/>
    <w:p>
      <w:pPr>
        <w:jc w:val="both"/>
        <w:ind w:left="1940"/>
        <w:spacing w:after="0" w:line="225" w:lineRule="auto"/>
        <w:rPr>
          <w:sz w:val="20"/>
          <w:szCs w:val="20"/>
          <w:color w:val="auto"/>
        </w:rPr>
      </w:pPr>
      <w:r>
        <w:rPr>
          <w:rFonts w:ascii="Arial" w:cs="Arial" w:eastAsia="Arial" w:hAnsi="Arial"/>
          <w:sz w:val="18"/>
          <w:szCs w:val="18"/>
          <w:b w:val="1"/>
          <w:bCs w:val="1"/>
          <w:color w:val="auto"/>
        </w:rPr>
        <w:t>does not have, and will not attempt to exercise, authority, influence or control over any sales of Common Stock effected by the Agent pursuant to the Award Agreement, and is entering into the Restricted Stock Unit Grant Notice and Award Agreement and this election to Sell to Cover in good faith and not as part of a plan or scheme to evade the prohibitions of Rule 10b5-1 (regarding trading of the Company's securities on the basis of material nonpublic information) under the Exchange Act, and (iii) it is Participant’s intent that this election to Sell to Cover and Section 11(b) of the Award Agreement comply with the requirements of Rule 10b5-1(c)(1) under the Exchange Act and be interpreted to comply with the requirements of Rule 10b5-1(c) under the Exchange Act. The Participant further acknowledges that by accepting this Award, Participant is adopting a 10b5-1 Plan (as defined in Section 11(b) of the Award Agreement) to permit Participant to conduct a Sell to Cover sufficient to satisfy the Withholding Obligation as more specifically set forth in Section 11(b) of the Award Agreement.</w:t>
      </w:r>
    </w:p>
    <w:p>
      <w:pPr>
        <w:spacing w:after="0" w:line="129" w:lineRule="exact"/>
        <w:rPr>
          <w:sz w:val="20"/>
          <w:szCs w:val="20"/>
          <w:color w:val="auto"/>
        </w:rPr>
      </w:pPr>
    </w:p>
    <w:p>
      <w:pPr>
        <w:jc w:val="both"/>
        <w:spacing w:after="0" w:line="205" w:lineRule="auto"/>
        <w:rPr>
          <w:sz w:val="20"/>
          <w:szCs w:val="20"/>
          <w:color w:val="auto"/>
        </w:rPr>
      </w:pPr>
      <w:r>
        <w:rPr>
          <w:rFonts w:ascii="Arial" w:cs="Arial" w:eastAsia="Arial" w:hAnsi="Arial"/>
          <w:sz w:val="20"/>
          <w:szCs w:val="20"/>
          <w:b w:val="1"/>
          <w:bCs w:val="1"/>
          <w:color w:val="auto"/>
        </w:rPr>
        <w:t xml:space="preserve">Additional Terms/Acknowledgements: </w:t>
      </w:r>
      <w:r>
        <w:rPr>
          <w:rFonts w:ascii="Arial" w:cs="Arial" w:eastAsia="Arial" w:hAnsi="Arial"/>
          <w:sz w:val="20"/>
          <w:szCs w:val="20"/>
          <w:color w:val="auto"/>
        </w:rPr>
        <w:t>Participant acknowledges receipt of, and understands and agrees to, this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 Grant 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29"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80" w:type="dxa"/>
            <w:vAlign w:val="bottom"/>
            <w:gridSpan w:val="2"/>
          </w:tcPr>
          <w:p>
            <w:pPr>
              <w:spacing w:after="0"/>
              <w:rPr>
                <w:sz w:val="20"/>
                <w:szCs w:val="20"/>
                <w:color w:val="auto"/>
              </w:rPr>
            </w:pPr>
            <w:r>
              <w:rPr>
                <w:rFonts w:ascii="Arial" w:cs="Arial" w:eastAsia="Arial" w:hAnsi="Arial"/>
                <w:sz w:val="20"/>
                <w:szCs w:val="20"/>
                <w:b w:val="1"/>
                <w:bCs w:val="1"/>
                <w:color w:val="auto"/>
              </w:rPr>
              <w:t>EVERSPIN TECHNOLOGIES, INC.</w:t>
            </w:r>
          </w:p>
        </w:tc>
        <w:tc>
          <w:tcPr>
            <w:tcW w:w="5080" w:type="dxa"/>
            <w:vAlign w:val="bottom"/>
            <w:gridSpan w:val="3"/>
          </w:tcPr>
          <w:p>
            <w:pPr>
              <w:ind w:left="200"/>
              <w:spacing w:after="0"/>
              <w:rPr>
                <w:sz w:val="20"/>
                <w:szCs w:val="20"/>
                <w:color w:val="auto"/>
              </w:rPr>
            </w:pPr>
            <w:r>
              <w:rPr>
                <w:rFonts w:ascii="Arial" w:cs="Arial" w:eastAsia="Arial" w:hAnsi="Arial"/>
                <w:sz w:val="20"/>
                <w:szCs w:val="20"/>
                <w:b w:val="1"/>
                <w:bCs w:val="1"/>
                <w:color w:val="auto"/>
              </w:rPr>
              <w:t>PARTICIPANT</w:t>
            </w:r>
          </w:p>
        </w:tc>
        <w:tc>
          <w:tcPr>
            <w:tcW w:w="0" w:type="dxa"/>
            <w:vAlign w:val="bottom"/>
          </w:tcPr>
          <w:p>
            <w:pPr>
              <w:spacing w:after="0"/>
              <w:rPr>
                <w:sz w:val="1"/>
                <w:szCs w:val="1"/>
                <w:color w:val="auto"/>
              </w:rPr>
            </w:pPr>
          </w:p>
        </w:tc>
      </w:tr>
      <w:tr>
        <w:trPr>
          <w:trHeight w:val="486"/>
        </w:trPr>
        <w:tc>
          <w:tcPr>
            <w:tcW w:w="4980" w:type="dxa"/>
            <w:vAlign w:val="bottom"/>
            <w:gridSpan w:val="2"/>
          </w:tcPr>
          <w:p>
            <w:pPr>
              <w:spacing w:after="0"/>
              <w:rPr>
                <w:sz w:val="20"/>
                <w:szCs w:val="20"/>
                <w:color w:val="auto"/>
              </w:rPr>
            </w:pPr>
            <w:r>
              <w:rPr>
                <w:rFonts w:ascii="Arial" w:cs="Arial" w:eastAsia="Arial" w:hAnsi="Arial"/>
                <w:sz w:val="20"/>
                <w:szCs w:val="20"/>
                <w:color w:val="auto"/>
              </w:rPr>
              <w:t>By:</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9"/>
        </w:trPr>
        <w:tc>
          <w:tcPr>
            <w:tcW w:w="440" w:type="dxa"/>
            <w:vAlign w:val="bottom"/>
          </w:tcPr>
          <w:p>
            <w:pPr>
              <w:spacing w:after="0"/>
              <w:rPr>
                <w:sz w:val="24"/>
                <w:szCs w:val="24"/>
                <w:color w:val="auto"/>
              </w:rPr>
            </w:pPr>
          </w:p>
        </w:tc>
        <w:tc>
          <w:tcPr>
            <w:tcW w:w="4540" w:type="dxa"/>
            <w:vAlign w:val="bottom"/>
          </w:tcPr>
          <w:p>
            <w:pPr>
              <w:ind w:left="1660"/>
              <w:spacing w:after="0"/>
              <w:rPr>
                <w:sz w:val="20"/>
                <w:szCs w:val="20"/>
                <w:color w:val="auto"/>
              </w:rPr>
            </w:pPr>
            <w:r>
              <w:rPr>
                <w:rFonts w:ascii="Arial" w:cs="Arial" w:eastAsia="Arial" w:hAnsi="Arial"/>
                <w:sz w:val="20"/>
                <w:szCs w:val="20"/>
                <w:color w:val="auto"/>
              </w:rPr>
              <w:t>Signature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tcPr>
          <w:p>
            <w:pPr>
              <w:ind w:left="1620"/>
              <w:spacing w:after="0"/>
              <w:rPr>
                <w:sz w:val="20"/>
                <w:szCs w:val="20"/>
                <w:color w:val="auto"/>
              </w:rPr>
            </w:pPr>
            <w:r>
              <w:rPr>
                <w:rFonts w:ascii="Arial" w:cs="Arial" w:eastAsia="Arial" w:hAnsi="Arial"/>
                <w:sz w:val="20"/>
                <w:szCs w:val="20"/>
                <w:color w:val="auto"/>
              </w:rPr>
              <w:t>Signature</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20"/>
                <w:szCs w:val="20"/>
                <w:color w:val="auto"/>
              </w:rPr>
              <w:t>Title:</w:t>
            </w:r>
          </w:p>
        </w:tc>
        <w:tc>
          <w:tcPr>
            <w:tcW w:w="5080" w:type="dxa"/>
            <w:vAlign w:val="bottom"/>
            <w:gridSpan w:val="3"/>
          </w:tcPr>
          <w:p>
            <w:pPr>
              <w:ind w:left="20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3"/>
        </w:trPr>
        <w:tc>
          <w:tcPr>
            <w:tcW w:w="440" w:type="dxa"/>
            <w:vAlign w:val="bottom"/>
            <w:vMerge w:val="restart"/>
          </w:tcPr>
          <w:p>
            <w:pPr>
              <w:spacing w:after="0"/>
              <w:rPr>
                <w:sz w:val="20"/>
                <w:szCs w:val="20"/>
                <w:color w:val="auto"/>
              </w:rPr>
            </w:pPr>
            <w:r>
              <w:rPr>
                <w:rFonts w:ascii="Arial" w:cs="Arial" w:eastAsia="Arial" w:hAnsi="Arial"/>
                <w:sz w:val="20"/>
                <w:szCs w:val="20"/>
                <w:color w:val="auto"/>
                <w:w w:val="87"/>
              </w:rPr>
              <w:t>Date:</w:t>
            </w:r>
          </w:p>
        </w:tc>
        <w:tc>
          <w:tcPr>
            <w:tcW w:w="4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4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tabs>
          <w:tab w:leader="none" w:pos="1840" w:val="left"/>
        </w:tabs>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Award Agreement and 2016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441" w:right="91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ATTACHMENT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EVERSPIN TECHNOLOGIES,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154"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Everspin Technologies,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a Restricted Stock 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pursuant to Section 6(b) of the Company’s 2016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27" w:lineRule="exact"/>
        <w:rPr>
          <w:sz w:val="20"/>
          <w:szCs w:val="20"/>
          <w:color w:val="auto"/>
        </w:rPr>
      </w:pPr>
    </w:p>
    <w:p>
      <w:pPr>
        <w:jc w:val="both"/>
        <w:ind w:firstLine="648"/>
        <w:spacing w:after="0" w:line="213" w:lineRule="auto"/>
        <w:tabs>
          <w:tab w:leader="none" w:pos="1347"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AWARD. </w:t>
      </w:r>
      <w:r>
        <w:rPr>
          <w:rFonts w:ascii="Arial" w:cs="Arial" w:eastAsia="Arial" w:hAnsi="Arial"/>
          <w:sz w:val="19"/>
          <w:szCs w:val="19"/>
          <w:color w:val="auto"/>
        </w:rPr>
        <w:t>This Award represents the right to be issued on a future date one (1) share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 Except as otherwise provided herein, you will not be required to make any payment to the Company (other than past and future services to the Company) with respect to your receipt of the Award, the vesting of the Restricted Stock Units or the delivery of the Common Stock to be issued in respect of the Award.</w:t>
      </w:r>
    </w:p>
    <w:p>
      <w:pPr>
        <w:spacing w:after="0" w:line="131" w:lineRule="exact"/>
        <w:rPr>
          <w:rFonts w:ascii="Arial" w:cs="Arial" w:eastAsia="Arial" w:hAnsi="Arial"/>
          <w:sz w:val="19"/>
          <w:szCs w:val="19"/>
          <w:b w:val="1"/>
          <w:bCs w:val="1"/>
          <w:color w:val="auto"/>
        </w:rPr>
      </w:pPr>
    </w:p>
    <w:p>
      <w:pPr>
        <w:jc w:val="both"/>
        <w:ind w:firstLine="648"/>
        <w:spacing w:after="0" w:line="211" w:lineRule="auto"/>
        <w:tabs>
          <w:tab w:leader="none" w:pos="1311"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the limitations contained herein, your Award will vest, if at all,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schedule 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23" w:lineRule="exact"/>
        <w:rPr>
          <w:rFonts w:ascii="Arial" w:cs="Arial" w:eastAsia="Arial" w:hAnsi="Arial"/>
          <w:sz w:val="20"/>
          <w:szCs w:val="20"/>
          <w:b w:val="1"/>
          <w:bCs w:val="1"/>
          <w:color w:val="auto"/>
        </w:rPr>
      </w:pPr>
    </w:p>
    <w:p>
      <w:pPr>
        <w:jc w:val="both"/>
        <w:ind w:firstLine="648"/>
        <w:spacing w:after="0" w:line="218" w:lineRule="auto"/>
        <w:tabs>
          <w:tab w:leader="none" w:pos="1292"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w:t>
      </w:r>
      <w:r>
        <w:rPr>
          <w:rFonts w:ascii="Arial" w:cs="Arial" w:eastAsia="Arial" w:hAnsi="Arial"/>
          <w:sz w:val="19"/>
          <w:szCs w:val="19"/>
          <w:color w:val="auto"/>
        </w:rPr>
        <w:t>The number of Restricted Stock Units subject to your Award may be adjusted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23" w:lineRule="exact"/>
        <w:rPr>
          <w:rFonts w:ascii="Arial" w:cs="Arial" w:eastAsia="Arial" w:hAnsi="Arial"/>
          <w:sz w:val="19"/>
          <w:szCs w:val="19"/>
          <w:b w:val="1"/>
          <w:bCs w:val="1"/>
          <w:color w:val="auto"/>
        </w:rPr>
      </w:pPr>
    </w:p>
    <w:p>
      <w:pPr>
        <w:ind w:firstLine="648"/>
        <w:spacing w:after="0" w:line="232" w:lineRule="auto"/>
        <w:tabs>
          <w:tab w:leader="none" w:pos="1314"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SECURITIES LAW COMPLIANCE</w:t>
      </w:r>
      <w:r>
        <w:rPr>
          <w:rFonts w:ascii="Arial" w:cs="Arial" w:eastAsia="Arial" w:hAnsi="Arial"/>
          <w:sz w:val="20"/>
          <w:szCs w:val="20"/>
          <w:color w:val="auto"/>
        </w:rPr>
        <w:t>. You may not be issued any Common Stock under your Award unless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underlying the Restricted Stock Units are either (i)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3887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1" w:right="919" w:bottom="1440" w:gutter="0" w:footer="0" w:header="0"/>
        </w:sectPr>
      </w:pPr>
    </w:p>
    <w:bookmarkStart w:id="74" w:name="page75"/>
    <w:bookmarkEnd w:id="74"/>
    <w:p>
      <w:pPr>
        <w:jc w:val="both"/>
        <w:spacing w:after="0" w:line="213" w:lineRule="auto"/>
        <w:rPr>
          <w:sz w:val="20"/>
          <w:szCs w:val="20"/>
          <w:color w:val="auto"/>
        </w:rPr>
      </w:pPr>
      <w:r>
        <w:rPr>
          <w:rFonts w:ascii="Arial" w:cs="Arial" w:eastAsia="Arial" w:hAnsi="Arial"/>
          <w:sz w:val="20"/>
          <w:szCs w:val="20"/>
          <w:color w:val="auto"/>
        </w:rPr>
        <w:t>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23" w:lineRule="exact"/>
        <w:rPr>
          <w:sz w:val="20"/>
          <w:szCs w:val="20"/>
          <w:color w:val="auto"/>
        </w:rPr>
      </w:pPr>
    </w:p>
    <w:p>
      <w:pPr>
        <w:jc w:val="both"/>
        <w:ind w:firstLine="648"/>
        <w:spacing w:after="0" w:line="211" w:lineRule="auto"/>
        <w:tabs>
          <w:tab w:leader="none" w:pos="1325"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TRANSFER RESTRICTIONS</w:t>
      </w:r>
      <w:r>
        <w:rPr>
          <w:rFonts w:ascii="Arial" w:cs="Arial" w:eastAsia="Arial" w:hAnsi="Arial"/>
          <w:sz w:val="20"/>
          <w:szCs w:val="20"/>
          <w:color w:val="auto"/>
        </w:rPr>
        <w:t>. Prior to the time that shares of Common Stock have been delivered to you,</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23" w:lineRule="exact"/>
        <w:rPr>
          <w:rFonts w:ascii="Arial" w:cs="Arial" w:eastAsia="Arial" w:hAnsi="Arial"/>
          <w:sz w:val="20"/>
          <w:szCs w:val="20"/>
          <w:b w:val="1"/>
          <w:bCs w:val="1"/>
          <w:color w:val="auto"/>
        </w:rPr>
      </w:pPr>
    </w:p>
    <w:p>
      <w:pPr>
        <w:jc w:val="both"/>
        <w:ind w:firstLine="1296"/>
        <w:spacing w:after="0" w:line="232" w:lineRule="auto"/>
        <w:tabs>
          <w:tab w:leader="none" w:pos="1986"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Your Award is transferable by will and by the laws of descent and distribution. At your death,</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22" w:lineRule="exact"/>
        <w:rPr>
          <w:rFonts w:ascii="Arial" w:cs="Arial" w:eastAsia="Arial" w:hAnsi="Arial"/>
          <w:sz w:val="19"/>
          <w:szCs w:val="19"/>
          <w:b w:val="1"/>
          <w:bCs w:val="1"/>
          <w:color w:val="auto"/>
        </w:rPr>
      </w:pPr>
    </w:p>
    <w:p>
      <w:pPr>
        <w:jc w:val="both"/>
        <w:ind w:firstLine="1296"/>
        <w:spacing w:after="0" w:line="228" w:lineRule="auto"/>
        <w:tabs>
          <w:tab w:leader="none" w:pos="2304"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28" w:lineRule="exact"/>
        <w:rPr>
          <w:rFonts w:ascii="Arial" w:cs="Arial" w:eastAsia="Arial" w:hAnsi="Arial"/>
          <w:sz w:val="18"/>
          <w:szCs w:val="18"/>
          <w:b w:val="1"/>
          <w:bCs w:val="1"/>
          <w:color w:val="auto"/>
        </w:rPr>
      </w:pPr>
    </w:p>
    <w:p>
      <w:pPr>
        <w:ind w:left="1300" w:hanging="652"/>
        <w:spacing w:after="0"/>
        <w:tabs>
          <w:tab w:leader="none" w:pos="13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154" w:lineRule="exact"/>
        <w:rPr>
          <w:rFonts w:ascii="Arial" w:cs="Arial" w:eastAsia="Arial" w:hAnsi="Arial"/>
          <w:sz w:val="20"/>
          <w:szCs w:val="20"/>
          <w:b w:val="1"/>
          <w:bCs w:val="1"/>
          <w:color w:val="auto"/>
        </w:rPr>
      </w:pPr>
    </w:p>
    <w:p>
      <w:pPr>
        <w:jc w:val="both"/>
        <w:ind w:firstLine="1296"/>
        <w:spacing w:after="0" w:line="207" w:lineRule="auto"/>
        <w:tabs>
          <w:tab w:leader="none" w:pos="2054" w:val="left"/>
        </w:tabs>
        <w:numPr>
          <w:ilvl w:val="1"/>
          <w:numId w:val="25"/>
        </w:numPr>
        <w:rPr>
          <w:rFonts w:ascii="Arial" w:cs="Arial" w:eastAsia="Arial" w:hAnsi="Arial"/>
          <w:sz w:val="20"/>
          <w:szCs w:val="20"/>
          <w:b w:val="1"/>
          <w:bCs w:val="1"/>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Each issuance date determined by this paragraph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133" w:lineRule="exact"/>
        <w:rPr>
          <w:rFonts w:ascii="Arial" w:cs="Arial" w:eastAsia="Arial" w:hAnsi="Arial"/>
          <w:sz w:val="20"/>
          <w:szCs w:val="20"/>
          <w:b w:val="1"/>
          <w:bCs w:val="1"/>
          <w:color w:val="auto"/>
        </w:rPr>
      </w:pPr>
    </w:p>
    <w:p>
      <w:pPr>
        <w:ind w:firstLine="1296"/>
        <w:spacing w:after="0" w:line="229" w:lineRule="auto"/>
        <w:tabs>
          <w:tab w:leader="none" w:pos="2011" w:val="left"/>
        </w:tabs>
        <w:numPr>
          <w:ilvl w:val="1"/>
          <w:numId w:val="25"/>
        </w:numPr>
        <w:rPr>
          <w:rFonts w:ascii="Arial" w:cs="Arial" w:eastAsia="Arial" w:hAnsi="Arial"/>
          <w:sz w:val="20"/>
          <w:szCs w:val="20"/>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128" w:lineRule="exact"/>
        <w:rPr>
          <w:rFonts w:ascii="Arial" w:cs="Arial" w:eastAsia="Arial" w:hAnsi="Arial"/>
          <w:sz w:val="20"/>
          <w:szCs w:val="20"/>
          <w:b w:val="1"/>
          <w:bCs w:val="1"/>
          <w:color w:val="auto"/>
        </w:rPr>
      </w:pPr>
    </w:p>
    <w:p>
      <w:pPr>
        <w:jc w:val="both"/>
        <w:ind w:firstLine="1944"/>
        <w:spacing w:after="0" w:line="213" w:lineRule="auto"/>
        <w:tabs>
          <w:tab w:leader="none" w:pos="2644"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 xml:space="preserve">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Arial" w:cs="Arial" w:eastAsia="Arial" w:hAnsi="Arial"/>
          <w:sz w:val="20"/>
          <w:szCs w:val="20"/>
          <w:i w:val="1"/>
          <w:iCs w:val="1"/>
          <w:color w:val="auto"/>
        </w:rPr>
        <w:t>and</w:t>
      </w:r>
    </w:p>
    <w:p>
      <w:pPr>
        <w:spacing w:after="0" w:line="128" w:lineRule="exact"/>
        <w:rPr>
          <w:rFonts w:ascii="Arial" w:cs="Arial" w:eastAsia="Arial" w:hAnsi="Arial"/>
          <w:sz w:val="20"/>
          <w:szCs w:val="20"/>
          <w:b w:val="1"/>
          <w:bCs w:val="1"/>
          <w:color w:val="auto"/>
        </w:rPr>
      </w:pPr>
    </w:p>
    <w:p>
      <w:pPr>
        <w:jc w:val="both"/>
        <w:ind w:firstLine="1944"/>
        <w:spacing w:after="0" w:line="213" w:lineRule="auto"/>
        <w:tabs>
          <w:tab w:leader="none" w:pos="2650" w:val="left"/>
        </w:tabs>
        <w:numPr>
          <w:ilvl w:val="2"/>
          <w:numId w:val="25"/>
        </w:numPr>
        <w:rPr>
          <w:rFonts w:ascii="Arial" w:cs="Arial" w:eastAsia="Arial" w:hAnsi="Arial"/>
          <w:sz w:val="20"/>
          <w:szCs w:val="20"/>
          <w:b w:val="1"/>
          <w:bCs w:val="1"/>
          <w:color w:val="auto"/>
        </w:rPr>
      </w:pPr>
      <w:r>
        <w:rPr>
          <w:rFonts w:ascii="Arial" w:cs="Arial" w:eastAsia="Arial" w:hAnsi="Arial"/>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then effect a Sell to Cover under the 10b5-1 Plan (as defined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6388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7" w:right="919" w:bottom="1440" w:gutter="0" w:footer="0" w:header="0"/>
        </w:sectPr>
      </w:pPr>
    </w:p>
    <w:bookmarkStart w:id="75" w:name="page76"/>
    <w:bookmarkEnd w:id="75"/>
    <w:p>
      <w:pPr>
        <w:jc w:val="both"/>
        <w:spacing w:after="0" w:line="229" w:lineRule="auto"/>
        <w:rPr>
          <w:sz w:val="20"/>
          <w:szCs w:val="20"/>
          <w:color w:val="auto"/>
        </w:rPr>
      </w:pPr>
      <w:r>
        <w:rPr>
          <w:rFonts w:ascii="Arial" w:cs="Arial" w:eastAsia="Arial" w:hAnsi="Arial"/>
          <w:sz w:val="20"/>
          <w:szCs w:val="20"/>
          <w:color w:val="auto"/>
        </w:rPr>
        <w:t>11(b) of this Agreement) to satisfy the Withholding Obligation, if applicable, and (C) not to permit you to pay your Withholding Obligation in cash,</w:t>
      </w:r>
    </w:p>
    <w:p>
      <w:pPr>
        <w:spacing w:after="0" w:line="128"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u w:val="single" w:color="auto"/>
          <w:color w:val="auto"/>
        </w:rPr>
        <w:t>then</w:t>
      </w:r>
      <w:r>
        <w:rPr>
          <w:rFonts w:ascii="Arial" w:cs="Arial" w:eastAsia="Arial" w:hAnsi="Arial"/>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20"/>
          <w:szCs w:val="20"/>
          <w:u w:val="single" w:color="auto"/>
          <w:color w:val="auto"/>
        </w:rPr>
        <w:t>if and only if</w:t>
      </w:r>
      <w:r>
        <w:rPr>
          <w:rFonts w:ascii="Arial" w:cs="Arial" w:eastAsia="Arial" w:hAnsi="Arial"/>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30" w:lineRule="exact"/>
        <w:rPr>
          <w:sz w:val="20"/>
          <w:szCs w:val="20"/>
          <w:color w:val="auto"/>
        </w:rPr>
      </w:pPr>
    </w:p>
    <w:p>
      <w:pPr>
        <w:ind w:firstLine="1296"/>
        <w:spacing w:after="0" w:line="229" w:lineRule="auto"/>
        <w:tabs>
          <w:tab w:leader="none" w:pos="2124" w:val="left"/>
        </w:tabs>
        <w:numPr>
          <w:ilvl w:val="1"/>
          <w:numId w:val="26"/>
        </w:numPr>
        <w:rPr>
          <w:rFonts w:ascii="Arial" w:cs="Arial" w:eastAsia="Arial" w:hAnsi="Arial"/>
          <w:sz w:val="20"/>
          <w:szCs w:val="20"/>
          <w:b w:val="1"/>
          <w:bCs w:val="1"/>
          <w:color w:val="auto"/>
        </w:rPr>
      </w:pPr>
      <w:r>
        <w:rPr>
          <w:rFonts w:ascii="Arial" w:cs="Arial" w:eastAsia="Arial" w:hAnsi="Arial"/>
          <w:sz w:val="20"/>
          <w:szCs w:val="20"/>
          <w:color w:val="auto"/>
        </w:rPr>
        <w:t>The form of delivery (</w:t>
      </w:r>
      <w:r>
        <w:rPr>
          <w:rFonts w:ascii="Arial" w:cs="Arial" w:eastAsia="Arial" w:hAnsi="Arial"/>
          <w:sz w:val="20"/>
          <w:szCs w:val="20"/>
          <w:i w:val="1"/>
          <w:iCs w:val="1"/>
          <w:color w:val="auto"/>
        </w:rPr>
        <w:t>e.g.</w:t>
      </w:r>
      <w:r>
        <w:rPr>
          <w:rFonts w:ascii="Arial" w:cs="Arial" w:eastAsia="Arial" w:hAnsi="Arial"/>
          <w:sz w:val="20"/>
          <w:szCs w:val="20"/>
          <w:color w:val="auto"/>
        </w:rPr>
        <w:t>, a stock certificate or electronic entry evidencing such shares) shall be determined by the Company.</w:t>
      </w:r>
    </w:p>
    <w:p>
      <w:pPr>
        <w:spacing w:after="0" w:line="122" w:lineRule="exact"/>
        <w:rPr>
          <w:rFonts w:ascii="Arial" w:cs="Arial" w:eastAsia="Arial" w:hAnsi="Arial"/>
          <w:sz w:val="20"/>
          <w:szCs w:val="20"/>
          <w:b w:val="1"/>
          <w:bCs w:val="1"/>
          <w:color w:val="auto"/>
        </w:rPr>
      </w:pPr>
    </w:p>
    <w:p>
      <w:pPr>
        <w:jc w:val="both"/>
        <w:ind w:firstLine="648"/>
        <w:spacing w:after="0" w:line="214" w:lineRule="auto"/>
        <w:tabs>
          <w:tab w:leader="none" w:pos="137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DIVIDENDS. </w:t>
      </w:r>
      <w:r>
        <w:rPr>
          <w:rFonts w:ascii="Arial" w:cs="Arial" w:eastAsia="Arial" w:hAnsi="Arial"/>
          <w:sz w:val="20"/>
          <w:szCs w:val="20"/>
          <w:color w:val="auto"/>
        </w:rPr>
        <w:t>You shall receive no benefit or adjustment to your Award with respect to any cash dividend,</w:t>
      </w:r>
      <w:r>
        <w:rPr>
          <w:rFonts w:ascii="Arial" w:cs="Arial" w:eastAsia="Arial" w:hAnsi="Arial"/>
          <w:sz w:val="20"/>
          <w:szCs w:val="20"/>
          <w:b w:val="1"/>
          <w:bCs w:val="1"/>
          <w:color w:val="auto"/>
        </w:rPr>
        <w:t xml:space="preserve"> </w:t>
      </w:r>
      <w:r>
        <w:rPr>
          <w:rFonts w:ascii="Arial" w:cs="Arial" w:eastAsia="Arial" w:hAnsi="Arial"/>
          <w:sz w:val="20"/>
          <w:szCs w:val="20"/>
          <w:color w:val="auto"/>
        </w:rPr>
        <w:t>stock dividend 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25" w:lineRule="exact"/>
        <w:rPr>
          <w:rFonts w:ascii="Arial" w:cs="Arial" w:eastAsia="Arial" w:hAnsi="Arial"/>
          <w:sz w:val="20"/>
          <w:szCs w:val="20"/>
          <w:b w:val="1"/>
          <w:bCs w:val="1"/>
          <w:color w:val="auto"/>
        </w:rPr>
      </w:pPr>
    </w:p>
    <w:p>
      <w:pPr>
        <w:ind w:firstLine="648"/>
        <w:spacing w:after="0" w:line="232" w:lineRule="auto"/>
        <w:tabs>
          <w:tab w:leader="none" w:pos="1574"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LEGENDS. </w:t>
      </w:r>
      <w:r>
        <w:rPr>
          <w:rFonts w:ascii="Arial" w:cs="Arial" w:eastAsia="Arial" w:hAnsi="Arial"/>
          <w:sz w:val="20"/>
          <w:szCs w:val="20"/>
          <w:color w:val="auto"/>
        </w:rPr>
        <w:t>The shares of Common Stock issued in respect of your Award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endorsed with appropriate legends as determined by the Company.</w:t>
      </w:r>
    </w:p>
    <w:p>
      <w:pPr>
        <w:spacing w:after="0" w:line="122" w:lineRule="exact"/>
        <w:rPr>
          <w:rFonts w:ascii="Arial" w:cs="Arial" w:eastAsia="Arial" w:hAnsi="Arial"/>
          <w:sz w:val="20"/>
          <w:szCs w:val="20"/>
          <w:b w:val="1"/>
          <w:bCs w:val="1"/>
          <w:color w:val="auto"/>
        </w:rPr>
      </w:pPr>
    </w:p>
    <w:p>
      <w:pPr>
        <w:jc w:val="both"/>
        <w:ind w:firstLine="648"/>
        <w:spacing w:after="0" w:line="226" w:lineRule="auto"/>
        <w:tabs>
          <w:tab w:leader="none" w:pos="1472"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EXECUTION OF DOCUMENTS. </w:t>
      </w:r>
      <w:r>
        <w:rPr>
          <w:rFonts w:ascii="Arial" w:cs="Arial" w:eastAsia="Arial" w:hAnsi="Arial"/>
          <w:sz w:val="19"/>
          <w:szCs w:val="19"/>
          <w:color w:val="auto"/>
        </w:rPr>
        <w:t>You hereby acknowledge and agree that the manner selected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by which 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22" w:lineRule="exact"/>
        <w:rPr>
          <w:rFonts w:ascii="Arial" w:cs="Arial" w:eastAsia="Arial" w:hAnsi="Arial"/>
          <w:sz w:val="19"/>
          <w:szCs w:val="19"/>
          <w:b w:val="1"/>
          <w:bCs w:val="1"/>
          <w:color w:val="auto"/>
        </w:rPr>
      </w:pPr>
    </w:p>
    <w:p>
      <w:pPr>
        <w:ind w:left="1280" w:hanging="632"/>
        <w:spacing w:after="0"/>
        <w:tabs>
          <w:tab w:leader="none" w:pos="12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r>
        <w:rPr>
          <w:rFonts w:ascii="Arial" w:cs="Arial" w:eastAsia="Arial" w:hAnsi="Arial"/>
          <w:sz w:val="20"/>
          <w:szCs w:val="20"/>
          <w:color w:val="auto"/>
        </w:rPr>
        <w:t>.</w:t>
      </w:r>
    </w:p>
    <w:p>
      <w:pPr>
        <w:spacing w:after="0" w:line="154" w:lineRule="exact"/>
        <w:rPr>
          <w:rFonts w:ascii="Arial" w:cs="Arial" w:eastAsia="Arial" w:hAnsi="Arial"/>
          <w:sz w:val="20"/>
          <w:szCs w:val="20"/>
          <w:b w:val="1"/>
          <w:bCs w:val="1"/>
          <w:color w:val="auto"/>
        </w:rPr>
      </w:pPr>
    </w:p>
    <w:p>
      <w:pPr>
        <w:jc w:val="both"/>
        <w:ind w:firstLine="1296"/>
        <w:spacing w:after="0" w:line="216" w:lineRule="auto"/>
        <w:tabs>
          <w:tab w:leader="none" w:pos="1986" w:val="left"/>
        </w:tabs>
        <w:numPr>
          <w:ilvl w:val="1"/>
          <w:numId w:val="27"/>
        </w:numPr>
        <w:rPr>
          <w:rFonts w:ascii="Arial" w:cs="Arial" w:eastAsia="Arial" w:hAnsi="Arial"/>
          <w:sz w:val="19"/>
          <w:szCs w:val="19"/>
          <w:b w:val="1"/>
          <w:bCs w:val="1"/>
          <w:color w:val="auto"/>
        </w:rPr>
      </w:pPr>
      <w:r>
        <w:rPr>
          <w:rFonts w:ascii="Arial" w:cs="Arial" w:eastAsia="Arial" w:hAnsi="Arial"/>
          <w:sz w:val="19"/>
          <w:szCs w:val="19"/>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28" w:lineRule="exact"/>
        <w:rPr>
          <w:rFonts w:ascii="Arial" w:cs="Arial" w:eastAsia="Arial" w:hAnsi="Arial"/>
          <w:sz w:val="19"/>
          <w:szCs w:val="19"/>
          <w:b w:val="1"/>
          <w:bCs w:val="1"/>
          <w:color w:val="auto"/>
        </w:rPr>
      </w:pPr>
    </w:p>
    <w:p>
      <w:pPr>
        <w:jc w:val="both"/>
        <w:ind w:firstLine="1296"/>
        <w:spacing w:after="0" w:line="216" w:lineRule="auto"/>
        <w:tabs>
          <w:tab w:leader="none" w:pos="2038" w:val="left"/>
        </w:tabs>
        <w:numPr>
          <w:ilvl w:val="1"/>
          <w:numId w:val="27"/>
        </w:numPr>
        <w:rPr>
          <w:rFonts w:ascii="Arial" w:cs="Arial" w:eastAsia="Arial" w:hAnsi="Arial"/>
          <w:sz w:val="19"/>
          <w:szCs w:val="19"/>
          <w:b w:val="1"/>
          <w:bCs w:val="1"/>
          <w:color w:val="auto"/>
        </w:rPr>
      </w:pPr>
      <w:r>
        <w:rPr>
          <w:rFonts w:ascii="Arial" w:cs="Arial" w:eastAsia="Arial" w:hAnsi="Arial"/>
          <w:sz w:val="19"/>
          <w:szCs w:val="19"/>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acknowledge and agree that such a reorganization could result in the termination of your Continuous Service, or the termination of Affiliate status of your employer and the loss of benefits available to you under this Agreement,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443865</wp:posOffset>
            </wp:positionV>
            <wp:extent cx="6388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7" w:right="919" w:bottom="1440" w:gutter="0" w:footer="0" w:header="0"/>
        </w:sectPr>
      </w:pPr>
    </w:p>
    <w:bookmarkStart w:id="76" w:name="page77"/>
    <w:bookmarkEnd w:id="76"/>
    <w:p>
      <w:pPr>
        <w:jc w:val="both"/>
        <w:spacing w:after="0" w:line="207" w:lineRule="auto"/>
        <w:rPr>
          <w:sz w:val="20"/>
          <w:szCs w:val="20"/>
          <w:color w:val="auto"/>
        </w:rPr>
      </w:pPr>
      <w:r>
        <w:rPr>
          <w:rFonts w:ascii="Arial" w:cs="Arial" w:eastAsia="Arial" w:hAnsi="Arial"/>
          <w:sz w:val="20"/>
          <w:szCs w:val="20"/>
          <w:color w:val="auto"/>
        </w:rPr>
        <w:t>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27" w:lineRule="exact"/>
        <w:rPr>
          <w:sz w:val="20"/>
          <w:szCs w:val="20"/>
          <w:color w:val="auto"/>
        </w:rPr>
      </w:pPr>
    </w:p>
    <w:p>
      <w:pPr>
        <w:ind w:left="1280" w:hanging="632"/>
        <w:spacing w:after="0"/>
        <w:tabs>
          <w:tab w:leader="none" w:pos="12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w:t>
      </w:r>
    </w:p>
    <w:p>
      <w:pPr>
        <w:spacing w:after="0" w:line="154" w:lineRule="exact"/>
        <w:rPr>
          <w:rFonts w:ascii="Arial" w:cs="Arial" w:eastAsia="Arial" w:hAnsi="Arial"/>
          <w:sz w:val="20"/>
          <w:szCs w:val="20"/>
          <w:b w:val="1"/>
          <w:bCs w:val="1"/>
          <w:color w:val="auto"/>
        </w:rPr>
      </w:pPr>
    </w:p>
    <w:p>
      <w:pPr>
        <w:jc w:val="both"/>
        <w:ind w:firstLine="1296"/>
        <w:spacing w:after="0" w:line="210" w:lineRule="auto"/>
        <w:tabs>
          <w:tab w:leader="none" w:pos="2000"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On or before the time you receive a distribution of Common Stock pursuant to your Award,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Award (the “</w:t>
      </w:r>
      <w:r>
        <w:rPr>
          <w:rFonts w:ascii="Arial" w:cs="Arial" w:eastAsia="Arial" w:hAnsi="Arial"/>
          <w:sz w:val="20"/>
          <w:szCs w:val="20"/>
          <w:b w:val="1"/>
          <w:bCs w:val="1"/>
          <w:i w:val="1"/>
          <w:iCs w:val="1"/>
          <w:color w:val="auto"/>
        </w:rPr>
        <w:t>Withholding Obligation</w:t>
      </w:r>
      <w:r>
        <w:rPr>
          <w:rFonts w:ascii="Arial" w:cs="Arial" w:eastAsia="Arial" w:hAnsi="Arial"/>
          <w:sz w:val="20"/>
          <w:szCs w:val="20"/>
          <w:color w:val="auto"/>
        </w:rPr>
        <w:t>”).</w:t>
      </w:r>
    </w:p>
    <w:p>
      <w:pPr>
        <w:spacing w:after="0" w:line="128" w:lineRule="exact"/>
        <w:rPr>
          <w:rFonts w:ascii="Arial" w:cs="Arial" w:eastAsia="Arial" w:hAnsi="Arial"/>
          <w:sz w:val="20"/>
          <w:szCs w:val="20"/>
          <w:b w:val="1"/>
          <w:bCs w:val="1"/>
          <w:color w:val="auto"/>
        </w:rPr>
      </w:pPr>
    </w:p>
    <w:p>
      <w:pPr>
        <w:jc w:val="both"/>
        <w:ind w:firstLine="1296"/>
        <w:spacing w:after="0" w:line="224" w:lineRule="auto"/>
        <w:tabs>
          <w:tab w:leader="none" w:pos="1997" w:val="left"/>
        </w:tabs>
        <w:numPr>
          <w:ilvl w:val="1"/>
          <w:numId w:val="28"/>
        </w:numPr>
        <w:rPr>
          <w:rFonts w:ascii="Arial" w:cs="Arial" w:eastAsia="Arial" w:hAnsi="Arial"/>
          <w:sz w:val="19"/>
          <w:szCs w:val="19"/>
          <w:b w:val="1"/>
          <w:bCs w:val="1"/>
          <w:color w:val="auto"/>
        </w:rPr>
      </w:pPr>
      <w:r>
        <w:rPr>
          <w:rFonts w:ascii="Arial" w:cs="Arial" w:eastAsia="Arial" w:hAnsi="Arial"/>
          <w:sz w:val="19"/>
          <w:szCs w:val="19"/>
          <w:color w:val="auto"/>
        </w:rPr>
        <w:t>By accepting this Award, you hereby (i) acknowledge and agree that you have elected a Sell to Cover (as defined in the Grant Notice) to permit you to satisfy the Withholding Obligation and that the Withholding Obligation shall be satisfied pursuant to this Section 11(b) to the fullest extent not otherwise satisfied pursuant to the provisions of Section 11(c) hereof and (ii) further acknowledge and agree to the following provisions:</w:t>
      </w:r>
    </w:p>
    <w:p>
      <w:pPr>
        <w:spacing w:after="0" w:line="124" w:lineRule="exact"/>
        <w:rPr>
          <w:sz w:val="20"/>
          <w:szCs w:val="20"/>
          <w:color w:val="auto"/>
        </w:rPr>
      </w:pPr>
    </w:p>
    <w:p>
      <w:pPr>
        <w:jc w:val="both"/>
        <w:ind w:firstLine="1945"/>
        <w:spacing w:after="0" w:line="220" w:lineRule="auto"/>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20"/>
          <w:szCs w:val="20"/>
          <w:color w:val="auto"/>
        </w:rPr>
        <w:t>You hereby irrevocably appoint [ ], or such other registered broker-dealer that is a</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of the Financial Industry Regulatory Authority as the Company may select, as your agent (the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and you authorize and direct the Agent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-266700</wp:posOffset>
            </wp:positionV>
            <wp:extent cx="579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10" w:lineRule="exact"/>
        <w:rPr>
          <w:sz w:val="20"/>
          <w:szCs w:val="20"/>
          <w:color w:val="auto"/>
        </w:rPr>
      </w:pPr>
    </w:p>
    <w:p>
      <w:pPr>
        <w:jc w:val="both"/>
        <w:ind w:firstLine="2592"/>
        <w:spacing w:after="0" w:line="206" w:lineRule="auto"/>
        <w:tabs>
          <w:tab w:leader="none" w:pos="3233" w:val="left"/>
        </w:tabs>
        <w:numPr>
          <w:ilvl w:val="1"/>
          <w:numId w:val="29"/>
        </w:numPr>
        <w:rPr>
          <w:rFonts w:ascii="Arial" w:cs="Arial" w:eastAsia="Arial" w:hAnsi="Arial"/>
          <w:sz w:val="20"/>
          <w:szCs w:val="20"/>
          <w:b w:val="1"/>
          <w:bCs w:val="1"/>
          <w:color w:val="auto"/>
        </w:rPr>
      </w:pPr>
      <w:r>
        <w:rPr>
          <w:rFonts w:ascii="Arial" w:cs="Arial" w:eastAsia="Arial" w:hAnsi="Arial"/>
          <w:sz w:val="20"/>
          <w:szCs w:val="20"/>
          <w:color w:val="auto"/>
        </w:rPr>
        <w:t>Sell on the open market at the then prevailing market price(s), on your behalf, as soon as practicable on or after the date on which the shares of Common Stock are delivered to you pursuant to Section 6 hereof in connection with the vesting of the Restricted Stock Units, the number (rounded up to the next whole number) of shares of Common Stock sufficient to generate proceeds to cover (A) the satisfaction of the Withholding Obligation arising from the vesting of those Restricted Stock Units and the related issuance of shares of Common Stock to you that is not otherwise satisfied pursuant to Section 11(c) hereof and (B) all applicable fees and commissions due to, or required to be collected by, the Agent with respect thereto;</w:t>
      </w:r>
    </w:p>
    <w:p>
      <w:pPr>
        <w:spacing w:after="0" w:line="128" w:lineRule="exact"/>
        <w:rPr>
          <w:rFonts w:ascii="Arial" w:cs="Arial" w:eastAsia="Arial" w:hAnsi="Arial"/>
          <w:sz w:val="20"/>
          <w:szCs w:val="20"/>
          <w:b w:val="1"/>
          <w:bCs w:val="1"/>
          <w:color w:val="auto"/>
        </w:rPr>
      </w:pPr>
    </w:p>
    <w:p>
      <w:pPr>
        <w:ind w:left="3280" w:hanging="688"/>
        <w:spacing w:after="0"/>
        <w:tabs>
          <w:tab w:leader="none" w:pos="32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Remit directly to the Company and/or any Affiliate the proceeds necessary to satisfy</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Withholding Obligation;</w:t>
      </w:r>
    </w:p>
    <w:p>
      <w:pPr>
        <w:spacing w:after="0" w:line="132" w:lineRule="exact"/>
        <w:rPr>
          <w:rFonts w:ascii="Arial" w:cs="Arial" w:eastAsia="Arial" w:hAnsi="Arial"/>
          <w:sz w:val="18"/>
          <w:szCs w:val="18"/>
          <w:b w:val="1"/>
          <w:bCs w:val="1"/>
          <w:color w:val="auto"/>
        </w:rPr>
      </w:pPr>
    </w:p>
    <w:p>
      <w:pPr>
        <w:jc w:val="both"/>
        <w:ind w:firstLine="2592"/>
        <w:spacing w:after="0" w:line="218" w:lineRule="auto"/>
        <w:tabs>
          <w:tab w:leader="none" w:pos="3328" w:val="left"/>
        </w:tabs>
        <w:numPr>
          <w:ilvl w:val="1"/>
          <w:numId w:val="29"/>
        </w:numPr>
        <w:rPr>
          <w:rFonts w:ascii="Arial" w:cs="Arial" w:eastAsia="Arial" w:hAnsi="Arial"/>
          <w:sz w:val="20"/>
          <w:szCs w:val="20"/>
          <w:b w:val="1"/>
          <w:bCs w:val="1"/>
          <w:color w:val="auto"/>
        </w:rPr>
      </w:pPr>
      <w:r>
        <w:rPr>
          <w:rFonts w:ascii="Arial" w:cs="Arial" w:eastAsia="Arial" w:hAnsi="Arial"/>
          <w:sz w:val="20"/>
          <w:szCs w:val="20"/>
          <w:color w:val="auto"/>
        </w:rPr>
        <w:t>Retain the amount required to cover all applicable fees and commissions due to, or required to be collected by, the Agent, relating directly to the sale of the shares of Common Stock referred to in clause (1) above; and</w:t>
      </w:r>
    </w:p>
    <w:p>
      <w:pPr>
        <w:spacing w:after="0" w:line="129" w:lineRule="exact"/>
        <w:rPr>
          <w:rFonts w:ascii="Arial" w:cs="Arial" w:eastAsia="Arial" w:hAnsi="Arial"/>
          <w:sz w:val="20"/>
          <w:szCs w:val="20"/>
          <w:b w:val="1"/>
          <w:bCs w:val="1"/>
          <w:color w:val="auto"/>
        </w:rPr>
      </w:pPr>
    </w:p>
    <w:p>
      <w:pPr>
        <w:ind w:left="3220" w:hanging="628"/>
        <w:spacing w:after="0"/>
        <w:tabs>
          <w:tab w:leader="none" w:pos="3220" w:val="left"/>
        </w:tabs>
        <w:numPr>
          <w:ilvl w:val="1"/>
          <w:numId w:val="29"/>
        </w:numPr>
        <w:rPr>
          <w:rFonts w:ascii="Arial" w:cs="Arial" w:eastAsia="Arial" w:hAnsi="Arial"/>
          <w:sz w:val="20"/>
          <w:szCs w:val="20"/>
          <w:b w:val="1"/>
          <w:bCs w:val="1"/>
          <w:color w:val="auto"/>
        </w:rPr>
      </w:pPr>
      <w:r>
        <w:rPr>
          <w:rFonts w:ascii="Arial" w:cs="Arial" w:eastAsia="Arial" w:hAnsi="Arial"/>
          <w:sz w:val="20"/>
          <w:szCs w:val="20"/>
          <w:color w:val="auto"/>
        </w:rPr>
        <w:t>Remit any remaining funds to you.</w:t>
      </w:r>
    </w:p>
    <w:p>
      <w:pPr>
        <w:spacing w:after="0" w:line="148" w:lineRule="exact"/>
        <w:rPr>
          <w:rFonts w:ascii="Arial" w:cs="Arial" w:eastAsia="Arial" w:hAnsi="Arial"/>
          <w:sz w:val="20"/>
          <w:szCs w:val="20"/>
          <w:b w:val="1"/>
          <w:bCs w:val="1"/>
          <w:color w:val="auto"/>
        </w:rPr>
      </w:pPr>
    </w:p>
    <w:p>
      <w:pPr>
        <w:jc w:val="both"/>
        <w:ind w:firstLine="1944"/>
        <w:spacing w:after="0" w:line="231" w:lineRule="auto"/>
        <w:tabs>
          <w:tab w:leader="none" w:pos="264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 acknowledge that your election to Sell to Cover and the corresponding authorization and instruction to the Agent set forth in this Section 11(b) to sell Common Stock to satisfy the Withholding Obligation is intended to comply with the requirements of Rule 10b5-1(c)(1) under the Exchange Act and to be interpreted to comply with the requirements of Rule 10b5-1(c) under the Exchange Act (your election to Sell to Cover and the provisions of this Section 11(b), collectively, the “</w:t>
      </w:r>
      <w:r>
        <w:rPr>
          <w:rFonts w:ascii="Arial" w:cs="Arial" w:eastAsia="Arial" w:hAnsi="Arial"/>
          <w:sz w:val="18"/>
          <w:szCs w:val="18"/>
          <w:b w:val="1"/>
          <w:bCs w:val="1"/>
          <w:i w:val="1"/>
          <w:iCs w:val="1"/>
          <w:color w:val="auto"/>
        </w:rPr>
        <w:t>10b5-1 Plan</w:t>
      </w:r>
      <w:r>
        <w:rPr>
          <w:rFonts w:ascii="Arial" w:cs="Arial" w:eastAsia="Arial" w:hAnsi="Arial"/>
          <w:sz w:val="18"/>
          <w:szCs w:val="18"/>
          <w:color w:val="auto"/>
        </w:rPr>
        <w:t>”). You acknowledge that by accepting this Award, you are adopting the 10b5-1 Plan to permit you to satisfy the Withholding Obligation. You hereby authorize the Company and the Agent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388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7" w:right="919" w:bottom="1440" w:gutter="0" w:footer="0" w:header="0"/>
        </w:sectPr>
      </w:pPr>
    </w:p>
    <w:bookmarkStart w:id="77" w:name="page78"/>
    <w:bookmarkEnd w:id="77"/>
    <w:p>
      <w:pPr>
        <w:ind w:left="1"/>
        <w:spacing w:after="0" w:line="229" w:lineRule="auto"/>
        <w:rPr>
          <w:sz w:val="20"/>
          <w:szCs w:val="20"/>
          <w:color w:val="auto"/>
        </w:rPr>
      </w:pPr>
      <w:r>
        <w:rPr>
          <w:rFonts w:ascii="Arial" w:cs="Arial" w:eastAsia="Arial" w:hAnsi="Arial"/>
          <w:sz w:val="20"/>
          <w:szCs w:val="20"/>
          <w:color w:val="auto"/>
        </w:rPr>
        <w:t>cooperate and communicate with one another to determine the number of shares of Common Stock that must be sold pursuant to Section 11(b)(i) to satisfy your obligations hereunder.</w:t>
      </w:r>
    </w:p>
    <w:p>
      <w:pPr>
        <w:spacing w:after="0" w:line="128" w:lineRule="exact"/>
        <w:rPr>
          <w:sz w:val="20"/>
          <w:szCs w:val="20"/>
          <w:color w:val="auto"/>
        </w:rPr>
      </w:pPr>
    </w:p>
    <w:p>
      <w:pPr>
        <w:jc w:val="both"/>
        <w:ind w:left="1" w:firstLine="1944"/>
        <w:spacing w:after="0" w:line="221" w:lineRule="auto"/>
        <w:tabs>
          <w:tab w:leader="none" w:pos="2733" w:val="left"/>
        </w:tabs>
        <w:numPr>
          <w:ilvl w:val="2"/>
          <w:numId w:val="31"/>
        </w:numPr>
        <w:rPr>
          <w:rFonts w:ascii="Arial" w:cs="Arial" w:eastAsia="Arial" w:hAnsi="Arial"/>
          <w:sz w:val="18"/>
          <w:szCs w:val="18"/>
          <w:b w:val="1"/>
          <w:bCs w:val="1"/>
          <w:color w:val="auto"/>
        </w:rPr>
      </w:pPr>
      <w:r>
        <w:rPr>
          <w:rFonts w:ascii="Arial" w:cs="Arial" w:eastAsia="Arial" w:hAnsi="Arial"/>
          <w:sz w:val="18"/>
          <w:szCs w:val="18"/>
          <w:color w:val="auto"/>
        </w:rPr>
        <w:t>You acknowledge that the Agent is under no obligation to arrange for the sale of Common Stock at any particular price under this 10b5-1 Plan and that the Agent may effect sales as provided in this 10b5-1 Plan in one or more sales and that the average price for executions resulting from bunched orders may be assigned to your account. You further acknowledge that you will be responsible for all brokerage fees and other costs of sale associated with this 10b5-1 Plan, and you agree to indemnify and hold the Company harmless from any losses, costs, damages, or expenses relating to any such sale. In addition, you acknowledge that it may not be possible to sell shares of Common Stock as provided for in this 10b5-1 Plan due to (i) a legal or contractual restriction applicable to you or the Agent, (ii) a market disruption, (iii) a sale effected pursuant to this 10b5-1 Plan that would not comply (or in the reasonable opinion of the Agent’s counsel is likely not to comply) with the Securities Act, (iv) the Company’s determination that sales may not be effected under this 10b5-1 Plan or</w:t>
      </w:r>
    </w:p>
    <w:p>
      <w:pPr>
        <w:spacing w:after="0" w:line="2" w:lineRule="exact"/>
        <w:rPr>
          <w:rFonts w:ascii="Arial" w:cs="Arial" w:eastAsia="Arial" w:hAnsi="Arial"/>
          <w:sz w:val="18"/>
          <w:szCs w:val="18"/>
          <w:b w:val="1"/>
          <w:bCs w:val="1"/>
          <w:color w:val="auto"/>
        </w:rPr>
      </w:pPr>
    </w:p>
    <w:p>
      <w:pPr>
        <w:jc w:val="both"/>
        <w:ind w:left="1" w:hanging="1"/>
        <w:spacing w:after="0" w:line="209" w:lineRule="auto"/>
        <w:tabs>
          <w:tab w:leader="none" w:pos="282" w:val="left"/>
        </w:tabs>
        <w:numPr>
          <w:ilvl w:val="0"/>
          <w:numId w:val="32"/>
        </w:numPr>
        <w:rPr>
          <w:rFonts w:ascii="Arial" w:cs="Arial" w:eastAsia="Arial" w:hAnsi="Arial"/>
          <w:sz w:val="20"/>
          <w:szCs w:val="20"/>
          <w:color w:val="auto"/>
        </w:rPr>
      </w:pPr>
      <w:r>
        <w:rPr>
          <w:rFonts w:ascii="Arial" w:cs="Arial" w:eastAsia="Arial" w:hAnsi="Arial"/>
          <w:sz w:val="20"/>
          <w:szCs w:val="20"/>
          <w:color w:val="auto"/>
        </w:rPr>
        <w:t>rules governing order execution priority on the national exchange where the Common Stock may be traded. In the event of the Agent’s inability to sell shares of Common Stock, you will continue to be responsible for the timely payment to the Company of all federal, state, local and foreign taxes that are required by applicable laws and regulations to be withheld, including but not limited to those amounts specified in Section 11(b)(i)(1) above.</w:t>
      </w:r>
    </w:p>
    <w:p>
      <w:pPr>
        <w:spacing w:after="0" w:line="128" w:lineRule="exact"/>
        <w:rPr>
          <w:rFonts w:ascii="Arial" w:cs="Arial" w:eastAsia="Arial" w:hAnsi="Arial"/>
          <w:sz w:val="20"/>
          <w:szCs w:val="20"/>
          <w:color w:val="auto"/>
        </w:rPr>
      </w:pPr>
    </w:p>
    <w:p>
      <w:pPr>
        <w:jc w:val="both"/>
        <w:ind w:left="1" w:firstLine="1944"/>
        <w:spacing w:after="0" w:line="213" w:lineRule="auto"/>
        <w:tabs>
          <w:tab w:leader="none" w:pos="2852" w:val="left"/>
        </w:tabs>
        <w:numPr>
          <w:ilvl w:val="2"/>
          <w:numId w:val="32"/>
        </w:numPr>
        <w:rPr>
          <w:rFonts w:ascii="Arial" w:cs="Arial" w:eastAsia="Arial" w:hAnsi="Arial"/>
          <w:sz w:val="20"/>
          <w:szCs w:val="20"/>
          <w:b w:val="1"/>
          <w:bCs w:val="1"/>
          <w:color w:val="auto"/>
        </w:rPr>
      </w:pPr>
      <w:r>
        <w:rPr>
          <w:rFonts w:ascii="Arial" w:cs="Arial" w:eastAsia="Arial" w:hAnsi="Arial"/>
          <w:sz w:val="20"/>
          <w:szCs w:val="20"/>
          <w:color w:val="auto"/>
        </w:rPr>
        <w:t>You acknowledge that regardless of any other term or condition of this 10b5-1 Plan, the Agent will not be liable to you for (A) special, indirect, punitive, exemplary, or consequential damages, or incidental losses or damages of any kind, or (B) any failure to perform or for any delay in performance that results from a cause or circumstance that is beyond its reasonable control.</w:t>
      </w:r>
    </w:p>
    <w:p>
      <w:pPr>
        <w:spacing w:after="0" w:line="128" w:lineRule="exact"/>
        <w:rPr>
          <w:rFonts w:ascii="Arial" w:cs="Arial" w:eastAsia="Arial" w:hAnsi="Arial"/>
          <w:sz w:val="20"/>
          <w:szCs w:val="20"/>
          <w:b w:val="1"/>
          <w:bCs w:val="1"/>
          <w:color w:val="auto"/>
        </w:rPr>
      </w:pPr>
    </w:p>
    <w:p>
      <w:pPr>
        <w:jc w:val="both"/>
        <w:ind w:left="1" w:firstLine="1944"/>
        <w:spacing w:after="0" w:line="218" w:lineRule="auto"/>
        <w:tabs>
          <w:tab w:leader="none" w:pos="2712" w:val="left"/>
        </w:tabs>
        <w:numPr>
          <w:ilvl w:val="2"/>
          <w:numId w:val="32"/>
        </w:numPr>
        <w:rPr>
          <w:rFonts w:ascii="Arial" w:cs="Arial" w:eastAsia="Arial" w:hAnsi="Arial"/>
          <w:sz w:val="20"/>
          <w:szCs w:val="20"/>
          <w:b w:val="1"/>
          <w:bCs w:val="1"/>
          <w:color w:val="auto"/>
        </w:rPr>
      </w:pPr>
      <w:r>
        <w:rPr>
          <w:rFonts w:ascii="Arial" w:cs="Arial" w:eastAsia="Arial" w:hAnsi="Arial"/>
          <w:sz w:val="20"/>
          <w:szCs w:val="20"/>
          <w:color w:val="auto"/>
        </w:rPr>
        <w:t>You hereby agree to execute and deliver to the Agent any other agreements or documents as the Agent reasonably deems necessary or appropriate to carry out the purposes and intent of this 10b5-1 Plan. The Agent is a third-party beneficiary of this Section 11(b) and the terms of this 10b5-1 Plan.</w:t>
      </w:r>
    </w:p>
    <w:p>
      <w:pPr>
        <w:spacing w:after="0" w:line="129" w:lineRule="exact"/>
        <w:rPr>
          <w:rFonts w:ascii="Arial" w:cs="Arial" w:eastAsia="Arial" w:hAnsi="Arial"/>
          <w:sz w:val="20"/>
          <w:szCs w:val="20"/>
          <w:b w:val="1"/>
          <w:bCs w:val="1"/>
          <w:color w:val="auto"/>
        </w:rPr>
      </w:pPr>
    </w:p>
    <w:p>
      <w:pPr>
        <w:jc w:val="both"/>
        <w:ind w:left="1" w:firstLine="1944"/>
        <w:spacing w:after="0" w:line="210" w:lineRule="auto"/>
        <w:tabs>
          <w:tab w:leader="none" w:pos="2933" w:val="left"/>
        </w:tabs>
        <w:numPr>
          <w:ilvl w:val="2"/>
          <w:numId w:val="32"/>
        </w:numPr>
        <w:rPr>
          <w:rFonts w:ascii="Arial" w:cs="Arial" w:eastAsia="Arial" w:hAnsi="Arial"/>
          <w:sz w:val="20"/>
          <w:szCs w:val="20"/>
          <w:b w:val="1"/>
          <w:bCs w:val="1"/>
          <w:color w:val="auto"/>
        </w:rPr>
      </w:pPr>
      <w:r>
        <w:rPr>
          <w:rFonts w:ascii="Arial" w:cs="Arial" w:eastAsia="Arial" w:hAnsi="Arial"/>
          <w:sz w:val="20"/>
          <w:szCs w:val="20"/>
          <w:color w:val="auto"/>
        </w:rPr>
        <w:t>Your election to Sell to Cover and to enter into this 10b5-1 Plan is irrevocable. Upon acceptance of the Award, you have elected to Sell to Cover and to enter into this 10b5-1 Plan, and you acknowledge that you may not change this election at any time in the future. This 10b5-1 Plan shall terminate not later than the date on which the Withholding Obligation arising from the vesting of your Restricted Stock Units and the related issuance of shares of Common Stock has been satisfied.</w:t>
      </w:r>
    </w:p>
    <w:p>
      <w:pPr>
        <w:spacing w:after="0" w:line="128" w:lineRule="exact"/>
        <w:rPr>
          <w:rFonts w:ascii="Arial" w:cs="Arial" w:eastAsia="Arial" w:hAnsi="Arial"/>
          <w:sz w:val="20"/>
          <w:szCs w:val="20"/>
          <w:b w:val="1"/>
          <w:bCs w:val="1"/>
          <w:color w:val="auto"/>
        </w:rPr>
      </w:pPr>
    </w:p>
    <w:p>
      <w:pPr>
        <w:jc w:val="both"/>
        <w:ind w:left="1" w:firstLine="1296"/>
        <w:spacing w:after="0" w:line="218" w:lineRule="auto"/>
        <w:tabs>
          <w:tab w:leader="none" w:pos="2057" w:val="left"/>
        </w:tabs>
        <w:numPr>
          <w:ilvl w:val="1"/>
          <w:numId w:val="32"/>
        </w:numPr>
        <w:rPr>
          <w:rFonts w:ascii="Arial" w:cs="Arial" w:eastAsia="Arial" w:hAnsi="Arial"/>
          <w:sz w:val="20"/>
          <w:szCs w:val="20"/>
          <w:b w:val="1"/>
          <w:bCs w:val="1"/>
          <w:color w:val="auto"/>
        </w:rPr>
      </w:pPr>
      <w:r>
        <w:rPr>
          <w:rFonts w:ascii="Arial" w:cs="Arial" w:eastAsia="Arial" w:hAnsi="Arial"/>
          <w:sz w:val="20"/>
          <w:szCs w:val="20"/>
          <w:color w:val="auto"/>
        </w:rPr>
        <w:t>Alternatively, or in addition to or in combination with the Sell to Cover provided for under Section 11(b), you authorize the Company, at its discretion, to satisfy the Withholding Obligation by the following means (or by a combination of the following means):</w:t>
      </w:r>
    </w:p>
    <w:p>
      <w:pPr>
        <w:spacing w:after="0" w:line="129" w:lineRule="exact"/>
        <w:rPr>
          <w:rFonts w:ascii="Arial" w:cs="Arial" w:eastAsia="Arial" w:hAnsi="Arial"/>
          <w:sz w:val="20"/>
          <w:szCs w:val="20"/>
          <w:b w:val="1"/>
          <w:bCs w:val="1"/>
          <w:color w:val="auto"/>
        </w:rPr>
      </w:pPr>
    </w:p>
    <w:p>
      <w:pPr>
        <w:ind w:left="2681" w:hanging="736"/>
        <w:spacing w:after="0"/>
        <w:tabs>
          <w:tab w:leader="none" w:pos="2681" w:val="left"/>
        </w:tabs>
        <w:numPr>
          <w:ilvl w:val="2"/>
          <w:numId w:val="33"/>
        </w:numPr>
        <w:rPr>
          <w:rFonts w:ascii="Arial" w:cs="Arial" w:eastAsia="Arial" w:hAnsi="Arial"/>
          <w:sz w:val="19"/>
          <w:szCs w:val="19"/>
          <w:b w:val="1"/>
          <w:bCs w:val="1"/>
          <w:color w:val="auto"/>
        </w:rPr>
      </w:pPr>
      <w:r>
        <w:rPr>
          <w:rFonts w:ascii="Arial" w:cs="Arial" w:eastAsia="Arial" w:hAnsi="Arial"/>
          <w:sz w:val="19"/>
          <w:szCs w:val="19"/>
          <w:color w:val="auto"/>
        </w:rPr>
        <w:t>Requiring you to pay to the Company any portion of the Withholding Obligation in cash;</w:t>
      </w:r>
    </w:p>
    <w:p>
      <w:pPr>
        <w:spacing w:after="0" w:line="159" w:lineRule="exact"/>
        <w:rPr>
          <w:rFonts w:ascii="Arial" w:cs="Arial" w:eastAsia="Arial" w:hAnsi="Arial"/>
          <w:sz w:val="19"/>
          <w:szCs w:val="19"/>
          <w:b w:val="1"/>
          <w:bCs w:val="1"/>
          <w:color w:val="auto"/>
        </w:rPr>
      </w:pPr>
    </w:p>
    <w:p>
      <w:pPr>
        <w:ind w:left="2681" w:hanging="736"/>
        <w:spacing w:after="0"/>
        <w:tabs>
          <w:tab w:leader="none" w:pos="2681" w:val="left"/>
        </w:tabs>
        <w:numPr>
          <w:ilvl w:val="2"/>
          <w:numId w:val="33"/>
        </w:numPr>
        <w:rPr>
          <w:rFonts w:ascii="Arial" w:cs="Arial" w:eastAsia="Arial" w:hAnsi="Arial"/>
          <w:sz w:val="19"/>
          <w:szCs w:val="19"/>
          <w:b w:val="1"/>
          <w:bCs w:val="1"/>
          <w:color w:val="auto"/>
        </w:rPr>
      </w:pPr>
      <w:r>
        <w:rPr>
          <w:rFonts w:ascii="Arial" w:cs="Arial" w:eastAsia="Arial" w:hAnsi="Arial"/>
          <w:sz w:val="19"/>
          <w:szCs w:val="19"/>
          <w:color w:val="auto"/>
        </w:rPr>
        <w:t>Withholding from any compensation otherwise payable to you by the Company; and/or</w:t>
      </w:r>
    </w:p>
    <w:p>
      <w:pPr>
        <w:spacing w:after="0" w:line="159" w:lineRule="exact"/>
        <w:rPr>
          <w:rFonts w:ascii="Arial" w:cs="Arial" w:eastAsia="Arial" w:hAnsi="Arial"/>
          <w:sz w:val="19"/>
          <w:szCs w:val="19"/>
          <w:b w:val="1"/>
          <w:bCs w:val="1"/>
          <w:color w:val="auto"/>
        </w:rPr>
      </w:pPr>
    </w:p>
    <w:p>
      <w:pPr>
        <w:jc w:val="both"/>
        <w:ind w:left="1" w:firstLine="1944"/>
        <w:spacing w:after="0" w:line="210" w:lineRule="auto"/>
        <w:tabs>
          <w:tab w:leader="none" w:pos="3025" w:val="left"/>
        </w:tabs>
        <w:numPr>
          <w:ilvl w:val="2"/>
          <w:numId w:val="33"/>
        </w:numPr>
        <w:rPr>
          <w:rFonts w:ascii="Arial" w:cs="Arial" w:eastAsia="Arial" w:hAnsi="Arial"/>
          <w:sz w:val="20"/>
          <w:szCs w:val="20"/>
          <w:b w:val="1"/>
          <w:bCs w:val="1"/>
          <w:color w:val="auto"/>
        </w:rPr>
      </w:pPr>
      <w:r>
        <w:rPr>
          <w:rFonts w:ascii="Arial" w:cs="Arial" w:eastAsia="Arial" w:hAnsi="Arial"/>
          <w:sz w:val="20"/>
          <w:szCs w:val="20"/>
          <w:color w:val="auto"/>
        </w:rPr>
        <w:t>Withholding shares of Common Stock from the shares of Common Stock issued or otherwise issuable to you in connection with the Award with a Fair Market Value (measured as of the date shares of Common Stock are issued pursuant to Section 6) equal to the amount of the Withholding Obligation; provided, however, that the number of such shares of Common Stock so withheld shall not exceed the amount necessary to satisfy the Company’s required tax withholding obligations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63887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447" w:right="919" w:bottom="1440" w:gutter="0" w:footer="0" w:header="0"/>
        </w:sectPr>
      </w:pPr>
    </w:p>
    <w:bookmarkStart w:id="78" w:name="page79"/>
    <w:bookmarkEnd w:id="78"/>
    <w:p>
      <w:pPr>
        <w:spacing w:after="0" w:line="229" w:lineRule="auto"/>
        <w:rPr>
          <w:sz w:val="20"/>
          <w:szCs w:val="20"/>
          <w:color w:val="auto"/>
        </w:rPr>
      </w:pPr>
      <w:r>
        <w:rPr>
          <w:rFonts w:ascii="Arial" w:cs="Arial" w:eastAsia="Arial" w:hAnsi="Arial"/>
          <w:sz w:val="20"/>
          <w:szCs w:val="20"/>
          <w:color w:val="auto"/>
        </w:rPr>
        <w:t>the maximum statutory withholding rates for federal, state, local and foreign tax purposes, including payroll taxes, that are applicable to supplemental taxable income.</w:t>
      </w:r>
    </w:p>
    <w:p>
      <w:pPr>
        <w:spacing w:after="0" w:line="128" w:lineRule="exact"/>
        <w:rPr>
          <w:sz w:val="20"/>
          <w:szCs w:val="20"/>
          <w:color w:val="auto"/>
        </w:rPr>
      </w:pPr>
    </w:p>
    <w:p>
      <w:pPr>
        <w:ind w:firstLine="1296"/>
        <w:spacing w:after="0" w:line="229" w:lineRule="auto"/>
        <w:tabs>
          <w:tab w:leader="none" w:pos="2065" w:val="left"/>
        </w:tabs>
        <w:numPr>
          <w:ilvl w:val="1"/>
          <w:numId w:val="34"/>
        </w:numPr>
        <w:rPr>
          <w:rFonts w:ascii="Arial" w:cs="Arial" w:eastAsia="Arial" w:hAnsi="Arial"/>
          <w:sz w:val="20"/>
          <w:szCs w:val="20"/>
          <w:b w:val="1"/>
          <w:bCs w:val="1"/>
          <w:color w:val="auto"/>
        </w:rPr>
      </w:pPr>
      <w:r>
        <w:rPr>
          <w:rFonts w:ascii="Arial" w:cs="Arial" w:eastAsia="Arial" w:hAnsi="Arial"/>
          <w:sz w:val="20"/>
          <w:szCs w:val="20"/>
          <w:color w:val="auto"/>
        </w:rPr>
        <w:t>Unless the Withholding Obligation of the Company and/or any Affiliate are satisfied, the Company shall have no obligation to deliver to you any Common Stock.</w:t>
      </w:r>
    </w:p>
    <w:p>
      <w:pPr>
        <w:spacing w:after="0" w:line="128" w:lineRule="exact"/>
        <w:rPr>
          <w:rFonts w:ascii="Arial" w:cs="Arial" w:eastAsia="Arial" w:hAnsi="Arial"/>
          <w:sz w:val="20"/>
          <w:szCs w:val="20"/>
          <w:b w:val="1"/>
          <w:bCs w:val="1"/>
          <w:color w:val="auto"/>
        </w:rPr>
      </w:pPr>
    </w:p>
    <w:p>
      <w:pPr>
        <w:jc w:val="both"/>
        <w:ind w:firstLine="1296"/>
        <w:spacing w:after="0" w:line="213" w:lineRule="auto"/>
        <w:tabs>
          <w:tab w:leader="none" w:pos="2218" w:val="left"/>
        </w:tabs>
        <w:numPr>
          <w:ilvl w:val="1"/>
          <w:numId w:val="34"/>
        </w:numPr>
        <w:rPr>
          <w:rFonts w:ascii="Arial" w:cs="Arial" w:eastAsia="Arial" w:hAnsi="Arial"/>
          <w:sz w:val="20"/>
          <w:szCs w:val="20"/>
          <w:b w:val="1"/>
          <w:bCs w:val="1"/>
          <w:color w:val="auto"/>
        </w:rPr>
      </w:pPr>
      <w:r>
        <w:rPr>
          <w:rFonts w:ascii="Arial" w:cs="Arial" w:eastAsia="Arial" w:hAnsi="Arial"/>
          <w:sz w:val="20"/>
          <w:szCs w:val="20"/>
          <w:color w:val="auto"/>
        </w:rPr>
        <w:t>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22" w:lineRule="exact"/>
        <w:rPr>
          <w:rFonts w:ascii="Arial" w:cs="Arial" w:eastAsia="Arial" w:hAnsi="Arial"/>
          <w:sz w:val="20"/>
          <w:szCs w:val="20"/>
          <w:b w:val="1"/>
          <w:bCs w:val="1"/>
          <w:color w:val="auto"/>
        </w:rPr>
      </w:pPr>
    </w:p>
    <w:p>
      <w:pPr>
        <w:jc w:val="both"/>
        <w:ind w:firstLine="648"/>
        <w:spacing w:after="0" w:line="220" w:lineRule="auto"/>
        <w:tabs>
          <w:tab w:leader="none" w:pos="1324"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CONSEQUENCES. </w:t>
      </w:r>
      <w:r>
        <w:rPr>
          <w:rFonts w:ascii="Arial" w:cs="Arial" w:eastAsia="Arial" w:hAnsi="Arial"/>
          <w:sz w:val="19"/>
          <w:szCs w:val="19"/>
          <w:color w:val="auto"/>
        </w:rPr>
        <w:t>The Company has no duty or obligation to minimize the tax consequences to you</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21" w:lineRule="exact"/>
        <w:rPr>
          <w:rFonts w:ascii="Arial" w:cs="Arial" w:eastAsia="Arial" w:hAnsi="Arial"/>
          <w:sz w:val="19"/>
          <w:szCs w:val="19"/>
          <w:b w:val="1"/>
          <w:bCs w:val="1"/>
          <w:color w:val="auto"/>
        </w:rPr>
      </w:pPr>
    </w:p>
    <w:p>
      <w:pPr>
        <w:jc w:val="both"/>
        <w:ind w:firstLine="648"/>
        <w:spacing w:after="0" w:line="230" w:lineRule="auto"/>
        <w:tabs>
          <w:tab w:leader="none" w:pos="1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an 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24" w:lineRule="exact"/>
        <w:rPr>
          <w:rFonts w:ascii="Arial" w:cs="Arial" w:eastAsia="Arial" w:hAnsi="Arial"/>
          <w:sz w:val="18"/>
          <w:szCs w:val="18"/>
          <w:b w:val="1"/>
          <w:bCs w:val="1"/>
          <w:color w:val="auto"/>
        </w:rPr>
      </w:pPr>
    </w:p>
    <w:p>
      <w:pPr>
        <w:jc w:val="both"/>
        <w:ind w:firstLine="648"/>
        <w:spacing w:after="0" w:line="230" w:lineRule="auto"/>
        <w:tabs>
          <w:tab w:leader="none" w:pos="150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request required or permitted hereunder shall be given in writing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24" w:lineRule="exact"/>
        <w:rPr>
          <w:rFonts w:ascii="Arial" w:cs="Arial" w:eastAsia="Arial" w:hAnsi="Arial"/>
          <w:sz w:val="18"/>
          <w:szCs w:val="18"/>
          <w:b w:val="1"/>
          <w:bCs w:val="1"/>
          <w:color w:val="auto"/>
        </w:rPr>
      </w:pPr>
    </w:p>
    <w:p>
      <w:pPr>
        <w:ind w:firstLine="648"/>
        <w:spacing w:after="0" w:line="232" w:lineRule="auto"/>
        <w:tabs>
          <w:tab w:leader="none" w:pos="1305"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The headings of the Sections in this Agreement are inserted for convenience only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to constitute a part of this Agreement or to affect the meaning of this Agreement.</w:t>
      </w:r>
    </w:p>
    <w:p>
      <w:pPr>
        <w:spacing w:after="0" w:line="122" w:lineRule="exact"/>
        <w:rPr>
          <w:rFonts w:ascii="Arial" w:cs="Arial" w:eastAsia="Arial" w:hAnsi="Arial"/>
          <w:sz w:val="20"/>
          <w:szCs w:val="20"/>
          <w:b w:val="1"/>
          <w:bCs w:val="1"/>
          <w:color w:val="auto"/>
        </w:rPr>
      </w:pPr>
    </w:p>
    <w:p>
      <w:pPr>
        <w:ind w:left="1300" w:hanging="652"/>
        <w:spacing w:after="0"/>
        <w:tabs>
          <w:tab w:leader="none" w:pos="130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75" w:lineRule="exact"/>
        <w:rPr>
          <w:rFonts w:ascii="Arial" w:cs="Arial" w:eastAsia="Arial" w:hAnsi="Arial"/>
          <w:sz w:val="20"/>
          <w:szCs w:val="20"/>
          <w:b w:val="1"/>
          <w:bCs w:val="1"/>
          <w:color w:val="auto"/>
        </w:rPr>
      </w:pPr>
    </w:p>
    <w:p>
      <w:pPr>
        <w:jc w:val="both"/>
        <w:ind w:firstLine="1296"/>
        <w:spacing w:after="0" w:line="263" w:lineRule="auto"/>
        <w:tabs>
          <w:tab w:leader="none" w:pos="2067"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Participation in the Plan is voluntary and therefore you must accept the terms and conditions of the Plan and this Agreement and Grant Notice as a condition to participating in the Plan and receipt of this Award. This Award and any other awards under the Plan are voluntary and occasional and do not create any contractual or other right to receive future awards or other benefits in lieu of future awards, even if similar awards have been granted repeatedly in the past. All determinations with respect to any such future awards, including, but not limited to, the time or times when such awards are made, the size of such awards and performance and other conditions applied to the awards, will be at the sole discretion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6388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7" w:right="91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Company.</w:t>
      </w:r>
    </w:p>
    <w:p>
      <w:pPr>
        <w:spacing w:after="0" w:line="148" w:lineRule="exact"/>
        <w:rPr>
          <w:sz w:val="20"/>
          <w:szCs w:val="20"/>
          <w:color w:val="auto"/>
        </w:rPr>
      </w:pPr>
    </w:p>
    <w:p>
      <w:pPr>
        <w:jc w:val="both"/>
        <w:ind w:firstLine="1296"/>
        <w:spacing w:after="0" w:line="213" w:lineRule="auto"/>
        <w:tabs>
          <w:tab w:leader="none" w:pos="1975"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The future value of your Award is unknown and cannot be predicted with certainty. You do not have, and will not assert, any claim or entitlement to compensation, indemnity or damages arising from the termination of this Award or diminution in value of this Award and you irrevocably release the Company, its Affiliates and, if applicable, your employer, if different from the Company, from any such claim that may arise.</w:t>
      </w:r>
    </w:p>
    <w:p>
      <w:pPr>
        <w:spacing w:after="0" w:line="128" w:lineRule="exact"/>
        <w:rPr>
          <w:rFonts w:ascii="Arial" w:cs="Arial" w:eastAsia="Arial" w:hAnsi="Arial"/>
          <w:sz w:val="20"/>
          <w:szCs w:val="20"/>
          <w:b w:val="1"/>
          <w:bCs w:val="1"/>
          <w:color w:val="auto"/>
        </w:rPr>
      </w:pPr>
    </w:p>
    <w:p>
      <w:pPr>
        <w:jc w:val="both"/>
        <w:ind w:firstLine="1296"/>
        <w:spacing w:after="0" w:line="218" w:lineRule="auto"/>
        <w:tabs>
          <w:tab w:leader="none" w:pos="1962"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29" w:lineRule="exact"/>
        <w:rPr>
          <w:rFonts w:ascii="Arial" w:cs="Arial" w:eastAsia="Arial" w:hAnsi="Arial"/>
          <w:sz w:val="20"/>
          <w:szCs w:val="20"/>
          <w:b w:val="1"/>
          <w:bCs w:val="1"/>
          <w:color w:val="auto"/>
        </w:rPr>
      </w:pPr>
    </w:p>
    <w:p>
      <w:pPr>
        <w:ind w:firstLine="1296"/>
        <w:spacing w:after="0" w:line="229" w:lineRule="auto"/>
        <w:tabs>
          <w:tab w:leader="none" w:pos="1961"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28" w:lineRule="exact"/>
        <w:rPr>
          <w:rFonts w:ascii="Arial" w:cs="Arial" w:eastAsia="Arial" w:hAnsi="Arial"/>
          <w:sz w:val="20"/>
          <w:szCs w:val="20"/>
          <w:b w:val="1"/>
          <w:bCs w:val="1"/>
          <w:color w:val="auto"/>
        </w:rPr>
      </w:pPr>
    </w:p>
    <w:p>
      <w:pPr>
        <w:jc w:val="both"/>
        <w:ind w:firstLine="1296"/>
        <w:spacing w:after="0" w:line="218" w:lineRule="auto"/>
        <w:tabs>
          <w:tab w:leader="none" w:pos="2286"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9" w:lineRule="exact"/>
        <w:rPr>
          <w:rFonts w:ascii="Arial" w:cs="Arial" w:eastAsia="Arial" w:hAnsi="Arial"/>
          <w:sz w:val="20"/>
          <w:szCs w:val="20"/>
          <w:b w:val="1"/>
          <w:bCs w:val="1"/>
          <w:color w:val="auto"/>
        </w:rPr>
      </w:pPr>
    </w:p>
    <w:p>
      <w:pPr>
        <w:ind w:firstLine="1296"/>
        <w:spacing w:after="0" w:line="229" w:lineRule="auto"/>
        <w:tabs>
          <w:tab w:leader="none" w:pos="2021"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28" w:lineRule="exact"/>
        <w:rPr>
          <w:rFonts w:ascii="Arial" w:cs="Arial" w:eastAsia="Arial" w:hAnsi="Arial"/>
          <w:sz w:val="20"/>
          <w:szCs w:val="20"/>
          <w:b w:val="1"/>
          <w:bCs w:val="1"/>
          <w:color w:val="auto"/>
        </w:rPr>
      </w:pPr>
    </w:p>
    <w:p>
      <w:pPr>
        <w:jc w:val="both"/>
        <w:ind w:firstLine="1296"/>
        <w:spacing w:after="0" w:line="218" w:lineRule="auto"/>
        <w:tabs>
          <w:tab w:leader="none" w:pos="2000"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23" w:lineRule="exact"/>
        <w:rPr>
          <w:rFonts w:ascii="Arial" w:cs="Arial" w:eastAsia="Arial" w:hAnsi="Arial"/>
          <w:sz w:val="20"/>
          <w:szCs w:val="20"/>
          <w:b w:val="1"/>
          <w:bCs w:val="1"/>
          <w:color w:val="auto"/>
        </w:rPr>
      </w:pPr>
    </w:p>
    <w:p>
      <w:pPr>
        <w:jc w:val="both"/>
        <w:ind w:firstLine="648"/>
        <w:spacing w:after="0" w:line="228" w:lineRule="auto"/>
        <w:tabs>
          <w:tab w:leader="none" w:pos="131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PLAN DOCUMENT</w:t>
      </w:r>
      <w:r>
        <w:rPr>
          <w:rFonts w:ascii="Arial" w:cs="Arial" w:eastAsia="Arial" w:hAnsi="Arial"/>
          <w:sz w:val="18"/>
          <w:szCs w:val="18"/>
          <w:color w:val="auto"/>
        </w:rPr>
        <w:t>. Your Award is subject to all the provisions of the Plan,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28" w:lineRule="exact"/>
        <w:rPr>
          <w:rFonts w:ascii="Arial" w:cs="Arial" w:eastAsia="Arial" w:hAnsi="Arial"/>
          <w:sz w:val="18"/>
          <w:szCs w:val="18"/>
          <w:b w:val="1"/>
          <w:bCs w:val="1"/>
          <w:color w:val="auto"/>
        </w:rPr>
      </w:pPr>
    </w:p>
    <w:p>
      <w:pPr>
        <w:jc w:val="both"/>
        <w:ind w:firstLine="648"/>
        <w:spacing w:after="0" w:line="211" w:lineRule="auto"/>
        <w:tabs>
          <w:tab w:leader="none" w:pos="129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EFFECT ON OTHER EMPLOYEE BENEFIT PLANS. </w:t>
      </w:r>
      <w:r>
        <w:rPr>
          <w:rFonts w:ascii="Arial" w:cs="Arial" w:eastAsia="Arial" w:hAnsi="Arial"/>
          <w:sz w:val="20"/>
          <w:szCs w:val="20"/>
          <w:color w:val="auto"/>
        </w:rPr>
        <w:t>The value of the Award subject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23" w:lineRule="exact"/>
        <w:rPr>
          <w:rFonts w:ascii="Arial" w:cs="Arial" w:eastAsia="Arial" w:hAnsi="Arial"/>
          <w:sz w:val="20"/>
          <w:szCs w:val="20"/>
          <w:b w:val="1"/>
          <w:bCs w:val="1"/>
          <w:color w:val="auto"/>
        </w:rPr>
      </w:pPr>
    </w:p>
    <w:p>
      <w:pPr>
        <w:jc w:val="both"/>
        <w:ind w:firstLine="648"/>
        <w:spacing w:after="0" w:line="211" w:lineRule="auto"/>
        <w:tabs>
          <w:tab w:leader="none" w:pos="133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If all or any part of this Agreement or the Plan is declared by any court or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427355</wp:posOffset>
            </wp:positionV>
            <wp:extent cx="63887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7" w:right="919" w:bottom="1440" w:gutter="0" w:footer="0" w:header="0"/>
        </w:sectPr>
      </w:pPr>
    </w:p>
    <w:bookmarkStart w:id="80" w:name="page81"/>
    <w:bookmarkEnd w:id="80"/>
    <w:p>
      <w:pPr>
        <w:jc w:val="both"/>
        <w:ind w:firstLine="648"/>
        <w:spacing w:after="0" w:line="214" w:lineRule="auto"/>
        <w:tabs>
          <w:tab w:leader="none" w:pos="1364"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or the right to receive a document providing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25" w:lineRule="exact"/>
        <w:rPr>
          <w:rFonts w:ascii="Arial" w:cs="Arial" w:eastAsia="Arial" w:hAnsi="Arial"/>
          <w:sz w:val="20"/>
          <w:szCs w:val="20"/>
          <w:b w:val="1"/>
          <w:bCs w:val="1"/>
          <w:color w:val="auto"/>
        </w:rPr>
      </w:pPr>
    </w:p>
    <w:p>
      <w:pPr>
        <w:jc w:val="both"/>
        <w:ind w:firstLine="648"/>
        <w:spacing w:after="0" w:line="227" w:lineRule="auto"/>
        <w:tabs>
          <w:tab w:leader="none" w:pos="136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Agreement may not be modified, amended or terminated except by an instrument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28" w:lineRule="exact"/>
        <w:rPr>
          <w:rFonts w:ascii="Arial" w:cs="Arial" w:eastAsia="Arial" w:hAnsi="Arial"/>
          <w:sz w:val="18"/>
          <w:szCs w:val="18"/>
          <w:b w:val="1"/>
          <w:bCs w:val="1"/>
          <w:color w:val="auto"/>
        </w:rPr>
      </w:pPr>
    </w:p>
    <w:p>
      <w:pPr>
        <w:jc w:val="both"/>
        <w:ind w:firstLine="648"/>
        <w:spacing w:after="0" w:line="224" w:lineRule="auto"/>
        <w:tabs>
          <w:tab w:leader="none" w:pos="134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Section 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33" w:lineRule="exact"/>
        <w:rPr>
          <w:rFonts w:ascii="Arial" w:cs="Arial" w:eastAsia="Arial" w:hAnsi="Arial"/>
          <w:sz w:val="18"/>
          <w:szCs w:val="18"/>
          <w:b w:val="1"/>
          <w:bCs w:val="1"/>
          <w:color w:val="auto"/>
        </w:rPr>
      </w:pPr>
    </w:p>
    <w:p>
      <w:pPr>
        <w:ind w:left="4680"/>
        <w:spacing w:after="0"/>
        <w:rPr>
          <w:rFonts w:ascii="Arial" w:cs="Arial" w:eastAsia="Arial" w:hAnsi="Arial"/>
          <w:sz w:val="18"/>
          <w:szCs w:val="18"/>
          <w:b w:val="1"/>
          <w:bCs w:val="1"/>
          <w:color w:val="auto"/>
        </w:rPr>
      </w:pPr>
      <w:r>
        <w:rPr>
          <w:rFonts w:ascii="Arial" w:cs="Arial" w:eastAsia="Arial" w:hAnsi="Arial"/>
          <w:sz w:val="20"/>
          <w:szCs w:val="20"/>
          <w:color w:val="auto"/>
        </w:rPr>
        <w:t>* * * * *</w:t>
      </w:r>
    </w:p>
    <w:p>
      <w:pPr>
        <w:spacing w:after="0" w:line="148"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This Restricted Stock Unit Award Agreement shall be deemed to be signed by the Company and the Participant upon the signing by the Participant of the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6388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441" w:right="91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ATTACHMENT 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451485</wp:posOffset>
            </wp:positionV>
            <wp:extent cx="638873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40" w:hanging="317"/>
        <w:spacing w:after="0" w:line="258"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jc w:val="both"/>
        <w:ind w:right="240" w:firstLine="3"/>
        <w:spacing w:after="0" w:line="224"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2017,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2017</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Chief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lvl w:ilvl="1">
      <w:lvlJc w:val="left"/>
      <w:lvlText w:val="%2."/>
      <w:numFmt w:val="lowerLetter"/>
      <w:start w:val="1"/>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10">
    <w:nsid w:val="B03E0C6"/>
    <w:multiLevelType w:val="hybridMultilevel"/>
    <w:lvl w:ilvl="0">
      <w:lvlJc w:val="left"/>
      <w:lvlText w:val="%1"/>
      <w:numFmt w:val="lowerRoman"/>
      <w:start w:val="1"/>
    </w:lvl>
    <w:lvl w:ilvl="1">
      <w:lvlJc w:val="left"/>
      <w:lvlText w:val="%2."/>
      <w:numFmt w:val="lowerLetter"/>
      <w:start w:val="5"/>
    </w:lvl>
  </w:abstractNum>
  <w:abstractNum w:abstractNumId="11">
    <w:nsid w:val="189A769B"/>
    <w:multiLevelType w:val="hybridMultilevel"/>
    <w:lvl w:ilvl="0">
      <w:lvlJc w:val="left"/>
      <w:lvlText w:val="(%1)"/>
      <w:numFmt w:val="lowerRoman"/>
      <w:start w:val="1"/>
    </w:lvl>
    <w:lvl w:ilvl="1">
      <w:lvlJc w:val="left"/>
      <w:lvlText w:val="%2."/>
      <w:numFmt w:val="lowerLetter"/>
      <w:start w:val="7"/>
    </w:lvl>
  </w:abstractNum>
  <w:abstractNum w:abstractNumId="12">
    <w:nsid w:val="54E49EB4"/>
    <w:multiLevelType w:val="hybridMultilevel"/>
    <w:lvl w:ilvl="0">
      <w:lvlJc w:val="left"/>
      <w:lvlText w:val="%1."/>
      <w:numFmt w:val="decimal"/>
      <w:start w:val="6"/>
    </w:lvl>
  </w:abstractNum>
  <w:abstractNum w:abstractNumId="13">
    <w:nsid w:val="71F32454"/>
    <w:multiLevelType w:val="hybridMultilevel"/>
    <w:lvl w:ilvl="0">
      <w:lvlJc w:val="left"/>
      <w:lvlText w:val="%1."/>
      <w:numFmt w:val="decimal"/>
      <w:start w:val="13"/>
    </w:lvl>
  </w:abstractNum>
  <w:abstractNum w:abstractNumId="14">
    <w:nsid w:val="2CA88611"/>
    <w:multiLevelType w:val="hybridMultilevel"/>
    <w:lvl w:ilvl="0">
      <w:lvlJc w:val="left"/>
      <w:lvlText w:val="%1."/>
      <w:numFmt w:val="decimal"/>
      <w:start w:val="15"/>
    </w:lvl>
  </w:abstractNum>
  <w:abstractNum w:abstractNumId="15">
    <w:nsid w:val="836C40E"/>
    <w:multiLevelType w:val="hybridMultilevel"/>
    <w:lvl w:ilvl="0">
      <w:lvlJc w:val="left"/>
      <w:lvlText w:val="(%1)"/>
      <w:numFmt w:val="lowerLetter"/>
      <w:start w:val="4"/>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1."/>
      <w:numFmt w:val="decimal"/>
      <w:start w:val="6"/>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3006C83E"/>
    <w:multiLevelType w:val="hybridMultilevel"/>
    <w:lvl w:ilvl="0">
      <w:lvlJc w:val="left"/>
      <w:lvlText w:val="%1"/>
      <w:numFmt w:val="decimal"/>
      <w:start w:val="1"/>
    </w:lvl>
    <w:lvl w:ilvl="1">
      <w:lvlJc w:val="left"/>
      <w:lvlText w:val="(%2)"/>
      <w:numFmt w:val="lowerLetter"/>
      <w:start w:val="3"/>
    </w:lvl>
  </w:abstractNum>
  <w:abstractNum w:abstractNumId="26">
    <w:nsid w:val="614FD4A1"/>
    <w:multiLevelType w:val="hybridMultilevel"/>
    <w:lvl w:ilvl="0">
      <w:lvlJc w:val="left"/>
      <w:lvlText w:val="%1."/>
      <w:numFmt w:val="decimal"/>
      <w:start w:val="7"/>
    </w:lvl>
    <w:lvl w:ilvl="1">
      <w:lvlJc w:val="left"/>
      <w:lvlText w:val="(%2)"/>
      <w:numFmt w:val="lowerLetter"/>
      <w:start w:val="1"/>
    </w:lvl>
  </w:abstractNum>
  <w:abstractNum w:abstractNumId="27">
    <w:nsid w:val="419AC241"/>
    <w:multiLevelType w:val="hybridMultilevel"/>
    <w:lvl w:ilvl="0">
      <w:lvlJc w:val="left"/>
      <w:lvlText w:val="%1."/>
      <w:numFmt w:val="decimal"/>
      <w:start w:val="11"/>
    </w:lvl>
    <w:lvl w:ilvl="1">
      <w:lvlJc w:val="left"/>
      <w:lvlText w:val="(%2)"/>
      <w:numFmt w:val="lowerLetter"/>
      <w:start w:val="1"/>
    </w:lvl>
  </w:abstractNum>
  <w:abstractNum w:abstractNumId="28">
    <w:nsid w:val="5577F8E1"/>
    <w:multiLevelType w:val="hybridMultilevel"/>
    <w:lvl w:ilvl="0">
      <w:lvlJc w:val="left"/>
      <w:lvlText w:val="%1"/>
      <w:numFmt w:val="lowerRoman"/>
      <w:start w:val="1"/>
    </w:lvl>
    <w:lvl w:ilvl="1">
      <w:lvlJc w:val="left"/>
      <w:lvlText w:val="(%2)"/>
      <w:numFmt w:val="decimal"/>
      <w:start w:val="1"/>
    </w:lvl>
  </w:abstractNum>
  <w:abstractNum w:abstractNumId="29">
    <w:nsid w:val="440BADFC"/>
    <w:multiLevelType w:val="hybridMultilevel"/>
    <w:lvl w:ilvl="0">
      <w:lvlJc w:val="left"/>
      <w:lvlText w:val="(%1)"/>
      <w:numFmt w:val="lowerRoman"/>
      <w:start w:val="2"/>
    </w:lvl>
    <w:lvl w:ilvl="1">
      <w:lvlJc w:val="left"/>
      <w:lvlText w:val="%2"/>
      <w:numFmt w:val="decimal"/>
      <w:start w:val="1"/>
    </w:lvl>
  </w:abstractNum>
  <w:abstractNum w:abstractNumId="30">
    <w:nsid w:val="507236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1">
    <w:nsid w:val="3804823E"/>
    <w:multiLevelType w:val="hybridMultilevel"/>
    <w:lvl w:ilvl="0">
      <w:lvlJc w:val="left"/>
      <w:lvlText w:val="(%1)"/>
      <w:numFmt w:val="lowerRoman"/>
      <w:start w:val="5"/>
    </w:lvl>
    <w:lvl w:ilvl="1">
      <w:lvlJc w:val="left"/>
      <w:lvlText w:val="(%2)"/>
      <w:numFmt w:val="lowerLetter"/>
      <w:start w:val="2"/>
    </w:lvl>
    <w:lvl w:ilvl="2">
      <w:lvlJc w:val="left"/>
      <w:lvlText w:val="(%3)"/>
      <w:numFmt w:val="lowerRoman"/>
      <w:start w:val="4"/>
    </w:lvl>
  </w:abstractNum>
  <w:abstractNum w:abstractNumId="32">
    <w:nsid w:val="77465F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
    <w:nsid w:val="7724C67E"/>
    <w:multiLevelType w:val="hybridMultilevel"/>
    <w:lvl w:ilvl="0">
      <w:lvlJc w:val="left"/>
      <w:lvlText w:val="%1"/>
      <w:numFmt w:val="decimal"/>
      <w:start w:val="1"/>
    </w:lvl>
    <w:lvl w:ilvl="1">
      <w:lvlJc w:val="left"/>
      <w:lvlText w:val="(%2)"/>
      <w:numFmt w:val="lowerLetter"/>
      <w:start w:val="4"/>
    </w:lvl>
  </w:abstractNum>
  <w:abstractNum w:abstractNumId="34">
    <w:nsid w:val="5C482A97"/>
    <w:multiLevelType w:val="hybridMultilevel"/>
    <w:lvl w:ilvl="0">
      <w:lvlJc w:val="left"/>
      <w:lvlText w:val="%1."/>
      <w:numFmt w:val="decimal"/>
      <w:start w:val="12"/>
    </w:lvl>
    <w:lvl w:ilvl="1">
      <w:lvlJc w:val="left"/>
      <w:lvlText w:val="(%2)"/>
      <w:numFmt w:val="lowerLetter"/>
      <w:start w:val="1"/>
    </w:lvl>
  </w:abstractNum>
  <w:abstractNum w:abstractNumId="35">
    <w:nsid w:val="2463B9EA"/>
    <w:multiLevelType w:val="hybridMultilevel"/>
    <w:lvl w:ilvl="0">
      <w:lvlJc w:val="left"/>
      <w:lvlText w:val="%1"/>
      <w:numFmt w:val="decimal"/>
      <w:start w:val="1"/>
    </w:lvl>
    <w:lvl w:ilvl="1">
      <w:lvlJc w:val="left"/>
      <w:lvlText w:val="(%2)"/>
      <w:numFmt w:val="lowerLetter"/>
      <w:start w:val="2"/>
    </w:lvl>
  </w:abstractNum>
  <w:abstractNum w:abstractNumId="36">
    <w:nsid w:val="5E884ADC"/>
    <w:multiLevelType w:val="hybridMultilevel"/>
    <w:lvl w:ilvl="0">
      <w:lvlJc w:val="left"/>
      <w:lvlText w:val="%1."/>
      <w:numFmt w:val="decimal"/>
      <w:start w:val="17"/>
    </w:lvl>
    <w:lvl w:ilvl="1">
      <w:lvlJc w:val="left"/>
      <w:lvlText w:val="%2"/>
      <w:numFmt w:val="lowerLetter"/>
      <w:start w:val="1"/>
    </w:lvl>
  </w:abstractNum>
  <w:abstractNum w:abstractNumId="37">
    <w:nsid w:val="51EAD36B"/>
    <w:multiLevelType w:val="hybridMultilevel"/>
    <w:lvl w:ilvl="0">
      <w:lvlJc w:val="left"/>
      <w:lvlText w:val="%1."/>
      <w:numFmt w:val="decimal"/>
      <w:start w:val="20"/>
    </w:lvl>
    <w:lvl w:ilvl="1">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74" Type="http://schemas.openxmlformats.org/officeDocument/2006/relationships/hyperlink" Target="http://www.sec.gov/Archives/edgar/data/1438423/000119312516737688/d271840dex31.htm" TargetMode="External"/><Relationship Id="rId75" Type="http://schemas.openxmlformats.org/officeDocument/2006/relationships/hyperlink" Target="http://www.sec.gov/Archives/edgar/data/1438423/000119312516706479/d180963dex36.htm" TargetMode="External"/><Relationship Id="rId76" Type="http://schemas.openxmlformats.org/officeDocument/2006/relationships/hyperlink" Target="http://www.sec.gov/Archives/edgar/data/1438423/000119312516706479/d180963dex41.htm" TargetMode="External"/><Relationship Id="rId77" Type="http://schemas.openxmlformats.org/officeDocument/2006/relationships/hyperlink" Target="http://www.sec.gov/Archives/edgar/data/1438423/000119312517265003/d4387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2019-12-29T02:45:15Z</dcterms:created>
  <dcterms:modified xsi:type="dcterms:W3CDTF">2019-12-29T02:45:15Z</dcterms:modified>
</cp:coreProperties>
</file>