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248920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-228600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2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96520</wp:posOffset>
            </wp:positionV>
            <wp:extent cx="156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1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30" w:right="180" w:hanging="430"/>
        <w:spacing w:after="0" w:line="237" w:lineRule="auto"/>
        <w:tabs>
          <w:tab w:leader="none" w:pos="43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3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30" w:right="180" w:hanging="430"/>
        <w:spacing w:after="0" w:line="262" w:lineRule="auto"/>
        <w:tabs>
          <w:tab w:leader="none" w:pos="43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270"/>
        <w:spacing w:after="0"/>
        <w:tabs>
          <w:tab w:leader="none" w:pos="621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3580765</wp:posOffset>
            </wp:positionH>
            <wp:positionV relativeFrom="paragraph">
              <wp:posOffset>-5080</wp:posOffset>
            </wp:positionV>
            <wp:extent cx="837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1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64770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9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43"/>
          <w:szCs w:val="43"/>
          <w:b w:val="1"/>
          <w:bCs w:val="1"/>
          <w:color w:val="auto"/>
        </w:rPr>
        <w:t>Everspin Technologies, Inc.</w:t>
      </w:r>
    </w:p>
    <w:p>
      <w:pPr>
        <w:spacing w:after="0" w:line="5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47625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2" w:lineRule="exact"/>
        <w:rPr>
          <w:sz w:val="24"/>
          <w:szCs w:val="24"/>
          <w:color w:val="auto"/>
        </w:rPr>
      </w:pPr>
    </w:p>
    <w:tbl>
      <w:tblPr>
        <w:tblLayout w:type="fixed"/>
        <w:tblInd w:w="1230" w:type="dxa"/>
        <w:tblCellMar>
          <w:top w:w="0" w:type="dxa"/>
          <w:left w:w="0" w:type="dxa"/>
          <w:bottom w:w="0" w:type="dxa"/>
          <w:right w:w="0" w:type="dxa"/>
        </w:tblCellMar>
      </w:tblPr>
      <w:tr>
        <w:trPr>
          <w:trHeight w:val="216"/>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26-2640654</w:t>
            </w:r>
          </w:p>
        </w:tc>
      </w:tr>
      <w:tr>
        <w:trPr>
          <w:trHeight w:val="216"/>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9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5670 W. Chandler Boulevard, Suite 130</w:t>
      </w:r>
    </w:p>
    <w:p>
      <w:pPr>
        <w:spacing w:after="0" w:line="3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Chandler, Arizona 85226</w:t>
      </w:r>
    </w:p>
    <w:p>
      <w:pPr>
        <w:spacing w:after="0" w:line="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08" w:lineRule="exact"/>
        <w:rPr>
          <w:sz w:val="24"/>
          <w:szCs w:val="24"/>
          <w:color w:val="auto"/>
        </w:rPr>
      </w:pPr>
    </w:p>
    <w:p>
      <w:pPr>
        <w:ind w:left="255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88265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201"/>
        </w:trPr>
        <w:tc>
          <w:tcPr>
            <w:tcW w:w="3420" w:type="dxa"/>
            <w:vAlign w:val="bottom"/>
            <w:tcBorders>
              <w:top w:val="single" w:sz="8" w:color="auto"/>
              <w:left w:val="single" w:sz="8" w:color="auto"/>
              <w:right w:val="single" w:sz="8" w:color="auto"/>
            </w:tcBorders>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3400" w:type="dxa"/>
            <w:vAlign w:val="bottom"/>
            <w:tcBorders>
              <w:top w:val="single" w:sz="8" w:color="auto"/>
              <w:right w:val="single" w:sz="8" w:color="auto"/>
            </w:tcBorders>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Trading Symbol(s)</w:t>
            </w:r>
          </w:p>
        </w:tc>
        <w:tc>
          <w:tcPr>
            <w:tcW w:w="3420" w:type="dxa"/>
            <w:vAlign w:val="bottom"/>
            <w:tcBorders>
              <w:top w:val="single" w:sz="8" w:color="auto"/>
              <w:right w:val="single" w:sz="8" w:color="auto"/>
            </w:tcBorders>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420" w:type="dxa"/>
            <w:vAlign w:val="bottom"/>
            <w:tcBorders>
              <w:left w:val="single" w:sz="8" w:color="auto"/>
              <w:bottom w:val="single" w:sz="8" w:color="auto"/>
              <w:right w:val="single" w:sz="8" w:color="auto"/>
            </w:tcBorders>
          </w:tcPr>
          <w:p>
            <w:pPr>
              <w:spacing w:after="0"/>
              <w:rPr>
                <w:sz w:val="20"/>
                <w:szCs w:val="20"/>
                <w:color w:val="auto"/>
              </w:rPr>
            </w:pPr>
          </w:p>
        </w:tc>
        <w:tc>
          <w:tcPr>
            <w:tcW w:w="3400" w:type="dxa"/>
            <w:vAlign w:val="bottom"/>
            <w:tcBorders>
              <w:bottom w:val="single" w:sz="8" w:color="auto"/>
              <w:right w:val="single" w:sz="8" w:color="auto"/>
            </w:tcBorders>
          </w:tcPr>
          <w:p>
            <w:pPr>
              <w:spacing w:after="0"/>
              <w:rPr>
                <w:sz w:val="20"/>
                <w:szCs w:val="20"/>
                <w:color w:val="auto"/>
              </w:rPr>
            </w:pPr>
          </w:p>
        </w:tc>
        <w:tc>
          <w:tcPr>
            <w:tcW w:w="3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10"/>
        </w:trPr>
        <w:tc>
          <w:tcPr>
            <w:tcW w:w="34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 par value $0.0001</w:t>
            </w:r>
          </w:p>
        </w:tc>
        <w:tc>
          <w:tcPr>
            <w:tcW w:w="3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MRAM</w:t>
            </w:r>
          </w:p>
        </w:tc>
        <w:tc>
          <w:tcPr>
            <w:tcW w:w="3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03" w:lineRule="exact"/>
        <w:rPr>
          <w:sz w:val="24"/>
          <w:szCs w:val="24"/>
          <w:color w:val="auto"/>
        </w:rPr>
      </w:pPr>
    </w:p>
    <w:p>
      <w:pPr>
        <w:jc w:val="both"/>
        <w:ind w:left="10"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0"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0" w:right="18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0" w:type="dxa"/>
        <w:tblCellMar>
          <w:top w:w="0" w:type="dxa"/>
          <w:left w:w="0" w:type="dxa"/>
          <w:bottom w:w="0" w:type="dxa"/>
          <w:right w:w="0" w:type="dxa"/>
        </w:tblCellMar>
      </w:tblPr>
      <w:tr>
        <w:trPr>
          <w:trHeight w:val="177"/>
        </w:trPr>
        <w:tc>
          <w:tcPr>
            <w:tcW w:w="16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60"/>
              <w:spacing w:after="0" w:line="177"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line="177" w:lineRule="exact"/>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77"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9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3"/>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4"/>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complying with any new or revised financial accounting standards provided pursuant to Section 13(a) of the Exchange Act.</w:t>
            </w:r>
          </w:p>
        </w:tc>
        <w:tc>
          <w:tcPr>
            <w:tcW w:w="740" w:type="dxa"/>
            <w:vAlign w:val="bottom"/>
          </w:tcPr>
          <w:p>
            <w:pPr>
              <w:spacing w:after="0"/>
              <w:rPr>
                <w:sz w:val="20"/>
                <w:szCs w:val="20"/>
                <w:color w:val="auto"/>
              </w:rPr>
            </w:pPr>
          </w:p>
        </w:tc>
      </w:tr>
      <w:tr>
        <w:trPr>
          <w:trHeight w:val="393"/>
        </w:trPr>
        <w:tc>
          <w:tcPr>
            <w:tcW w:w="948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7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35"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August 1, 2024, was 21,743,166.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608965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94615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77470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50"/>
          </w:cols>
          <w:pgMar w:left="830" w:top="661" w:right="81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340" w:type="dxa"/>
            <w:vAlign w:val="bottom"/>
            <w:gridSpan w:val="14"/>
            <w:vMerge w:val="restart"/>
          </w:tcPr>
          <w:p>
            <w:pPr>
              <w:jc w:val="center"/>
              <w:ind w:right="2180"/>
              <w:spacing w:after="0"/>
              <w:rPr>
                <w:sz w:val="20"/>
                <w:szCs w:val="20"/>
                <w:color w:val="auto"/>
              </w:rPr>
            </w:pPr>
            <w:r>
              <w:rPr>
                <w:rFonts w:ascii="Times New Roman" w:cs="Times New Roman" w:eastAsia="Times New Roman" w:hAnsi="Times New Roman"/>
                <w:sz w:val="18"/>
                <w:szCs w:val="18"/>
                <w:b w:val="1"/>
                <w:bCs w:val="1"/>
                <w:color w:val="0000EE"/>
                <w:w w:val="99"/>
              </w:rPr>
              <w:t>PART I—FINANCIAL INFORMATION</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340" w:type="dxa"/>
            <w:vAlign w:val="bottom"/>
            <w:gridSpan w:val="14"/>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640" w:type="dxa"/>
            <w:vAlign w:val="bottom"/>
            <w:gridSpan w:val="3"/>
          </w:tcPr>
          <w:p>
            <w:pPr>
              <w:spacing w:after="0"/>
              <w:rPr>
                <w:sz w:val="18"/>
                <w:szCs w:val="18"/>
                <w:color w:val="auto"/>
              </w:rPr>
            </w:pPr>
          </w:p>
        </w:tc>
        <w:tc>
          <w:tcPr>
            <w:tcW w:w="3160" w:type="dxa"/>
            <w:vAlign w:val="bottom"/>
            <w:tcBorders>
              <w:top w:val="single" w:sz="8" w:color="0000EE"/>
            </w:tcBorders>
            <w:gridSpan w:val="8"/>
          </w:tcPr>
          <w:p>
            <w:pPr>
              <w:spacing w:after="0"/>
              <w:rPr>
                <w:sz w:val="18"/>
                <w:szCs w:val="18"/>
                <w:color w:val="auto"/>
              </w:rPr>
            </w:pPr>
          </w:p>
        </w:tc>
        <w:tc>
          <w:tcPr>
            <w:tcW w:w="2180" w:type="dxa"/>
            <w:vAlign w:val="bottom"/>
            <w:gridSpan w:val="6"/>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Balance Sheets as of June 30, 2024 (unaudited) and December 31, 2023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Statements of Operations and Comprehensive (Loss) Income for the three and six</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months ended June 30, 2024 and 2023 (unaudited)</w:t>
            </w:r>
          </w:p>
        </w:tc>
        <w:tc>
          <w:tcPr>
            <w:tcW w:w="44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Statements of Stockholders’ Equity for the three and six months ended June 30, 2024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94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and 2023 (unaudited)</w:t>
            </w:r>
          </w:p>
        </w:tc>
        <w:tc>
          <w:tcPr>
            <w:tcW w:w="1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Statements of Cash Flows for the six months ended June 30, 2024 and 2023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(unaudited)</w:t>
            </w:r>
          </w:p>
        </w:tc>
        <w:tc>
          <w:tcPr>
            <w:tcW w:w="5460" w:type="dxa"/>
            <w:vAlign w:val="bottom"/>
            <w:tcBorders>
              <w:top w:val="single" w:sz="8" w:color="0000EE"/>
            </w:tcBorders>
            <w:gridSpan w:val="16"/>
          </w:tcPr>
          <w:p>
            <w:pPr>
              <w:spacing w:after="0"/>
              <w:rPr>
                <w:sz w:val="17"/>
                <w:szCs w:val="17"/>
                <w:color w:val="auto"/>
              </w:rPr>
            </w:pPr>
          </w:p>
        </w:tc>
        <w:tc>
          <w:tcPr>
            <w:tcW w:w="86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Notes to Condensed Financial Statements (unaudited)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4"/>
          </w:tcPr>
          <w:p>
            <w:pPr>
              <w:spacing w:after="0"/>
              <w:rPr>
                <w:sz w:val="18"/>
                <w:szCs w:val="18"/>
                <w:color w:val="auto"/>
              </w:rPr>
            </w:pPr>
          </w:p>
        </w:tc>
        <w:tc>
          <w:tcPr>
            <w:tcW w:w="1040" w:type="dxa"/>
            <w:vAlign w:val="bottom"/>
            <w:gridSpan w:val="4"/>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7660" w:type="dxa"/>
            <w:vAlign w:val="bottom"/>
            <w:gridSpan w:val="26"/>
          </w:tcPr>
          <w:p>
            <w:pPr>
              <w:ind w:left="160"/>
              <w:spacing w:after="0"/>
              <w:rPr>
                <w:sz w:val="20"/>
                <w:szCs w:val="20"/>
                <w:color w:val="auto"/>
              </w:rPr>
            </w:pPr>
            <w:r>
              <w:rPr>
                <w:rFonts w:ascii="Times New Roman" w:cs="Times New Roman" w:eastAsia="Times New Roman" w:hAnsi="Times New Roman"/>
                <w:sz w:val="18"/>
                <w:szCs w:val="18"/>
                <w:color w:val="0000EE"/>
              </w:rPr>
              <w:t>Controls and Procedures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II—OTHER INFORMATION</w:t>
            </w:r>
          </w:p>
        </w:tc>
        <w:tc>
          <w:tcPr>
            <w:tcW w:w="232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7660" w:type="dxa"/>
            <w:vAlign w:val="bottom"/>
            <w:gridSpan w:val="26"/>
          </w:tcPr>
          <w:p>
            <w:pPr>
              <w:ind w:left="160"/>
              <w:spacing w:after="0"/>
              <w:rPr>
                <w:sz w:val="20"/>
                <w:szCs w:val="20"/>
                <w:color w:val="auto"/>
              </w:rPr>
            </w:pPr>
            <w:r>
              <w:rPr>
                <w:rFonts w:ascii="Times New Roman" w:cs="Times New Roman" w:eastAsia="Times New Roman" w:hAnsi="Times New Roman"/>
                <w:sz w:val="18"/>
                <w:szCs w:val="18"/>
                <w:color w:val="0000EE"/>
              </w:rPr>
              <w:t>Risk Factors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140" w:type="dxa"/>
            <w:vAlign w:val="bottom"/>
            <w:gridSpan w:val="9"/>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Defaults Upon Senior Securities</w:t>
            </w:r>
          </w:p>
        </w:tc>
        <w:tc>
          <w:tcPr>
            <w:tcW w:w="5160" w:type="dxa"/>
            <w:vAlign w:val="bottom"/>
            <w:gridSpan w:val="12"/>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720" w:type="dxa"/>
            <w:vAlign w:val="bottom"/>
            <w:gridSpan w:val="16"/>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Exhibits</w:t>
            </w:r>
          </w:p>
        </w:tc>
        <w:tc>
          <w:tcPr>
            <w:tcW w:w="6160" w:type="dxa"/>
            <w:vAlign w:val="bottom"/>
            <w:gridSpan w:val="18"/>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900" w:type="dxa"/>
            <w:vAlign w:val="bottom"/>
            <w:gridSpan w:val="2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EXHIBIT INDEX</w:t>
            </w:r>
          </w:p>
        </w:tc>
        <w:tc>
          <w:tcPr>
            <w:tcW w:w="7120" w:type="dxa"/>
            <w:vAlign w:val="bottom"/>
            <w:gridSpan w:val="22"/>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84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0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r>
      <w:tr>
        <w:trPr>
          <w:trHeight w:val="21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09"/>
        </w:trPr>
        <w:tc>
          <w:tcPr>
            <w:tcW w:w="6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67,303</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10"/>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income tax liability</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0"/>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8"/>
        </w:trPr>
        <w:tc>
          <w:tcPr>
            <w:tcW w:w="63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5,000,000 shares authorized; no shares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issued and outstanding as of June 30, 2024 and December 31, 2023, respectively</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100,000,000 shares authorized;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21,656,683 and 21,080,472 shares issued and outstanding as of June 30, 2024 and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191,569</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(140,354)</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(137,650)</w:t>
            </w:r>
          </w:p>
        </w:tc>
      </w:tr>
      <w:tr>
        <w:trPr>
          <w:trHeight w:val="209"/>
        </w:trPr>
        <w:tc>
          <w:tcPr>
            <w:tcW w:w="6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53,921</w:t>
            </w:r>
          </w:p>
        </w:tc>
      </w:tr>
      <w:tr>
        <w:trPr>
          <w:trHeight w:val="210"/>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64,565</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67,303</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40" w:right="59"/>
        <w:spacing w:after="0" w:line="265" w:lineRule="auto"/>
        <w:rPr>
          <w:sz w:val="20"/>
          <w:szCs w:val="20"/>
          <w:color w:val="auto"/>
        </w:rPr>
      </w:pPr>
      <w:r>
        <w:rPr>
          <w:rFonts w:ascii="Times New Roman" w:cs="Times New Roman" w:eastAsia="Times New Roman" w:hAnsi="Times New Roman"/>
          <w:sz w:val="18"/>
          <w:szCs w:val="18"/>
          <w:b w:val="1"/>
          <w:bCs w:val="1"/>
          <w:color w:val="auto"/>
        </w:rPr>
        <w:t>EVERSPIN TECHNOLOGIES, INC. Condensed Statements of Operations and Comprehensive (Loss) Income (In thousands, except share and per share amounts) (Unaudited)</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2080" w:type="dxa"/>
            <w:vAlign w:val="bottom"/>
            <w:gridSpan w:val="5"/>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27,183</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sales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17,623</w:t>
            </w:r>
          </w:p>
        </w:tc>
        <w:tc>
          <w:tcPr>
            <w:tcW w:w="0" w:type="dxa"/>
            <w:vAlign w:val="bottom"/>
          </w:tcPr>
          <w:p>
            <w:pPr>
              <w:spacing w:after="0"/>
              <w:rPr>
                <w:sz w:val="1"/>
                <w:szCs w:val="1"/>
                <w:color w:val="auto"/>
              </w:rPr>
            </w:pPr>
          </w:p>
        </w:tc>
      </w:tr>
      <w:tr>
        <w:trPr>
          <w:trHeight w:val="216"/>
        </w:trPr>
        <w:tc>
          <w:tcPr>
            <w:tcW w:w="4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15,304</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income and comprehensive (loss)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common share: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21,566,863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20,657,404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21,409,611</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20,554,769</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21,566,863</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21,234,253</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21,409,611</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21,068,059</w:t>
            </w: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4"/>
          </w:tcPr>
          <w:p>
            <w:pPr>
              <w:spacing w:after="0" w:line="216" w:lineRule="exact"/>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Operating expenses include stock-based compensation as follows: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176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0"/>
                <w:szCs w:val="10"/>
                <w:color w:val="auto"/>
              </w:rPr>
            </w:pPr>
          </w:p>
        </w:tc>
        <w:tc>
          <w:tcPr>
            <w:tcW w:w="820" w:type="dxa"/>
            <w:vAlign w:val="bottom"/>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7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98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21,080,472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191,569</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(137,650)</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96,116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229,923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2024</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21,406,511</w:t>
            </w: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193,636</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(137,852)</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55,786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86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9,549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240,623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(2,502)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2024</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21,656,683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195,774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(140,354)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55,422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8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176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0"/>
                <w:szCs w:val="10"/>
                <w:color w:val="auto"/>
              </w:rPr>
            </w:pPr>
          </w:p>
        </w:tc>
        <w:tc>
          <w:tcPr>
            <w:tcW w:w="820" w:type="dxa"/>
            <w:vAlign w:val="bottom"/>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7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98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2022</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20,374,288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185,364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(146,702)</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38,664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2023</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20,534,744</w:t>
            </w: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186,537</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(145,941)</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40,598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86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36,353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172,325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2023</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20,743,422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188,126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(142,056)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46,072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EVERSPIN TECHNOLOGIES, INC.</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Condensed Statements of Cash Flows</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8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 income</w:t>
            </w:r>
          </w:p>
        </w:tc>
        <w:tc>
          <w:tcPr>
            <w:tcW w:w="1040" w:type="dxa"/>
            <w:vAlign w:val="bottom"/>
            <w:gridSpan w:val="2"/>
          </w:tcPr>
          <w:p>
            <w:pPr>
              <w:jc w:val="right"/>
              <w:ind w:right="6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(2,704)</w:t>
            </w:r>
          </w:p>
        </w:tc>
        <w:tc>
          <w:tcPr>
            <w:tcW w:w="820" w:type="dxa"/>
            <w:vAlign w:val="bottom"/>
          </w:tcPr>
          <w:p>
            <w:pPr>
              <w:jc w:val="right"/>
              <w:ind w:right="6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4,646</w:t>
            </w: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income to net cash provided by operating activities:</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795</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617</w:t>
            </w: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Gain on sale of property and equipment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162"/>
        </w:trPr>
        <w:tc>
          <w:tcPr>
            <w:tcW w:w="58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3,576</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2,420</w:t>
            </w: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Loss on prepayment and termination of credit facility</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170</w:t>
            </w:r>
          </w:p>
        </w:tc>
        <w:tc>
          <w:tcPr>
            <w:tcW w:w="0" w:type="dxa"/>
            <w:vAlign w:val="bottom"/>
          </w:tcPr>
          <w:p>
            <w:pPr>
              <w:spacing w:after="0"/>
              <w:rPr>
                <w:sz w:val="1"/>
                <w:szCs w:val="1"/>
                <w:color w:val="auto"/>
              </w:rPr>
            </w:pPr>
          </w:p>
        </w:tc>
      </w:tr>
      <w:tr>
        <w:trPr>
          <w:trHeight w:val="162"/>
        </w:trPr>
        <w:tc>
          <w:tcPr>
            <w:tcW w:w="58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Non-cash warrant revaluation</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Non-cash interest expense</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62"/>
        </w:trPr>
        <w:tc>
          <w:tcPr>
            <w:tcW w:w="58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Accounts receivable</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1,440</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1,639</w:t>
            </w:r>
          </w:p>
        </w:tc>
        <w:tc>
          <w:tcPr>
            <w:tcW w:w="0" w:type="dxa"/>
            <w:vAlign w:val="bottom"/>
          </w:tcPr>
          <w:p>
            <w:pPr>
              <w:spacing w:after="0"/>
              <w:rPr>
                <w:sz w:val="1"/>
                <w:szCs w:val="1"/>
                <w:color w:val="auto"/>
              </w:rPr>
            </w:pPr>
          </w:p>
        </w:tc>
      </w:tr>
      <w:tr>
        <w:trPr>
          <w:trHeight w:val="162"/>
        </w:trPr>
        <w:tc>
          <w:tcPr>
            <w:tcW w:w="58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Inventory</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404</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(662)</w:t>
            </w: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471</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193</w:t>
            </w:r>
          </w:p>
        </w:tc>
        <w:tc>
          <w:tcPr>
            <w:tcW w:w="0" w:type="dxa"/>
            <w:vAlign w:val="bottom"/>
          </w:tcPr>
          <w:p>
            <w:pPr>
              <w:spacing w:after="0"/>
              <w:rPr>
                <w:sz w:val="1"/>
                <w:szCs w:val="1"/>
                <w:color w:val="auto"/>
              </w:rPr>
            </w:pPr>
          </w:p>
        </w:tc>
      </w:tr>
      <w:tr>
        <w:trPr>
          <w:trHeight w:val="162"/>
        </w:trPr>
        <w:tc>
          <w:tcPr>
            <w:tcW w:w="58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(595)</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(741)</w:t>
            </w:r>
          </w:p>
        </w:tc>
        <w:tc>
          <w:tcPr>
            <w:tcW w:w="0" w:type="dxa"/>
            <w:vAlign w:val="bottom"/>
          </w:tcPr>
          <w:p>
            <w:pPr>
              <w:spacing w:after="0"/>
              <w:rPr>
                <w:sz w:val="1"/>
                <w:szCs w:val="1"/>
                <w:color w:val="auto"/>
              </w:rPr>
            </w:pPr>
          </w:p>
        </w:tc>
      </w:tr>
      <w:tr>
        <w:trPr>
          <w:trHeight w:val="162"/>
        </w:trPr>
        <w:tc>
          <w:tcPr>
            <w:tcW w:w="58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Accrued liabilities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(2,628)</w:t>
            </w:r>
          </w:p>
        </w:tc>
        <w:tc>
          <w:tcPr>
            <w:tcW w:w="8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(701)</w:t>
            </w: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Deferred revenue</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(336)</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(96)</w:t>
            </w:r>
          </w:p>
        </w:tc>
        <w:tc>
          <w:tcPr>
            <w:tcW w:w="0" w:type="dxa"/>
            <w:vAlign w:val="bottom"/>
          </w:tcPr>
          <w:p>
            <w:pPr>
              <w:spacing w:after="0"/>
              <w:rPr>
                <w:sz w:val="1"/>
                <w:szCs w:val="1"/>
                <w:color w:val="auto"/>
              </w:rPr>
            </w:pPr>
          </w:p>
        </w:tc>
      </w:tr>
      <w:tr>
        <w:trPr>
          <w:trHeight w:val="162"/>
        </w:trPr>
        <w:tc>
          <w:tcPr>
            <w:tcW w:w="5860" w:type="dxa"/>
            <w:vAlign w:val="bottom"/>
            <w:tcBorders>
              <w:bottom w:val="single" w:sz="8" w:color="CCEEFF"/>
            </w:tcBorders>
          </w:tcPr>
          <w:p>
            <w:pPr>
              <w:ind w:left="120"/>
              <w:spacing w:after="0" w:line="162" w:lineRule="exact"/>
              <w:rPr>
                <w:sz w:val="20"/>
                <w:szCs w:val="20"/>
                <w:color w:val="auto"/>
              </w:rPr>
            </w:pPr>
            <w:r>
              <w:rPr>
                <w:rFonts w:ascii="Times New Roman" w:cs="Times New Roman" w:eastAsia="Times New Roman" w:hAnsi="Times New Roman"/>
                <w:sz w:val="15"/>
                <w:szCs w:val="15"/>
                <w:color w:val="auto"/>
              </w:rPr>
              <w:t>Lease liabilities, net</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w:t>
            </w: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56"/>
        </w:trPr>
        <w:tc>
          <w:tcPr>
            <w:tcW w:w="586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24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428</w:t>
            </w:r>
          </w:p>
        </w:tc>
        <w:tc>
          <w:tcPr>
            <w:tcW w:w="24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7,531</w:t>
            </w:r>
          </w:p>
        </w:tc>
        <w:tc>
          <w:tcPr>
            <w:tcW w:w="0" w:type="dxa"/>
            <w:vAlign w:val="bottom"/>
          </w:tcPr>
          <w:p>
            <w:pPr>
              <w:spacing w:after="0"/>
              <w:rPr>
                <w:sz w:val="1"/>
                <w:szCs w:val="1"/>
                <w:color w:val="auto"/>
              </w:rPr>
            </w:pPr>
          </w:p>
        </w:tc>
      </w:tr>
      <w:tr>
        <w:trPr>
          <w:trHeight w:val="156"/>
        </w:trPr>
        <w:tc>
          <w:tcPr>
            <w:tcW w:w="58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(1,239)</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(1,063)</w:t>
            </w:r>
          </w:p>
        </w:tc>
        <w:tc>
          <w:tcPr>
            <w:tcW w:w="0" w:type="dxa"/>
            <w:vAlign w:val="bottom"/>
          </w:tcPr>
          <w:p>
            <w:pPr>
              <w:spacing w:after="0"/>
              <w:rPr>
                <w:sz w:val="1"/>
                <w:szCs w:val="1"/>
                <w:color w:val="auto"/>
              </w:rPr>
            </w:pPr>
          </w:p>
        </w:tc>
      </w:tr>
      <w:tr>
        <w:trPr>
          <w:trHeight w:val="162"/>
        </w:trPr>
        <w:tc>
          <w:tcPr>
            <w:tcW w:w="58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Proceeds received from sale of property and equipment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156"/>
        </w:trPr>
        <w:tc>
          <w:tcPr>
            <w:tcW w:w="5860" w:type="dxa"/>
            <w:vAlign w:val="bottom"/>
            <w:tcBorders>
              <w:top w:val="single" w:sz="8" w:color="CCEEFF"/>
            </w:tcBorders>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2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(1,239)</w:t>
            </w:r>
          </w:p>
        </w:tc>
        <w:tc>
          <w:tcPr>
            <w:tcW w:w="2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(1,048)</w:t>
            </w:r>
          </w:p>
        </w:tc>
        <w:tc>
          <w:tcPr>
            <w:tcW w:w="0" w:type="dxa"/>
            <w:vAlign w:val="bottom"/>
          </w:tcPr>
          <w:p>
            <w:pPr>
              <w:spacing w:after="0"/>
              <w:rPr>
                <w:sz w:val="1"/>
                <w:szCs w:val="1"/>
                <w:color w:val="auto"/>
              </w:rPr>
            </w:pPr>
          </w:p>
        </w:tc>
      </w:tr>
      <w:tr>
        <w:trPr>
          <w:trHeight w:val="155"/>
        </w:trPr>
        <w:tc>
          <w:tcPr>
            <w:tcW w:w="58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Payments on long-term debt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(2,790)</w:t>
            </w:r>
          </w:p>
        </w:tc>
        <w:tc>
          <w:tcPr>
            <w:tcW w:w="0" w:type="dxa"/>
            <w:vAlign w:val="bottom"/>
          </w:tcPr>
          <w:p>
            <w:pPr>
              <w:spacing w:after="0"/>
              <w:rPr>
                <w:sz w:val="1"/>
                <w:szCs w:val="1"/>
                <w:color w:val="auto"/>
              </w:rPr>
            </w:pPr>
          </w:p>
        </w:tc>
      </w:tr>
      <w:tr>
        <w:trPr>
          <w:trHeight w:val="145"/>
        </w:trPr>
        <w:tc>
          <w:tcPr>
            <w:tcW w:w="586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Proceeds from exercise of stock options and purchase of shares in employee stock purchase</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plan</w:t>
            </w:r>
          </w:p>
        </w:tc>
        <w:tc>
          <w:tcPr>
            <w:tcW w:w="2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629</w:t>
            </w:r>
          </w:p>
        </w:tc>
        <w:tc>
          <w:tcPr>
            <w:tcW w:w="2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342</w:t>
            </w:r>
          </w:p>
        </w:tc>
        <w:tc>
          <w:tcPr>
            <w:tcW w:w="0" w:type="dxa"/>
            <w:vAlign w:val="bottom"/>
          </w:tcPr>
          <w:p>
            <w:pPr>
              <w:spacing w:after="0"/>
              <w:rPr>
                <w:sz w:val="1"/>
                <w:szCs w:val="1"/>
                <w:color w:val="auto"/>
              </w:rPr>
            </w:pPr>
          </w:p>
        </w:tc>
      </w:tr>
      <w:tr>
        <w:trPr>
          <w:trHeight w:val="155"/>
        </w:trPr>
        <w:tc>
          <w:tcPr>
            <w:tcW w:w="586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24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629</w:t>
            </w:r>
          </w:p>
        </w:tc>
        <w:tc>
          <w:tcPr>
            <w:tcW w:w="24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(2,448)</w:t>
            </w:r>
          </w:p>
        </w:tc>
        <w:tc>
          <w:tcPr>
            <w:tcW w:w="0" w:type="dxa"/>
            <w:vAlign w:val="bottom"/>
          </w:tcPr>
          <w:p>
            <w:pPr>
              <w:spacing w:after="0"/>
              <w:rPr>
                <w:sz w:val="1"/>
                <w:szCs w:val="1"/>
                <w:color w:val="auto"/>
              </w:rPr>
            </w:pPr>
          </w:p>
        </w:tc>
      </w:tr>
      <w:tr>
        <w:trPr>
          <w:trHeight w:val="156"/>
        </w:trPr>
        <w:tc>
          <w:tcPr>
            <w:tcW w:w="58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Net (decrease) increase in cash and cash equivalents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(182)</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4,035</w:t>
            </w: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2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36,946</w:t>
            </w:r>
          </w:p>
        </w:tc>
        <w:tc>
          <w:tcPr>
            <w:tcW w:w="24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26,795</w:t>
            </w:r>
          </w:p>
        </w:tc>
        <w:tc>
          <w:tcPr>
            <w:tcW w:w="0" w:type="dxa"/>
            <w:vAlign w:val="bottom"/>
          </w:tcPr>
          <w:p>
            <w:pPr>
              <w:spacing w:after="0"/>
              <w:rPr>
                <w:sz w:val="1"/>
                <w:szCs w:val="1"/>
                <w:color w:val="auto"/>
              </w:rPr>
            </w:pPr>
          </w:p>
        </w:tc>
      </w:tr>
      <w:tr>
        <w:trPr>
          <w:trHeight w:val="195"/>
        </w:trPr>
        <w:tc>
          <w:tcPr>
            <w:tcW w:w="586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5"/>
                <w:szCs w:val="15"/>
                <w:color w:val="auto"/>
              </w:rPr>
              <w:t>Cash and cash equivalents at end of period</w:t>
            </w:r>
          </w:p>
        </w:tc>
        <w:tc>
          <w:tcPr>
            <w:tcW w:w="2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645"/>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36,764</w:t>
            </w:r>
          </w:p>
        </w:tc>
        <w:tc>
          <w:tcPr>
            <w:tcW w:w="2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6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30,830</w:t>
            </w: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Supplementary cash flow information:</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8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Interest paid</w:t>
            </w:r>
          </w:p>
        </w:tc>
        <w:tc>
          <w:tcPr>
            <w:tcW w:w="1040" w:type="dxa"/>
            <w:vAlign w:val="bottom"/>
            <w:gridSpan w:val="2"/>
          </w:tcPr>
          <w:p>
            <w:pPr>
              <w:jc w:val="right"/>
              <w:ind w:right="6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6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143"/>
        </w:trPr>
        <w:tc>
          <w:tcPr>
            <w:tcW w:w="586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5"/>
                <w:szCs w:val="15"/>
                <w:color w:val="auto"/>
              </w:rPr>
              <w:t>Operating cash flows paid for operating leases</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645"/>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699</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66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692</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Financing cash flows paid for finance leases</w:t>
            </w:r>
          </w:p>
        </w:tc>
        <w:tc>
          <w:tcPr>
            <w:tcW w:w="24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tcPr>
          <w:p>
            <w:pPr>
              <w:jc w:val="right"/>
              <w:ind w:right="645"/>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28</w:t>
            </w:r>
          </w:p>
        </w:tc>
        <w:tc>
          <w:tcPr>
            <w:tcW w:w="2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66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8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Right-of-use assets obtained in exchange for finance lease liabilities</w:t>
            </w:r>
          </w:p>
        </w:tc>
        <w:tc>
          <w:tcPr>
            <w:tcW w:w="1040" w:type="dxa"/>
            <w:vAlign w:val="bottom"/>
            <w:gridSpan w:val="2"/>
          </w:tcPr>
          <w:p>
            <w:pPr>
              <w:jc w:val="right"/>
              <w:ind w:right="6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297</w:t>
            </w:r>
          </w:p>
        </w:tc>
        <w:tc>
          <w:tcPr>
            <w:tcW w:w="240" w:type="dxa"/>
            <w:vAlign w:val="bottom"/>
          </w:tcPr>
          <w:p>
            <w:pPr>
              <w:spacing w:after="0"/>
              <w:rPr>
                <w:sz w:val="17"/>
                <w:szCs w:val="17"/>
                <w:color w:val="auto"/>
              </w:rPr>
            </w:pPr>
          </w:p>
        </w:tc>
        <w:tc>
          <w:tcPr>
            <w:tcW w:w="820" w:type="dxa"/>
            <w:vAlign w:val="bottom"/>
          </w:tcPr>
          <w:p>
            <w:pPr>
              <w:jc w:val="right"/>
              <w:ind w:right="6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3"/>
        </w:trPr>
        <w:tc>
          <w:tcPr>
            <w:tcW w:w="586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5"/>
                <w:szCs w:val="15"/>
                <w:color w:val="auto"/>
              </w:rPr>
              <w:t>Purchases of property and equipment in accounts payable and accrued liabilities</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645"/>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75</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66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2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229" w:lineRule="exact"/>
        <w:rPr>
          <w:sz w:val="20"/>
          <w:szCs w:val="20"/>
          <w:color w:val="auto"/>
        </w:rPr>
      </w:pPr>
    </w:p>
    <w:p>
      <w:pPr>
        <w:ind w:left="40" w:right="99" w:firstLine="324"/>
        <w:spacing w:after="0" w:line="256" w:lineRule="auto"/>
        <w:rPr>
          <w:sz w:val="20"/>
          <w:szCs w:val="20"/>
          <w:color w:val="auto"/>
        </w:rPr>
      </w:pPr>
      <w:r>
        <w:rPr>
          <w:rFonts w:ascii="Times New Roman" w:cs="Times New Roman" w:eastAsia="Times New Roman" w:hAnsi="Times New Roman"/>
          <w:sz w:val="18"/>
          <w:szCs w:val="18"/>
          <w:color w:val="auto"/>
        </w:rPr>
        <w:t>Everspin Technologies, Inc.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key markets, such as industrial, medical, automotive/transportation, aerospace and data center markets to design high performance, power efficient and reliable systems without the need for bulky batteries or capacitors.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generally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accepted accounting principles in the United States of America (GAAP) and applicable rules and regulations of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and Exchange Commission (SEC) regarding interim financial reporting. As permitted under those rules, certain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footnotes or other financial information that are normally required by GAAP have been condensed or omitted,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accordingly the balance sheet as of December 31, 2023, has been derived from the audited financial statements at that date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but does not include all of the information required by GAAP for complete financial statements. These unaudited interim</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condensed financial statements have been prepared on the same basis as the Company’s annual financial statements and, in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opinion of management, reflect all adjustments (consisting only of normal recurring adjustments) that are necessary for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 fair statement of the Company’s financial information. The results of operations for the three and six months ended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June 30, 2024, are not necessarily indicative of the results to be expected for the year ending December 31, 2024 or for any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interim period or for any other future year.</w:t>
      </w:r>
    </w:p>
    <w:p>
      <w:pPr>
        <w:spacing w:after="0" w:line="207" w:lineRule="exact"/>
        <w:rPr>
          <w:sz w:val="20"/>
          <w:szCs w:val="20"/>
          <w:color w:val="auto"/>
        </w:rPr>
      </w:pPr>
    </w:p>
    <w:p>
      <w:pPr>
        <w:ind w:left="40" w:right="299"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financial statements and related financial information should be read in conjunction with the audited financial statements and the related notes thereto for the year ended December 31, 2023, included in the Company’s Annual Report on Form 10-K filed with the SEC.</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40" w:right="139"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net realizable value, deferred tax assets and related valuation allowances, and stock-based compensation. The Company believes its estimates and assumptions are reasonable; however, actual results may differ from the Company’s estimates.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from time to time, may establish an allowance for estimated price adjustments related to its distributor agreements. The Company estimates credits to distributors based on the historical rate of credits provided to distributors relative to sales and evaluation of current market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11,489</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product returns and price adjustments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10"/>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11,554</w:t>
            </w: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left="40" w:right="179"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w:t>
      </w:r>
    </w:p>
    <w:p>
      <w:pPr>
        <w:spacing w:after="0" w:line="176" w:lineRule="exact"/>
        <w:rPr>
          <w:sz w:val="20"/>
          <w:szCs w:val="20"/>
          <w:color w:val="auto"/>
        </w:rPr>
      </w:pPr>
    </w:p>
    <w:p>
      <w:pPr>
        <w:ind w:left="40" w:right="99" w:firstLine="324"/>
        <w:spacing w:after="0" w:line="256" w:lineRule="auto"/>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4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Accounts Receivable, net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5"/>
          </w:tcPr>
          <w:p>
            <w:pPr>
              <w:jc w:val="center"/>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640" w:type="dxa"/>
            <w:vAlign w:val="bottom"/>
            <w:gridSpan w:val="4"/>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60" w:type="dxa"/>
            <w:vAlign w:val="bottom"/>
          </w:tcPr>
          <w:p>
            <w:pPr>
              <w:spacing w:after="0"/>
              <w:rPr>
                <w:sz w:val="10"/>
                <w:szCs w:val="10"/>
                <w:color w:val="auto"/>
              </w:rPr>
            </w:pPr>
          </w:p>
        </w:tc>
        <w:tc>
          <w:tcPr>
            <w:tcW w:w="1200" w:type="dxa"/>
            <w:vAlign w:val="bottom"/>
            <w:gridSpan w:val="3"/>
            <w:vMerge w:val="restart"/>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left="35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5"/>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40" w:type="dxa"/>
            <w:vAlign w:val="bottom"/>
            <w:gridSpan w:val="4"/>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Customers</w:t>
            </w:r>
          </w:p>
        </w:tc>
        <w:tc>
          <w:tcPr>
            <w:tcW w:w="56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2"/>
                <w:szCs w:val="12"/>
                <w:color w:val="auto"/>
              </w:rPr>
            </w:pPr>
          </w:p>
        </w:tc>
        <w:tc>
          <w:tcPr>
            <w:tcW w:w="5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8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Borders>
              <w:top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B</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14 %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D</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15 %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gridSpan w:val="2"/>
          </w:tcPr>
          <w:p>
            <w:pPr>
              <w:spacing w:after="0"/>
              <w:rPr>
                <w:sz w:val="9"/>
                <w:szCs w:val="9"/>
                <w:color w:val="auto"/>
              </w:rPr>
            </w:pPr>
          </w:p>
        </w:tc>
        <w:tc>
          <w:tcPr>
            <w:tcW w:w="112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8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Less than 10%</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left="40" w:right="79" w:firstLine="324"/>
        <w:spacing w:after="0" w:line="266"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360" w:right="419"/>
        <w:spacing w:after="0" w:line="282" w:lineRule="auto"/>
        <w:rPr>
          <w:sz w:val="20"/>
          <w:szCs w:val="20"/>
          <w:color w:val="auto"/>
        </w:rPr>
      </w:pPr>
      <w:r>
        <w:rPr>
          <w:rFonts w:ascii="Times New Roman" w:cs="Times New Roman" w:eastAsia="Times New Roman" w:hAnsi="Times New Roman"/>
          <w:sz w:val="18"/>
          <w:szCs w:val="18"/>
          <w:color w:val="auto"/>
        </w:rPr>
        <w:t>Level 2— Inputs, other than quoted prices for identical assets or liabilities in active markets, which are observable either directly or indirectly; and</w:t>
      </w:r>
    </w:p>
    <w:p>
      <w:pPr>
        <w:spacing w:after="0" w:line="162" w:lineRule="exact"/>
        <w:rPr>
          <w:sz w:val="20"/>
          <w:szCs w:val="20"/>
          <w:color w:val="auto"/>
        </w:rPr>
      </w:pPr>
    </w:p>
    <w:p>
      <w:pPr>
        <w:ind w:left="360" w:right="339"/>
        <w:spacing w:after="0" w:line="282" w:lineRule="auto"/>
        <w:rPr>
          <w:sz w:val="20"/>
          <w:szCs w:val="20"/>
          <w:color w:val="auto"/>
        </w:rPr>
      </w:pPr>
      <w:r>
        <w:rPr>
          <w:rFonts w:ascii="Times New Roman" w:cs="Times New Roman" w:eastAsia="Times New Roman" w:hAnsi="Times New Roman"/>
          <w:sz w:val="18"/>
          <w:szCs w:val="18"/>
          <w:color w:val="auto"/>
        </w:rPr>
        <w:t>Level 3— Unobservable inputs in which there is little or no market data requiring the reporting entity to develop its own assumptions.</w:t>
      </w:r>
    </w:p>
    <w:p>
      <w:pPr>
        <w:spacing w:after="0" w:line="162" w:lineRule="exact"/>
        <w:rPr>
          <w:sz w:val="20"/>
          <w:szCs w:val="20"/>
          <w:color w:val="auto"/>
        </w:rPr>
      </w:pPr>
    </w:p>
    <w:p>
      <w:pPr>
        <w:ind w:left="40" w:right="99" w:firstLine="324"/>
        <w:spacing w:after="0" w:line="261" w:lineRule="auto"/>
        <w:rPr>
          <w:sz w:val="20"/>
          <w:szCs w:val="20"/>
          <w:color w:val="auto"/>
        </w:rPr>
      </w:pPr>
      <w:r>
        <w:rPr>
          <w:rFonts w:ascii="Times New Roman" w:cs="Times New Roman" w:eastAsia="Times New Roman" w:hAnsi="Times New Roman"/>
          <w:sz w:val="18"/>
          <w:szCs w:val="18"/>
          <w:color w:val="auto"/>
        </w:rPr>
        <w:t>The carrying value of accounts receivable, accounts payable, and other accruals readily convertible into cash approximate fair value because of the short-term nature of the instruments. The Company’s financial instruments consist of Level 1 assets. Where quoted prices are available in an active market, securities are classified as Level 1. Level 1 assets consist of highly liquid money market funds that are included in cash equivalents.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sets forth the fair value of the Company’s financial assets and liabilities measured at fair value on a recurring basis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42"/>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6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36,764</w:t>
            </w: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36,764</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574"/>
        </w:trPr>
        <w:tc>
          <w:tcPr>
            <w:tcW w:w="3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6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36,946</w:t>
            </w: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36,946</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Under Evaluation</w:t>
      </w:r>
    </w:p>
    <w:p>
      <w:pPr>
        <w:spacing w:after="0" w:line="227"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which improves reportable segment disclosure requirements, primarily through enhanced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significant segment expenses. This ASU also expands disclosure requirements to enable users of financial statements to better understand the entity’s measurement and assessment of segment performance and resource allocation. This guidance is effective for fiscal years beginning after December 15, 2023, and interim periods within fiscal years beginning after December 15, 2024, with early adoption permitted. The Company is currently evaluating the impact that the standard will have on its condensed financial statements.</w:t>
      </w:r>
    </w:p>
    <w:p>
      <w:pPr>
        <w:spacing w:after="0" w:line="183" w:lineRule="exact"/>
        <w:rPr>
          <w:sz w:val="20"/>
          <w:szCs w:val="20"/>
          <w:color w:val="auto"/>
        </w:rPr>
      </w:pPr>
    </w:p>
    <w:p>
      <w:pPr>
        <w:ind w:left="40" w:right="159" w:firstLine="324"/>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No. 2023-09</w:t>
      </w:r>
      <w:r>
        <w:rPr>
          <w:rFonts w:ascii="Times New Roman" w:cs="Times New Roman" w:eastAsia="Times New Roman" w:hAnsi="Times New Roman"/>
          <w:sz w:val="18"/>
          <w:szCs w:val="18"/>
          <w:i w:val="1"/>
          <w:iCs w:val="1"/>
          <w:color w:val="auto"/>
        </w:rPr>
        <w:t>, 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is intended to improve an entity’s income tax disclosures, primarily through disaggregated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an entity’s effective income tax rate reconciliation and additional disclosures regarding income taxes paid. ASU 2023-09 is effective for the Company’s annual reporting periods, and interim periods within those years, beginning after December 15, 2024, on a prospective basis. The Company is currently evaluating the impact that the standard will have on its condensed financial statements.</w:t>
      </w:r>
    </w:p>
    <w:p>
      <w:pPr>
        <w:spacing w:after="0" w:line="184" w:lineRule="exact"/>
        <w:rPr>
          <w:sz w:val="20"/>
          <w:szCs w:val="20"/>
          <w:color w:val="auto"/>
        </w:rPr>
      </w:pPr>
    </w:p>
    <w:p>
      <w:pPr>
        <w:ind w:left="40" w:right="219" w:firstLine="324"/>
        <w:spacing w:after="0" w:line="282" w:lineRule="auto"/>
        <w:rPr>
          <w:sz w:val="20"/>
          <w:szCs w:val="20"/>
          <w:color w:val="auto"/>
        </w:rPr>
      </w:pPr>
      <w:r>
        <w:rPr>
          <w:rFonts w:ascii="Times New Roman" w:cs="Times New Roman" w:eastAsia="Times New Roman" w:hAnsi="Times New Roman"/>
          <w:sz w:val="18"/>
          <w:szCs w:val="18"/>
          <w:color w:val="212529"/>
        </w:rPr>
        <w:t xml:space="preserve">The Company </w:t>
      </w:r>
      <w:r>
        <w:rPr>
          <w:rFonts w:ascii="Times New Roman" w:cs="Times New Roman" w:eastAsia="Times New Roman" w:hAnsi="Times New Roman"/>
          <w:sz w:val="18"/>
          <w:szCs w:val="18"/>
          <w:color w:val="000000"/>
        </w:rPr>
        <w:t>reviewed</w:t>
      </w:r>
      <w:r>
        <w:rPr>
          <w:rFonts w:ascii="Times New Roman" w:cs="Times New Roman" w:eastAsia="Times New Roman" w:hAnsi="Times New Roman"/>
          <w:sz w:val="18"/>
          <w:szCs w:val="18"/>
          <w:color w:val="212529"/>
        </w:rPr>
        <w:t xml:space="preserve"> all other recently issued accounting pronouncements and concluded that they were either not applicable or not expected to have a significant impact to the condensed financial statements.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9" w:lineRule="exact"/>
        <w:rPr>
          <w:sz w:val="20"/>
          <w:szCs w:val="20"/>
          <w:color w:val="auto"/>
        </w:rPr>
      </w:pPr>
    </w:p>
    <w:p>
      <w:pPr>
        <w:ind w:left="40" w:right="199" w:firstLine="324"/>
        <w:spacing w:after="0" w:line="266" w:lineRule="auto"/>
        <w:rPr>
          <w:sz w:val="20"/>
          <w:szCs w:val="20"/>
          <w:color w:val="auto"/>
        </w:rPr>
      </w:pPr>
      <w:r>
        <w:rPr>
          <w:rFonts w:ascii="Times New Roman" w:cs="Times New Roman" w:eastAsia="Times New Roman" w:hAnsi="Times New Roman"/>
          <w:sz w:val="18"/>
          <w:szCs w:val="18"/>
          <w:color w:val="auto"/>
        </w:rPr>
        <w:t>The Company sells products to its distributors, original design manufacturers (ODMs), and original equipment manufacturers (OEMs). The Company also recognizes revenue under licensing, patent, and royalty agreements with some customers.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sales channel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9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920" w:type="dxa"/>
            <w:vAlign w:val="bottom"/>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Pr>
          <w:p>
            <w:pPr>
              <w:spacing w:after="0"/>
              <w:rPr>
                <w:sz w:val="12"/>
                <w:szCs w:val="12"/>
                <w:color w:val="auto"/>
              </w:rPr>
            </w:pPr>
          </w:p>
        </w:tc>
      </w:tr>
      <w:tr>
        <w:trPr>
          <w:trHeight w:val="209"/>
        </w:trPr>
        <w:tc>
          <w:tcPr>
            <w:tcW w:w="9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25,207</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Non-distributor</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90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3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30,593</w:t>
            </w:r>
          </w:p>
        </w:tc>
        <w:tc>
          <w:tcPr>
            <w:tcW w:w="9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timing of recognition (in thousands):</w:t>
      </w:r>
    </w:p>
    <w:p>
      <w:pPr>
        <w:spacing w:after="0" w:line="165"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1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0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27,660</w:t>
            </w:r>
          </w:p>
        </w:tc>
      </w:tr>
      <w:tr>
        <w:trPr>
          <w:trHeight w:val="216"/>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Over time</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r>
      <w:tr>
        <w:trPr>
          <w:trHeight w:val="210"/>
        </w:trPr>
        <w:tc>
          <w:tcPr>
            <w:tcW w:w="3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30,593</w:t>
            </w:r>
          </w:p>
        </w:tc>
      </w:tr>
      <w:tr>
        <w:trPr>
          <w:trHeight w:val="20"/>
        </w:trPr>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type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980" w:type="dxa"/>
            <w:vAlign w:val="bottom"/>
            <w:tcBorders>
              <w:bottom w:val="single" w:sz="8" w:color="auto"/>
            </w:tcBorders>
            <w:gridSpan w:val="5"/>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0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27,183</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Licensing</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09"/>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30,593</w:t>
            </w:r>
          </w:p>
        </w:tc>
      </w:tr>
      <w:tr>
        <w:trPr>
          <w:trHeight w:val="20"/>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319"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in three primary geographic regions: Asia-Pacific (APAC); North America; and Europe, Middle East and Africa (EMEA). The Company recognizes revenue by geography based on the region in which the Company’s products are sold, and not to where the end products in which they are assembled are shipped. The Company’s revenue by region for the periods indicated was as follows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580" w:type="dxa"/>
            <w:vAlign w:val="bottom"/>
          </w:tcPr>
          <w:p>
            <w:pPr>
              <w:spacing w:after="0"/>
              <w:rPr>
                <w:sz w:val="18"/>
                <w:szCs w:val="18"/>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6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34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4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4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inventory</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34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4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Payroll-related expenses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left="40" w:right="279"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Company executed contractual arrangements with a customer for the development of a RAD-Hard product, consisting of a technology license, design license agreement and development subcontract (RAD-Hard 1). The Company does not share in the rights to future revenues or royalties. The total arrangements are for $6.5 million in consideration.</w:t>
      </w:r>
    </w:p>
    <w:p>
      <w:pPr>
        <w:spacing w:after="0" w:line="180" w:lineRule="exact"/>
        <w:rPr>
          <w:sz w:val="20"/>
          <w:szCs w:val="20"/>
          <w:color w:val="auto"/>
        </w:rPr>
      </w:pPr>
    </w:p>
    <w:p>
      <w:pPr>
        <w:ind w:left="40" w:right="99" w:firstLine="324"/>
        <w:spacing w:after="0" w:line="255" w:lineRule="auto"/>
        <w:rPr>
          <w:sz w:val="20"/>
          <w:szCs w:val="20"/>
          <w:color w:val="auto"/>
        </w:rPr>
      </w:pPr>
      <w:r>
        <w:rPr>
          <w:rFonts w:ascii="Times New Roman" w:cs="Times New Roman" w:eastAsia="Times New Roman" w:hAnsi="Times New Roman"/>
          <w:sz w:val="18"/>
          <w:szCs w:val="18"/>
          <w:color w:val="auto"/>
        </w:rPr>
        <w:t>The Company concluded these contractual arrangements represent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 Company determined the licenses were not distinct within the context of the contract and combined the license with other performance obligations. The total transaction price of $6.5 million was allocated to the single performance obligation.</w:t>
      </w:r>
    </w:p>
    <w:p>
      <w:pPr>
        <w:spacing w:after="0" w:line="148" w:lineRule="exact"/>
        <w:rPr>
          <w:sz w:val="20"/>
          <w:szCs w:val="20"/>
          <w:color w:val="auto"/>
        </w:rPr>
      </w:pPr>
    </w:p>
    <w:p>
      <w:pPr>
        <w:ind w:left="40" w:right="139"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revenue related to the performance obligations over time using the input method based on costs incurred to date relative to the total expected costs of the contract and began recognizing revenue in the second quarter of 2021 over the contract period. This method depicts performance under the contract and requires the Company to make estimates about the future costs expected to be incurred to perform under the contact, including labor and material costs.</w:t>
      </w:r>
    </w:p>
    <w:p>
      <w:pPr>
        <w:spacing w:after="0" w:line="183" w:lineRule="exact"/>
        <w:rPr>
          <w:sz w:val="20"/>
          <w:szCs w:val="20"/>
          <w:color w:val="auto"/>
        </w:rPr>
      </w:pPr>
    </w:p>
    <w:p>
      <w:pPr>
        <w:ind w:left="40" w:right="279" w:firstLine="324"/>
        <w:spacing w:after="0" w:line="261" w:lineRule="auto"/>
        <w:rPr>
          <w:sz w:val="20"/>
          <w:szCs w:val="20"/>
          <w:color w:val="auto"/>
        </w:rPr>
      </w:pPr>
      <w:r>
        <w:rPr>
          <w:rFonts w:ascii="Times New Roman" w:cs="Times New Roman" w:eastAsia="Times New Roman" w:hAnsi="Times New Roman"/>
          <w:sz w:val="18"/>
          <w:szCs w:val="18"/>
          <w:color w:val="auto"/>
        </w:rPr>
        <w:t>The Company has recognized $0.3 million and $0.5 million in revenue for the three and six months ended June 30, 2024, respectively, and $6.2 million in revenue since inception of the contractual agreements. The Company expects to recognize the remaining $0.3 million of the transaction price as services are performed throughout the contractual period and performance is expected to be complete in the year ending December 31, 2024.</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29" w:lineRule="exact"/>
        <w:rPr>
          <w:sz w:val="20"/>
          <w:szCs w:val="20"/>
          <w:color w:val="auto"/>
        </w:rPr>
      </w:pPr>
    </w:p>
    <w:p>
      <w:pPr>
        <w:ind w:left="40" w:right="119" w:firstLine="324"/>
        <w:spacing w:after="0" w:line="266" w:lineRule="auto"/>
        <w:rPr>
          <w:sz w:val="20"/>
          <w:szCs w:val="20"/>
          <w:color w:val="auto"/>
        </w:rPr>
      </w:pPr>
      <w:r>
        <w:rPr>
          <w:rFonts w:ascii="Times New Roman" w:cs="Times New Roman" w:eastAsia="Times New Roman" w:hAnsi="Times New Roman"/>
          <w:sz w:val="18"/>
          <w:szCs w:val="18"/>
          <w:color w:val="auto"/>
        </w:rPr>
        <w:t>Operating leases consist primarily of office space expiring at various dates through 2029. Finance leases relate to server leases expiring at various dates through 2029. The Company’s lease agreements do not contain any material residual value guarantees or material restrictive covenants.</w:t>
      </w:r>
    </w:p>
    <w:p>
      <w:pPr>
        <w:spacing w:after="0" w:line="176" w:lineRule="exact"/>
        <w:rPr>
          <w:sz w:val="20"/>
          <w:szCs w:val="20"/>
          <w:color w:val="auto"/>
        </w:rPr>
      </w:pPr>
    </w:p>
    <w:p>
      <w:pPr>
        <w:ind w:left="40" w:right="319" w:firstLine="324"/>
        <w:spacing w:after="0" w:line="282" w:lineRule="auto"/>
        <w:rPr>
          <w:sz w:val="20"/>
          <w:szCs w:val="20"/>
          <w:color w:val="auto"/>
        </w:rPr>
      </w:pPr>
      <w:r>
        <w:rPr>
          <w:rFonts w:ascii="Times New Roman" w:cs="Times New Roman" w:eastAsia="Times New Roman" w:hAnsi="Times New Roman"/>
          <w:sz w:val="18"/>
          <w:szCs w:val="18"/>
          <w:color w:val="auto"/>
        </w:rPr>
        <w:t>The undiscounted future non-cancellable lease payments under the Company’s operating and finance leases were as follows (in thousands):</w:t>
      </w:r>
    </w:p>
    <w:p>
      <w:pPr>
        <w:spacing w:after="0" w:line="236" w:lineRule="exact"/>
        <w:rPr>
          <w:sz w:val="20"/>
          <w:szCs w:val="20"/>
          <w:color w:val="auto"/>
        </w:rPr>
      </w:pPr>
    </w:p>
    <w:tbl>
      <w:tblPr>
        <w:tblLayout w:type="fixed"/>
        <w:tblInd w:w="360" w:type="dxa"/>
        <w:tblCellMar>
          <w:top w:w="0" w:type="dxa"/>
          <w:left w:w="0" w:type="dxa"/>
          <w:bottom w:w="0" w:type="dxa"/>
          <w:right w:w="0" w:type="dxa"/>
        </w:tblCellMar>
      </w:tblPr>
      <w:tr>
        <w:trPr>
          <w:trHeight w:val="173"/>
        </w:trPr>
        <w:tc>
          <w:tcPr>
            <w:tcW w:w="56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580" w:type="dxa"/>
            <w:vAlign w:val="bottom"/>
            <w:tcBorders>
              <w:right w:val="single" w:sz="8" w:color="CCEEFF"/>
            </w:tcBorders>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9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09"/>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9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09"/>
        </w:trPr>
        <w:tc>
          <w:tcPr>
            <w:tcW w:w="580" w:type="dxa"/>
            <w:vAlign w:val="bottom"/>
            <w:tcBorders>
              <w:right w:val="single" w:sz="8" w:color="CCEEFF"/>
            </w:tcBorders>
          </w:tcPr>
          <w:p>
            <w:pPr>
              <w:spacing w:after="0"/>
              <w:rPr>
                <w:sz w:val="18"/>
                <w:szCs w:val="18"/>
                <w:color w:val="auto"/>
              </w:rPr>
            </w:pPr>
          </w:p>
        </w:tc>
        <w:tc>
          <w:tcPr>
            <w:tcW w:w="5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liabilities, net of current portion</w:t>
            </w:r>
          </w:p>
        </w:tc>
        <w:tc>
          <w:tcPr>
            <w:tcW w:w="9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 liabilities was as follows: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0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4.50 %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4.50 %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information related to the Company’s finance lease liabilities was as follows:</w:t>
      </w:r>
    </w:p>
    <w:p>
      <w:pPr>
        <w:spacing w:after="0" w:line="300"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5"/>
                <w:szCs w:val="15"/>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shd w:val="clear" w:color="auto" w:fill="CCEEFF"/>
          </w:tcPr>
          <w:p>
            <w:pPr>
              <w:spacing w:after="0"/>
              <w:rPr>
                <w:sz w:val="18"/>
                <w:szCs w:val="18"/>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2019 Credit Facility</w:t>
      </w:r>
    </w:p>
    <w:p>
      <w:pPr>
        <w:spacing w:after="0" w:line="229" w:lineRule="exact"/>
        <w:rPr>
          <w:sz w:val="20"/>
          <w:szCs w:val="20"/>
          <w:color w:val="auto"/>
        </w:rPr>
      </w:pPr>
    </w:p>
    <w:p>
      <w:pPr>
        <w:ind w:left="40" w:right="119" w:firstLine="324"/>
        <w:spacing w:after="0" w:line="258" w:lineRule="auto"/>
        <w:rPr>
          <w:sz w:val="20"/>
          <w:szCs w:val="20"/>
          <w:color w:val="auto"/>
        </w:rPr>
      </w:pPr>
      <w:r>
        <w:rPr>
          <w:rFonts w:ascii="Times New Roman" w:cs="Times New Roman" w:eastAsia="Times New Roman" w:hAnsi="Times New Roman"/>
          <w:sz w:val="18"/>
          <w:szCs w:val="18"/>
          <w:color w:val="auto"/>
        </w:rPr>
        <w:t>In March 2023, our credit facility with a lender pursuant to an Amended and Restated Loan and Security Agreement (the 2019 Credit Facility), consisting of a term loan and line of credit, was paid in full, and there was no outstanding balance as of June 30, 2024. The Company paid an early termination and prepayment fee of $170,000, which was recorded within other income (expense) within the condensed statements of operations and comprehensive (loss) income for the six months ended June 30, 2023.</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was in compliance with all covenants throughout the 2019 Credit Facility payoff date in March 2023.</w:t>
      </w:r>
    </w:p>
    <w:p>
      <w:pPr>
        <w:spacing w:after="0" w:line="225" w:lineRule="exact"/>
        <w:rPr>
          <w:sz w:val="20"/>
          <w:szCs w:val="20"/>
          <w:color w:val="auto"/>
        </w:rPr>
      </w:pPr>
    </w:p>
    <w:p>
      <w:pPr>
        <w:jc w:val="both"/>
        <w:ind w:left="40" w:right="79" w:firstLine="324"/>
        <w:spacing w:after="0" w:line="266" w:lineRule="auto"/>
        <w:rPr>
          <w:sz w:val="20"/>
          <w:szCs w:val="20"/>
          <w:color w:val="auto"/>
        </w:rPr>
      </w:pPr>
      <w:r>
        <w:rPr>
          <w:rFonts w:ascii="Times New Roman" w:cs="Times New Roman" w:eastAsia="Times New Roman" w:hAnsi="Times New Roman"/>
          <w:sz w:val="18"/>
          <w:szCs w:val="18"/>
          <w:color w:val="auto"/>
        </w:rPr>
        <w:t>The amortization of the debt issuance costs and accretion of the debt discount is included in interest expense within the condensed statements of operations and comprehensive (loss) income and included in non-cash interest expense within the statement of cash flows.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 Option and Award Activity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stock option and award activity for the six months ended June 30, 2024:</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00" w:type="dxa"/>
            <w:vAlign w:val="bottom"/>
          </w:tcPr>
          <w:p>
            <w:pPr>
              <w:spacing w:after="0"/>
              <w:rPr>
                <w:sz w:val="10"/>
                <w:szCs w:val="10"/>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 and</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980" w:type="dxa"/>
            <w:vAlign w:val="bottom"/>
            <w:gridSpan w:val="2"/>
            <w:vMerge w:val="continue"/>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26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598,397</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1,829,428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632,414</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RSUs granted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(977,783)</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RSUs cancelled/forfeited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Warrants exercised</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granted</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Options exercised</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(106,741)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Balance—June 30, 2024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1,718,122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Options exercisable—</w:t>
            </w: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60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1,369,585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59" w:firstLine="324"/>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options vested was $0.3 million and $0.4 million during the three months ended June 30, 2024 and 2023, respectively, and $0.7 million and $1.3 million during the six months ended June 30, 2024 and 2023, respectively.</w:t>
      </w:r>
    </w:p>
    <w:p>
      <w:pPr>
        <w:spacing w:after="0" w:line="176" w:lineRule="exact"/>
        <w:rPr>
          <w:sz w:val="20"/>
          <w:szCs w:val="20"/>
          <w:color w:val="auto"/>
        </w:rPr>
      </w:pPr>
    </w:p>
    <w:p>
      <w:pPr>
        <w:ind w:left="40" w:right="119"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$4.43 per share during the three months ended June 30, 2023 and $3.85 per share during the six months ended June 30, 2023. No shares were granted in the three and six months ended June 30, 2024.</w:t>
      </w:r>
    </w:p>
    <w:p>
      <w:pPr>
        <w:spacing w:after="0" w:line="176" w:lineRule="exact"/>
        <w:rPr>
          <w:sz w:val="20"/>
          <w:szCs w:val="20"/>
          <w:color w:val="auto"/>
        </w:rPr>
      </w:pPr>
    </w:p>
    <w:p>
      <w:pPr>
        <w:ind w:left="40" w:right="659" w:firstLine="324"/>
        <w:spacing w:after="0" w:line="266" w:lineRule="auto"/>
        <w:rPr>
          <w:sz w:val="20"/>
          <w:szCs w:val="20"/>
          <w:color w:val="auto"/>
        </w:rPr>
      </w:pPr>
      <w:r>
        <w:rPr>
          <w:rFonts w:ascii="Times New Roman" w:cs="Times New Roman" w:eastAsia="Times New Roman" w:hAnsi="Times New Roman"/>
          <w:sz w:val="18"/>
          <w:szCs w:val="18"/>
          <w:color w:val="auto"/>
        </w:rPr>
        <w:t>As of June 30, 2024, there was $1.6 million of total unrecognized stock-based compensation expense related to unvested options which is expected to be recognized over a weighted-average period of 1.28 years. Stock-based compensation cost for options capitalized within inventory at June 30, 2024 and 2023 was not material.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2016 Employee Stock Purchase Plan</w:t>
      </w:r>
    </w:p>
    <w:p>
      <w:pPr>
        <w:spacing w:after="0" w:line="229" w:lineRule="exact"/>
        <w:rPr>
          <w:sz w:val="20"/>
          <w:szCs w:val="20"/>
          <w:color w:val="auto"/>
        </w:rPr>
      </w:pPr>
    </w:p>
    <w:p>
      <w:pPr>
        <w:jc w:val="both"/>
        <w:ind w:left="40" w:right="79" w:firstLine="324"/>
        <w:spacing w:after="0" w:line="258" w:lineRule="auto"/>
        <w:rPr>
          <w:sz w:val="20"/>
          <w:szCs w:val="20"/>
          <w:color w:val="auto"/>
        </w:rPr>
      </w:pPr>
      <w:r>
        <w:rPr>
          <w:rFonts w:ascii="Times New Roman" w:cs="Times New Roman" w:eastAsia="Times New Roman" w:hAnsi="Times New Roman"/>
          <w:sz w:val="18"/>
          <w:szCs w:val="18"/>
          <w:color w:val="auto"/>
        </w:rPr>
        <w:t>In January 2024, there was an increase of 210,804 shares reserved for issuance under the Company’s Employee Stock Purchase Plan (ESPP) pursuant to the terms of the ESPP. The Company had 1,063,270 shares available for future issuance under the Company’s ESPP as of June 30, 2024. Employees purchased 37,696 shares for $241,000 during the three and six months ended June 30, 2024. Employees purchased 40,894 shares for $181,000 during the three and six months ended June 30, 2023.</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restricted stock units (RSUs) activity for the six months ended June 30, 2024:</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080" w:type="dxa"/>
            <w:vAlign w:val="bottom"/>
            <w:tcBorders>
              <w:bottom w:val="single" w:sz="8" w:color="auto"/>
            </w:tcBorders>
            <w:gridSpan w:val="5"/>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RSUs Outstanding</w:t>
            </w: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 Per</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905,781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977,783</w:t>
            </w:r>
          </w:p>
        </w:tc>
        <w:tc>
          <w:tcPr>
            <w:tcW w:w="14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(433,100)</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(10,007)</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Balance—June 30, 2024</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1,440,457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9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RSUs is determined on the date of grant based on the market price of the Company’s common stock on that date.</w:t>
      </w:r>
    </w:p>
    <w:p>
      <w:pPr>
        <w:spacing w:after="0" w:line="162" w:lineRule="exact"/>
        <w:rPr>
          <w:sz w:val="20"/>
          <w:szCs w:val="20"/>
          <w:color w:val="auto"/>
        </w:rPr>
      </w:pPr>
    </w:p>
    <w:p>
      <w:pPr>
        <w:jc w:val="both"/>
        <w:ind w:left="40" w:right="59" w:firstLine="324"/>
        <w:spacing w:after="0" w:line="266" w:lineRule="auto"/>
        <w:rPr>
          <w:sz w:val="20"/>
          <w:szCs w:val="20"/>
          <w:color w:val="auto"/>
        </w:rPr>
      </w:pPr>
      <w:r>
        <w:rPr>
          <w:rFonts w:ascii="Times New Roman" w:cs="Times New Roman" w:eastAsia="Times New Roman" w:hAnsi="Times New Roman"/>
          <w:sz w:val="18"/>
          <w:szCs w:val="18"/>
          <w:color w:val="auto"/>
        </w:rPr>
        <w:t>As of June 30, 2024, there was $10.1 million of unrecognized stock-based compensation expense related to RSUs to be recognized over a weighted-average period of 2.6 years. Stock-based compensation cost related to RSUs capitalized within inventory at June 30, 2024 and 2023 was not material.</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 Significant Agreements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GLOBALFOUNDRIES, Inc. Joint Development Agreement</w:t>
      </w:r>
    </w:p>
    <w:p>
      <w:pPr>
        <w:spacing w:after="0" w:line="229" w:lineRule="exact"/>
        <w:rPr>
          <w:sz w:val="20"/>
          <w:szCs w:val="20"/>
          <w:color w:val="auto"/>
        </w:rPr>
      </w:pPr>
    </w:p>
    <w:p>
      <w:pPr>
        <w:ind w:left="40" w:right="359" w:firstLine="324"/>
        <w:spacing w:after="0" w:line="258" w:lineRule="auto"/>
        <w:rPr>
          <w:sz w:val="20"/>
          <w:szCs w:val="20"/>
          <w:color w:val="auto"/>
        </w:rPr>
      </w:pPr>
      <w:r>
        <w:rPr>
          <w:rFonts w:ascii="Times New Roman" w:cs="Times New Roman" w:eastAsia="Times New Roman" w:hAnsi="Times New Roman"/>
          <w:sz w:val="18"/>
          <w:szCs w:val="18"/>
          <w:color w:val="auto"/>
        </w:rPr>
        <w:t>Since October 17, 2014, the Company has participated in a joint development agreement (JDA) with GLOBALFOUNDRIES Inc. (GF), a semiconductor foundry, for the joint development of Spin-transfer Torque MRAM (STT-MRAM), technology to produce a family of discrete and embedded MRAM technologies. The term of the JDA is until the completion, termination, or expiration of the last statement of work entered into pursuant to the JDA. The JDA was extended on December 31, 2019, to include a new phase of support for 12nm MRAM development.</w:t>
      </w:r>
    </w:p>
    <w:p>
      <w:pPr>
        <w:spacing w:after="0" w:line="183" w:lineRule="exact"/>
        <w:rPr>
          <w:sz w:val="20"/>
          <w:szCs w:val="20"/>
          <w:color w:val="auto"/>
        </w:rPr>
      </w:pPr>
    </w:p>
    <w:p>
      <w:pPr>
        <w:ind w:left="40" w:right="59" w:firstLine="401"/>
        <w:spacing w:after="0" w:line="255" w:lineRule="auto"/>
        <w:rPr>
          <w:sz w:val="20"/>
          <w:szCs w:val="20"/>
          <w:color w:val="auto"/>
        </w:rPr>
      </w:pPr>
      <w:r>
        <w:rPr>
          <w:rFonts w:ascii="Times New Roman" w:cs="Times New Roman" w:eastAsia="Times New Roman" w:hAnsi="Times New Roman"/>
          <w:sz w:val="18"/>
          <w:szCs w:val="18"/>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JDA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81" w:lineRule="exact"/>
        <w:rPr>
          <w:sz w:val="20"/>
          <w:szCs w:val="20"/>
          <w:color w:val="auto"/>
        </w:rPr>
      </w:pPr>
    </w:p>
    <w:p>
      <w:pPr>
        <w:ind w:left="40" w:right="79" w:firstLine="401"/>
        <w:spacing w:after="0" w:line="282" w:lineRule="auto"/>
        <w:rPr>
          <w:sz w:val="20"/>
          <w:szCs w:val="20"/>
          <w:color w:val="auto"/>
        </w:rPr>
      </w:pPr>
      <w:r>
        <w:rPr>
          <w:rFonts w:ascii="Times New Roman" w:cs="Times New Roman" w:eastAsia="Times New Roman" w:hAnsi="Times New Roman"/>
          <w:sz w:val="18"/>
          <w:szCs w:val="18"/>
          <w:color w:val="auto"/>
        </w:rPr>
        <w:t>If GF manufactures, sells, or transfers to customers wafers containing production quantified STT-MRAM devices that utilize certain design information, GF will be required to pay the Company a royalty.</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9. Net (Loss) Income Per Common Share</w:t>
      </w:r>
    </w:p>
    <w:p>
      <w:pPr>
        <w:spacing w:after="0" w:line="229" w:lineRule="exact"/>
        <w:rPr>
          <w:sz w:val="20"/>
          <w:szCs w:val="20"/>
          <w:color w:val="auto"/>
        </w:rPr>
      </w:pPr>
    </w:p>
    <w:p>
      <w:pPr>
        <w:jc w:val="both"/>
        <w:ind w:left="40" w:right="59" w:firstLine="441"/>
        <w:spacing w:after="0" w:line="266" w:lineRule="auto"/>
        <w:rPr>
          <w:sz w:val="20"/>
          <w:szCs w:val="20"/>
          <w:color w:val="auto"/>
        </w:rPr>
      </w:pPr>
      <w:r>
        <w:rPr>
          <w:rFonts w:ascii="Times New Roman" w:cs="Times New Roman" w:eastAsia="Times New Roman" w:hAnsi="Times New Roman"/>
          <w:sz w:val="18"/>
          <w:szCs w:val="18"/>
          <w:color w:val="auto"/>
        </w:rPr>
        <w:t>Basic net (loss) income per common share is calculated by dividing the net income by the weighted-average number of shares of common stock outstanding for the period less shares subject to repurchase, without consideration of potentially dilutive securities. Diluted earnings per share is calculated using the treasury stock method by dividing net income by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8"/>
          <w:szCs w:val="18"/>
          <w:color w:val="auto"/>
        </w:rPr>
        <w:t>total weighted average shares of common stock outstanding in addition to the potential impact of dilutive securities including restricted stock units, warrants, and options. In periods with a net loss, potentially dilutive securities are excluded from the Company’s calculation of earnings per share as their inclusion would have an antidilutive effect.</w:t>
      </w:r>
    </w:p>
    <w:p>
      <w:pPr>
        <w:spacing w:after="0" w:line="176" w:lineRule="exact"/>
        <w:rPr>
          <w:sz w:val="20"/>
          <w:szCs w:val="20"/>
          <w:color w:val="auto"/>
        </w:rPr>
      </w:pPr>
    </w:p>
    <w:p>
      <w:pPr>
        <w:jc w:val="both"/>
        <w:ind w:left="40" w:right="5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computation of basic and diluted net (loss) income per share attributable to common stockholders (in thousands, except share and per share amounts):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Basic EPS</w:t>
      </w:r>
    </w:p>
    <w:p>
      <w:pPr>
        <w:spacing w:after="0" w:line="232" w:lineRule="exact"/>
        <w:rPr>
          <w:sz w:val="20"/>
          <w:szCs w:val="20"/>
          <w:color w:val="auto"/>
        </w:rPr>
      </w:pPr>
    </w:p>
    <w:tbl>
      <w:tblPr>
        <w:tblLayout w:type="fixed"/>
        <w:tblInd w:w="36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2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4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Weighted-average shares of</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21,566,863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20,657,404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21,409,611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20,554,769</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24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60" w:type="dxa"/>
            <w:vAlign w:val="bottom"/>
            <w:gridSpan w:val="2"/>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(loss) income per common</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8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 basic</w:t>
            </w:r>
          </w:p>
        </w:tc>
        <w:tc>
          <w:tcPr>
            <w:tcW w:w="24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0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4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Warrant liability fair value loss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recognized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2460" w:type="dxa"/>
            <w:vAlign w:val="bottom"/>
            <w:tcBorders>
              <w:top w:val="single" w:sz="8" w:color="CCEEFF"/>
            </w:tcBorders>
            <w:gridSpan w:val="2"/>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Net (loss) income attributable</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 common stockholders,</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(2,502)</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2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(2,704)</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2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4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Weighted-average shares of</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21,566,863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20,657,404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21,409,611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20,554,769</w:t>
            </w: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4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Dilutive effect of stock options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RSUs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576,849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513,290</w:t>
            </w: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2460" w:type="dxa"/>
            <w:vAlign w:val="bottom"/>
            <w:tcBorders>
              <w:top w:val="single" w:sz="8" w:color="CCEEFF"/>
            </w:tcBorders>
            <w:gridSpan w:val="2"/>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Weighted-average shares of</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21,566,863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21,234,253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21,409,611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21,068,059</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24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60" w:type="dxa"/>
            <w:vAlign w:val="bottom"/>
            <w:gridSpan w:val="2"/>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(loss) income per common</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8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 diluted</w:t>
            </w:r>
          </w:p>
        </w:tc>
        <w:tc>
          <w:tcPr>
            <w:tcW w:w="24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39" w:firstLine="324"/>
        <w:spacing w:after="0" w:line="281" w:lineRule="auto"/>
        <w:rPr>
          <w:sz w:val="20"/>
          <w:szCs w:val="20"/>
          <w:color w:val="auto"/>
        </w:rPr>
      </w:pPr>
      <w:r>
        <w:rPr>
          <w:rFonts w:ascii="Times New Roman" w:cs="Times New Roman" w:eastAsia="Times New Roman" w:hAnsi="Times New Roman"/>
          <w:sz w:val="17"/>
          <w:szCs w:val="17"/>
          <w:color w:val="auto"/>
        </w:rPr>
        <w:t>Potentially dilutive securities representing 2.1 million and 0.9 million stock options and RSUs that were outstanding during the three months ended June 30, 2024, and 2023, respectively, and 1.7 million and 1.3 million stock options and RSUs outstanding during the six months ended June 30, 2024 and 2023, respectively, were excluded from the computation of diluted earnings per common share during these periods as their inclusion would have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40" w:right="3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2023.</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left="40" w:right="7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This discussion contains certain forward-looking statements within the meaning of Section 27A of the Securities Act of 1933, as amended (Securities Act), and Section 21E of the Securities Exchange Act of 1934, as amended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among other things, our industry, business, future plans, strategies, objectives, expectations, intentions and financial performance.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as well as in our other filings with the Securities and Exchange Commission (SEC).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We caution investors that our business and financial performance are subject to substantial risks and uncertainties.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40" w:right="379" w:firstLine="324"/>
        <w:spacing w:after="0" w:line="255" w:lineRule="auto"/>
        <w:rPr>
          <w:sz w:val="20"/>
          <w:szCs w:val="20"/>
          <w:color w:val="auto"/>
        </w:rPr>
      </w:pPr>
      <w:r>
        <w:rPr>
          <w:rFonts w:ascii="Times New Roman" w:cs="Times New Roman" w:eastAsia="Times New Roman" w:hAnsi="Times New Roman"/>
          <w:sz w:val="18"/>
          <w:szCs w:val="18"/>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15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intellectual property.</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sell our products directly and through our established distribution channels to industry-leading OEMs and ODMs.</w:t>
      </w:r>
    </w:p>
    <w:p>
      <w:pPr>
        <w:spacing w:after="0" w:line="225" w:lineRule="exact"/>
        <w:rPr>
          <w:sz w:val="20"/>
          <w:szCs w:val="20"/>
          <w:color w:val="auto"/>
        </w:rPr>
      </w:pPr>
    </w:p>
    <w:p>
      <w:pPr>
        <w:ind w:left="40" w:right="199" w:firstLine="324"/>
        <w:spacing w:after="0" w:line="258" w:lineRule="auto"/>
        <w:rPr>
          <w:sz w:val="20"/>
          <w:szCs w:val="20"/>
          <w:color w:val="auto"/>
        </w:rPr>
      </w:pPr>
      <w:r>
        <w:rPr>
          <w:rFonts w:ascii="Times New Roman" w:cs="Times New Roman" w:eastAsia="Times New Roman" w:hAnsi="Times New Roman"/>
          <w:sz w:val="18"/>
          <w:szCs w:val="18"/>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CMOS wafers with our STT-MRAM magnetic-bit technology integrated in BEOL as part of our strategic relationship with GLOBALFOUNDRIES.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left="40" w:right="59" w:firstLine="324"/>
        <w:spacing w:after="0" w:line="258" w:lineRule="auto"/>
        <w:rPr>
          <w:sz w:val="20"/>
          <w:szCs w:val="20"/>
          <w:color w:val="auto"/>
        </w:rPr>
      </w:pPr>
      <w:r>
        <w:rPr>
          <w:rFonts w:ascii="Times New Roman" w:cs="Times New Roman" w:eastAsia="Times New Roman" w:hAnsi="Times New Roman"/>
          <w:sz w:val="18"/>
          <w:szCs w:val="18"/>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and design wins. We define Adjusted EBITDA as net income or loss adjusted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339"/>
        <w:spacing w:after="0" w:line="282" w:lineRule="auto"/>
        <w:rPr>
          <w:sz w:val="20"/>
          <w:szCs w:val="20"/>
          <w:color w:val="auto"/>
        </w:rPr>
      </w:pPr>
      <w:r>
        <w:rPr>
          <w:rFonts w:ascii="Times New Roman" w:cs="Times New Roman" w:eastAsia="Times New Roman" w:hAnsi="Times New Roman"/>
          <w:sz w:val="18"/>
          <w:szCs w:val="18"/>
          <w:color w:val="auto"/>
        </w:rPr>
        <w:t>for interest expense, taxes, depreciation and amortization, stock-based compensation expense, and restructuring costs, if any.</w:t>
      </w:r>
    </w:p>
    <w:p>
      <w:pPr>
        <w:spacing w:after="0" w:line="160" w:lineRule="exact"/>
        <w:rPr>
          <w:sz w:val="20"/>
          <w:szCs w:val="20"/>
          <w:color w:val="auto"/>
        </w:rPr>
      </w:pPr>
    </w:p>
    <w:p>
      <w:pPr>
        <w:ind w:left="40" w:right="9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Our management and board of directors use Adjusted EBITDA to understand and evaluate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 Adjusted EBITDA is a non-GAAP financial measure and should be considered in addition to, not as superior to, or as a substitute for, net income reported in accordance with GAAP. The following table presents a reconciliation of net income, the most directly comparable GAAP measure, to Adjusted EBITDA for the periods indicated:</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20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7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2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(2,502)</w:t>
            </w: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2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r>
      <w:tr>
        <w:trPr>
          <w:trHeight w:val="20"/>
        </w:trPr>
        <w:tc>
          <w:tcPr>
            <w:tcW w:w="3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w:t>
      </w: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8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r>
      <w:tr>
        <w:trPr>
          <w:trHeight w:val="128"/>
        </w:trPr>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5"/>
          </w:tcPr>
          <w:p>
            <w:pPr>
              <w:jc w:val="right"/>
              <w:ind w:right="35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(As a percentage</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of revenue)</w:t>
            </w:r>
          </w:p>
        </w:tc>
        <w:tc>
          <w:tcPr>
            <w:tcW w:w="160" w:type="dxa"/>
            <w:vAlign w:val="bottom"/>
          </w:tcPr>
          <w:p>
            <w:pPr>
              <w:spacing w:after="0"/>
              <w:rPr>
                <w:sz w:val="11"/>
                <w:szCs w:val="1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16"/>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tcPr>
          <w:p>
            <w:pPr>
              <w:spacing w:after="0"/>
              <w:rPr>
                <w:sz w:val="18"/>
                <w:szCs w:val="18"/>
                <w:color w:val="auto"/>
              </w:rPr>
            </w:pPr>
          </w:p>
        </w:tc>
      </w:tr>
      <w:tr>
        <w:trPr>
          <w:trHeight w:val="209"/>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r>
      <w:tr>
        <w:trPr>
          <w:trHeight w:val="210"/>
        </w:trPr>
        <w:tc>
          <w:tcPr>
            <w:tcW w:w="3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CCEEFF"/>
            </w:tcBorders>
          </w:tcPr>
          <w:p>
            <w:pPr>
              <w:spacing w:after="0"/>
              <w:rPr>
                <w:sz w:val="18"/>
                <w:szCs w:val="18"/>
                <w:color w:val="auto"/>
              </w:rPr>
            </w:pPr>
          </w:p>
        </w:tc>
      </w:tr>
      <w:tr>
        <w:trPr>
          <w:trHeight w:val="209"/>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r>
      <w:tr>
        <w:trPr>
          <w:trHeight w:val="209"/>
        </w:trPr>
        <w:tc>
          <w:tcPr>
            <w:tcW w:w="3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CEEFF"/>
            </w:tcBorders>
          </w:tcPr>
          <w:p>
            <w:pPr>
              <w:spacing w:after="0"/>
              <w:rPr>
                <w:sz w:val="18"/>
                <w:szCs w:val="18"/>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0"/>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and comprehensive (loss) income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r>
      <w:tr>
        <w:trPr>
          <w:trHeight w:val="196"/>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c>
          <w:tcPr>
            <w:tcW w:w="160" w:type="dxa"/>
            <w:vAlign w:val="bottom"/>
          </w:tcPr>
          <w:p>
            <w:pPr>
              <w:spacing w:after="0"/>
              <w:rPr>
                <w:sz w:val="17"/>
                <w:szCs w:val="17"/>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20,747</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16"/>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r>
      <w:tr>
        <w:trPr>
          <w:trHeight w:val="209"/>
        </w:trPr>
        <w:tc>
          <w:tcPr>
            <w:tcW w:w="3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r>
      <w:tr>
        <w:trPr>
          <w:trHeight w:val="209"/>
        </w:trPr>
        <w:tc>
          <w:tcPr>
            <w:tcW w:w="3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16,795</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15,304</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and comprehensive (loss) income</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40" w:right="459" w:firstLine="324"/>
        <w:spacing w:after="0" w:line="282" w:lineRule="auto"/>
        <w:rPr>
          <w:sz w:val="20"/>
          <w:szCs w:val="20"/>
          <w:color w:val="auto"/>
        </w:rPr>
      </w:pPr>
      <w:r>
        <w:rPr>
          <w:rFonts w:ascii="Times New Roman" w:cs="Times New Roman" w:eastAsia="Times New Roman" w:hAnsi="Times New Roman"/>
          <w:sz w:val="18"/>
          <w:szCs w:val="18"/>
          <w:color w:val="auto"/>
        </w:rPr>
        <w:t>We generated 87% and 79% of our revenue from products sold to distributors for the three months ended June 30, 2024 and 2023, respectively.</w:t>
      </w:r>
    </w:p>
    <w:p>
      <w:pPr>
        <w:spacing w:after="0" w:line="162" w:lineRule="exact"/>
        <w:rPr>
          <w:sz w:val="20"/>
          <w:szCs w:val="20"/>
          <w:color w:val="auto"/>
        </w:rPr>
      </w:pPr>
    </w:p>
    <w:p>
      <w:pPr>
        <w:ind w:left="40" w:right="219" w:firstLine="324"/>
        <w:spacing w:after="0" w:line="282" w:lineRule="auto"/>
        <w:rPr>
          <w:sz w:val="20"/>
          <w:szCs w:val="20"/>
          <w:color w:val="auto"/>
        </w:rPr>
      </w:pPr>
      <w:r>
        <w:rPr>
          <w:rFonts w:ascii="Times New Roman" w:cs="Times New Roman" w:eastAsia="Times New Roman" w:hAnsi="Times New Roman"/>
          <w:sz w:val="18"/>
          <w:szCs w:val="18"/>
          <w:color w:val="auto"/>
        </w:rPr>
        <w:t>In addition to selling our products to our distributors, we maintain a direct selling relationship, for strategic purposes, with several key customer accounts. We have organized our sales team and representatives into three primary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79"/>
        <w:spacing w:after="0" w:line="266" w:lineRule="auto"/>
        <w:rPr>
          <w:sz w:val="20"/>
          <w:szCs w:val="20"/>
          <w:color w:val="auto"/>
        </w:rPr>
      </w:pPr>
      <w:r>
        <w:rPr>
          <w:rFonts w:ascii="Times New Roman" w:cs="Times New Roman" w:eastAsia="Times New Roman" w:hAnsi="Times New Roman"/>
          <w:sz w:val="18"/>
          <w:szCs w:val="18"/>
          <w:color w:val="auto"/>
        </w:rPr>
        <w:t>regions: North America; EMEA; and APAC. We recognize revenue by geography based on the region in which our customer is located and to which our products are sold, and not to where the end products in which they are assembled are shipped. Our revenue by region and by type of revenue for the periods indicated were as follows (in thousands):</w:t>
      </w:r>
    </w:p>
    <w:p>
      <w:pPr>
        <w:spacing w:after="0" w:line="25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tcBorders>
              <w:bottom w:val="single" w:sz="8" w:color="auto"/>
            </w:tcBorders>
            <w:gridSpan w:val="8"/>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7,964</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4,517</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3,266</w:t>
            </w:r>
          </w:p>
        </w:tc>
        <w:tc>
          <w:tcPr>
            <w:tcW w:w="0" w:type="dxa"/>
            <w:vAlign w:val="bottom"/>
          </w:tcPr>
          <w:p>
            <w:pPr>
              <w:spacing w:after="0"/>
              <w:rPr>
                <w:sz w:val="1"/>
                <w:szCs w:val="1"/>
                <w:color w:val="auto"/>
              </w:rPr>
            </w:pPr>
          </w:p>
        </w:tc>
      </w:tr>
      <w:tr>
        <w:trPr>
          <w:trHeight w:val="209"/>
        </w:trPr>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15,747</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5"/>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5"/>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1"/>
                <w:szCs w:val="11"/>
                <w:color w:val="auto"/>
              </w:rPr>
            </w:pPr>
          </w:p>
        </w:tc>
        <w:tc>
          <w:tcPr>
            <w:tcW w:w="90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(26.2)%</w:t>
            </w:r>
          </w:p>
        </w:tc>
        <w:tc>
          <w:tcPr>
            <w:tcW w:w="0" w:type="dxa"/>
            <w:vAlign w:val="bottom"/>
          </w:tcPr>
          <w:p>
            <w:pPr>
              <w:spacing w:after="0"/>
              <w:rPr>
                <w:sz w:val="1"/>
                <w:szCs w:val="1"/>
                <w:color w:val="auto"/>
              </w:rPr>
            </w:pPr>
          </w:p>
        </w:tc>
      </w:tr>
      <w:tr>
        <w:trPr>
          <w:trHeight w:val="198"/>
        </w:trPr>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Licensing, royalty, patent, and other</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(68.0)%</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(32.5)%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right="99" w:firstLine="324"/>
        <w:spacing w:after="0" w:line="261" w:lineRule="auto"/>
        <w:rPr>
          <w:sz w:val="20"/>
          <w:szCs w:val="20"/>
          <w:color w:val="auto"/>
        </w:rPr>
      </w:pPr>
      <w:r>
        <w:rPr>
          <w:rFonts w:ascii="Times New Roman" w:cs="Times New Roman" w:eastAsia="Times New Roman" w:hAnsi="Times New Roman"/>
          <w:sz w:val="18"/>
          <w:szCs w:val="18"/>
          <w:color w:val="auto"/>
        </w:rPr>
        <w:t>Total revenue decreased by $5.1 million, or 32.5%, from $15.7 million during the three months ended June 30, 2023 to $10.6 million during the three months ended June 30, 2024. The decrease was primarily due to a decrease in product sales of $3.5 million due to timing of customer demand, and a decrease in licensing revenue generated from our RAD-Hard projects of $1.5 million, along with a decrease of $0.1 million in other revenue related to foundry services.</w:t>
      </w:r>
    </w:p>
    <w:p>
      <w:pPr>
        <w:spacing w:after="0" w:line="180"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Licensing, royalty, patent, and other revenue is a highly variable revenue item characterized by a small number of transactions annually with revenue based on size and terms of each transaction. Our best estimate of royalty revenue earned is made throughout the year for royalty contracts with an annual performance period, with an annual adjustment recognized for actual sales in the first quarter of each fiscal year. Licensing, royalty, patent, and other revenue decreased by $1.6 million, or 68.0% from $2.3 million during the three months ended June 30, 2023, to $0.7 million during the three months ended June 30, 2024. The decrease was driven by a decrease of $1.5 million in licensing revenue generated from our RAD-Hard projects, along with a decrease of $0.1 million of other revenue related to foundry services.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Cost of Sales and Gross Margin</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5"/>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4"/>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5"/>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6"/>
          </w:tcPr>
          <w:p>
            <w:pPr>
              <w:jc w:val="right"/>
              <w:ind w:right="115"/>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$ 5,235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$ 6,090</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$ 5,420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$ 6,554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8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8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40" w:right="239" w:firstLine="324"/>
        <w:spacing w:after="0" w:line="266" w:lineRule="auto"/>
        <w:rPr>
          <w:sz w:val="20"/>
          <w:szCs w:val="20"/>
          <w:color w:val="auto"/>
        </w:rPr>
      </w:pPr>
      <w:r>
        <w:rPr>
          <w:rFonts w:ascii="Times New Roman" w:cs="Times New Roman" w:eastAsia="Times New Roman" w:hAnsi="Times New Roman"/>
          <w:sz w:val="18"/>
          <w:szCs w:val="18"/>
          <w:color w:val="auto"/>
        </w:rPr>
        <w:t>Cost of product sales decreased by $0.9 million, or 14.0%, from $6.1 million during the three months ended June 30, 2023, to $5.2 million during the three months ended June 30, 2024. The decrease was primarily due to a reduction in product sales, partially offset by increased yields on our toggle products.</w:t>
      </w:r>
    </w:p>
    <w:p>
      <w:pPr>
        <w:spacing w:after="0" w:line="176" w:lineRule="exact"/>
        <w:rPr>
          <w:sz w:val="20"/>
          <w:szCs w:val="20"/>
          <w:color w:val="auto"/>
        </w:rPr>
      </w:pPr>
    </w:p>
    <w:p>
      <w:pPr>
        <w:ind w:left="40" w:right="179" w:firstLine="324"/>
        <w:spacing w:after="0" w:line="261" w:lineRule="auto"/>
        <w:rPr>
          <w:sz w:val="20"/>
          <w:szCs w:val="20"/>
          <w:color w:val="auto"/>
        </w:rPr>
      </w:pPr>
      <w:r>
        <w:rPr>
          <w:rFonts w:ascii="Times New Roman" w:cs="Times New Roman" w:eastAsia="Times New Roman" w:hAnsi="Times New Roman"/>
          <w:sz w:val="18"/>
          <w:szCs w:val="18"/>
          <w:color w:val="auto"/>
        </w:rPr>
        <w:t>Cost of licensing, royalty, patent, and other revenue decreased by $0.3 million, or 60.1% from $0.5 million during the three months ended June 30, 2023, to $0.2 million during the three months ended June 30, 2024. The decrease was primarily due to a decrease in licensing costs related to labor and materials associated with the progression of our RAD-Hard projects.</w:t>
      </w:r>
    </w:p>
    <w:p>
      <w:pPr>
        <w:spacing w:after="0" w:line="180" w:lineRule="exact"/>
        <w:rPr>
          <w:sz w:val="20"/>
          <w:szCs w:val="20"/>
          <w:color w:val="auto"/>
        </w:rPr>
      </w:pPr>
    </w:p>
    <w:p>
      <w:pPr>
        <w:ind w:left="40" w:right="239" w:firstLine="324"/>
        <w:spacing w:after="0" w:line="266" w:lineRule="auto"/>
        <w:rPr>
          <w:sz w:val="20"/>
          <w:szCs w:val="20"/>
          <w:color w:val="auto"/>
        </w:rPr>
      </w:pPr>
      <w:r>
        <w:rPr>
          <w:rFonts w:ascii="Times New Roman" w:cs="Times New Roman" w:eastAsia="Times New Roman" w:hAnsi="Times New Roman"/>
          <w:sz w:val="18"/>
          <w:szCs w:val="18"/>
          <w:color w:val="auto"/>
        </w:rPr>
        <w:t>Gross margin decreased from 58.4% during the three months ended June 30, 2023, to 49.0% during the three months ended June 30, 2024. Gross margin decreased as a result of a decrease in product sales and licensing revenue, partially offset by increased yields on our toggle products.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left="40" w:right="239"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components of each of our operating expense categories.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7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70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20" w:type="dxa"/>
            <w:vAlign w:val="bottom"/>
            <w:gridSpan w:val="5"/>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$ 3,457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$ 2,708</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$ 749</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as a % of revenue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17 %</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0" w:right="1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increased by $0.7 million, or 27.7%,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$2.7 million during the three months ended June 30, 2023, to $3.5 million during the three months ended June 30, 2024. The primary driver of research and development expenses relates to our new Extended Serial Peripheral Interface (xSPI) family of STT-MRAM products. Our xSPI products offer high-performance, multiple I/O, SPI-compatibility and feature a high-speed, low pin count SPI compatible interface.</w:t>
      </w:r>
    </w:p>
    <w:p>
      <w:pPr>
        <w:spacing w:after="0" w:line="18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6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122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68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20" w:type="dxa"/>
            <w:vAlign w:val="bottom"/>
            <w:gridSpan w:val="5"/>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$ 3,254</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$ 3,507</w:t>
            </w:r>
          </w:p>
        </w:tc>
        <w:tc>
          <w:tcPr>
            <w:tcW w:w="2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(253)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as a % of revenue</w:t>
            </w:r>
          </w:p>
        </w:tc>
        <w:tc>
          <w:tcPr>
            <w:tcW w:w="8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31 %</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22 %</w:t>
            </w: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0" w:right="1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by $0.3 million, or 7.2%,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$3.5 million during the three months ended June 30, 2023, to $3.2 million during the three months ended June 30, 2024. The decrease is primarily due to reduced professional services costs.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6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122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68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20" w:type="dxa"/>
            <w:vAlign w:val="bottom"/>
            <w:gridSpan w:val="5"/>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$ 1,324</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$ 1,355</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as a % of revenue</w:t>
            </w:r>
          </w:p>
        </w:tc>
        <w:tc>
          <w:tcPr>
            <w:tcW w:w="8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12 %</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9 %</w:t>
            </w: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0" w:right="2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remained consistent at $1.3 million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and 2023, respectively. Sales and marketing expenses relate primarily to compensation costs and contract labor.</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520" w:type="dxa"/>
            <w:vAlign w:val="bottom"/>
            <w:gridSpan w:val="4"/>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38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620" w:type="dxa"/>
            <w:vAlign w:val="bottom"/>
            <w:tcBorders>
              <w:top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top w:val="single" w:sz="8" w:color="auto"/>
            </w:tcBorders>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tcBorders>
              <w:top w:val="single" w:sz="8" w:color="auto"/>
            </w:tcBorders>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40" w:type="dxa"/>
            <w:vAlign w:val="bottom"/>
            <w:vMerge w:val="continue"/>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$ 2,262</w:t>
            </w:r>
          </w:p>
        </w:tc>
        <w:tc>
          <w:tcPr>
            <w:tcW w:w="9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(1,869)</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0" w:right="359" w:firstLine="324"/>
        <w:spacing w:after="0" w:line="266" w:lineRule="auto"/>
        <w:rPr>
          <w:sz w:val="20"/>
          <w:szCs w:val="20"/>
          <w:color w:val="auto"/>
        </w:rPr>
      </w:pPr>
      <w:r>
        <w:rPr>
          <w:rFonts w:ascii="Times New Roman" w:cs="Times New Roman" w:eastAsia="Times New Roman" w:hAnsi="Times New Roman"/>
          <w:sz w:val="18"/>
          <w:szCs w:val="18"/>
          <w:color w:val="auto"/>
        </w:rPr>
        <w:t>Other income, net decreased by $1.9 million in income for the three months ended June 30, 2024. The change was primarily due to an employee retention tax credit of $2.0 million during the three months ended June 30, 2023, partially offset by interest income.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40" w:right="199" w:firstLine="324"/>
        <w:spacing w:after="0" w:line="282" w:lineRule="auto"/>
        <w:rPr>
          <w:sz w:val="20"/>
          <w:szCs w:val="20"/>
          <w:color w:val="auto"/>
        </w:rPr>
      </w:pPr>
      <w:r>
        <w:rPr>
          <w:rFonts w:ascii="Times New Roman" w:cs="Times New Roman" w:eastAsia="Times New Roman" w:hAnsi="Times New Roman"/>
          <w:sz w:val="18"/>
          <w:szCs w:val="18"/>
          <w:color w:val="auto"/>
        </w:rPr>
        <w:t>We generated 78% and 82% of our revenue from products sold to distributors for the six months ended June 30, 2024 and 2023,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revenue by region and by type of revenue for the periods indicated were as follows (in thousands).</w:t>
      </w:r>
    </w:p>
    <w:p>
      <w:pPr>
        <w:spacing w:after="0" w:line="30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15,555</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8,847</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6,191</w:t>
            </w:r>
          </w:p>
        </w:tc>
        <w:tc>
          <w:tcPr>
            <w:tcW w:w="0" w:type="dxa"/>
            <w:vAlign w:val="bottom"/>
          </w:tcPr>
          <w:p>
            <w:pPr>
              <w:spacing w:after="0"/>
              <w:rPr>
                <w:sz w:val="1"/>
                <w:szCs w:val="1"/>
                <w:color w:val="auto"/>
              </w:rPr>
            </w:pPr>
          </w:p>
        </w:tc>
      </w:tr>
      <w:tr>
        <w:trPr>
          <w:trHeight w:val="210"/>
        </w:trPr>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30,593</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5"/>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1"/>
                <w:szCs w:val="11"/>
                <w:color w:val="auto"/>
              </w:rPr>
            </w:pPr>
          </w:p>
        </w:tc>
        <w:tc>
          <w:tcPr>
            <w:tcW w:w="90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20,747</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27,183</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198"/>
        </w:trPr>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Licensing, royalty, patent, and other</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40" w:right="159" w:firstLine="324"/>
        <w:spacing w:after="0" w:line="261" w:lineRule="auto"/>
        <w:rPr>
          <w:sz w:val="20"/>
          <w:szCs w:val="20"/>
          <w:color w:val="auto"/>
        </w:rPr>
      </w:pPr>
      <w:r>
        <w:rPr>
          <w:rFonts w:ascii="Times New Roman" w:cs="Times New Roman" w:eastAsia="Times New Roman" w:hAnsi="Times New Roman"/>
          <w:sz w:val="18"/>
          <w:szCs w:val="18"/>
          <w:color w:val="auto"/>
        </w:rPr>
        <w:t>Total revenue decreased by $5.5 million, or 18.1%, from $30.6 million during the six months ended June 30, 2023 to $25.1 million during the six months ended June 30, 2024. The decrease was primarily due to a decrease in product sales of $6.4 million due to timing of customer demand, offset by an increase in licensing revenue generated from our RAD-Hard projects of $0.7 million, along with an increase of $0.2 million in other revenue related to foundry services.</w:t>
      </w:r>
    </w:p>
    <w:p>
      <w:pPr>
        <w:spacing w:after="0" w:line="180" w:lineRule="exact"/>
        <w:rPr>
          <w:sz w:val="20"/>
          <w:szCs w:val="20"/>
          <w:color w:val="auto"/>
        </w:rPr>
      </w:pPr>
    </w:p>
    <w:p>
      <w:pPr>
        <w:ind w:left="40" w:right="99" w:firstLine="324"/>
        <w:spacing w:after="0" w:line="255" w:lineRule="auto"/>
        <w:rPr>
          <w:sz w:val="20"/>
          <w:szCs w:val="20"/>
          <w:color w:val="auto"/>
        </w:rPr>
      </w:pPr>
      <w:r>
        <w:rPr>
          <w:rFonts w:ascii="Times New Roman" w:cs="Times New Roman" w:eastAsia="Times New Roman" w:hAnsi="Times New Roman"/>
          <w:sz w:val="18"/>
          <w:szCs w:val="18"/>
          <w:color w:val="auto"/>
        </w:rPr>
        <w:t>Licensing, royalty, patent and other revenue is a highly variable revenue item characterized by a small number of transactions annually with revenue based on size and term of each transaction Our best estimate of royalty revenue earned is made through the year, with an annual adjustment recognized for actual sales in the first quarter of each fiscal year. Licensing, royalty, patent, and other revenue increased by $0.9 million, or 26.7%, from $3.4 million during the six months ended June 30, 2023, to $4.3 million during the six months ended June 30, 2024. The increase was driven by an increase of $0.7 million in licensing revenue generated from our RAD-Hard projects, along with an increase of $0.2 million of other revenue related to foundry services.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Cost of Sales and Gross Margin</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880" w:type="dxa"/>
            <w:vAlign w:val="bottom"/>
            <w:gridSpan w:val="5"/>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1360" w:type="dxa"/>
            <w:vAlign w:val="bottom"/>
            <w:gridSpan w:val="4"/>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880" w:type="dxa"/>
            <w:vAlign w:val="bottom"/>
            <w:gridSpan w:val="5"/>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5"/>
                <w:szCs w:val="15"/>
                <w:color w:val="auto"/>
              </w:rPr>
            </w:pPr>
          </w:p>
        </w:tc>
        <w:tc>
          <w:tcPr>
            <w:tcW w:w="13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$ 11,238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$ 12,213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(975)</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8"/>
        </w:trPr>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licensing, royalty, patent, and other</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$ 11,690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$ 12,970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76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8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0" w:right="399" w:firstLine="324"/>
        <w:spacing w:after="0" w:line="266" w:lineRule="auto"/>
        <w:rPr>
          <w:sz w:val="20"/>
          <w:szCs w:val="20"/>
          <w:color w:val="auto"/>
        </w:rPr>
      </w:pPr>
      <w:r>
        <w:rPr>
          <w:rFonts w:ascii="Times New Roman" w:cs="Times New Roman" w:eastAsia="Times New Roman" w:hAnsi="Times New Roman"/>
          <w:sz w:val="18"/>
          <w:szCs w:val="18"/>
          <w:color w:val="auto"/>
        </w:rPr>
        <w:t>Cost of product sales decreased by $1.0 million, or 8.0%, from $12.2 million during the six months ended June 30, 2023, to $11.2 million during the six months ended June 30, 2024. The decrease was primarily due to a reduction in product sales and increased yields on our toggle products.</w:t>
      </w:r>
    </w:p>
    <w:p>
      <w:pPr>
        <w:spacing w:after="0" w:line="176" w:lineRule="exact"/>
        <w:rPr>
          <w:sz w:val="20"/>
          <w:szCs w:val="20"/>
          <w:color w:val="auto"/>
        </w:rPr>
      </w:pPr>
    </w:p>
    <w:p>
      <w:pPr>
        <w:ind w:left="40" w:right="179" w:firstLine="324"/>
        <w:spacing w:after="0" w:line="266" w:lineRule="auto"/>
        <w:rPr>
          <w:sz w:val="20"/>
          <w:szCs w:val="20"/>
          <w:color w:val="auto"/>
        </w:rPr>
      </w:pPr>
      <w:r>
        <w:rPr>
          <w:rFonts w:ascii="Times New Roman" w:cs="Times New Roman" w:eastAsia="Times New Roman" w:hAnsi="Times New Roman"/>
          <w:sz w:val="18"/>
          <w:szCs w:val="18"/>
          <w:color w:val="auto"/>
        </w:rPr>
        <w:t>Cost of licensing, royalty, patent, and other revenue decreased by $0.3 million, or 40.3% from $0.8 million during the six months ended June 30, 2023, to $0.5 million during the six months ended June 30, 2024. The decrease was due to a decrease in licensing costs related to labor and materials associated with the progression of our RAD-Hard projects.</w:t>
      </w:r>
    </w:p>
    <w:p>
      <w:pPr>
        <w:spacing w:after="0" w:line="176" w:lineRule="exact"/>
        <w:rPr>
          <w:sz w:val="20"/>
          <w:szCs w:val="20"/>
          <w:color w:val="auto"/>
        </w:rPr>
      </w:pPr>
    </w:p>
    <w:p>
      <w:pPr>
        <w:ind w:left="40" w:right="59" w:firstLine="324"/>
        <w:spacing w:after="0" w:line="266" w:lineRule="auto"/>
        <w:rPr>
          <w:sz w:val="20"/>
          <w:szCs w:val="20"/>
          <w:color w:val="auto"/>
        </w:rPr>
      </w:pPr>
      <w:r>
        <w:rPr>
          <w:rFonts w:ascii="Times New Roman" w:cs="Times New Roman" w:eastAsia="Times New Roman" w:hAnsi="Times New Roman"/>
          <w:sz w:val="18"/>
          <w:szCs w:val="18"/>
          <w:color w:val="auto"/>
        </w:rPr>
        <w:t>Gross margin decreased from 57.6% during the six months ended June 30, 2023, to 53.4% during the six months ended June 30, 2024. Gross margin decreased as a result of a decrease in product sales and increased yields on our toggle products, partially offset by increased licensing revenue.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left="40" w:right="239"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components of each of our operating expense categories.</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6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3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r>
      <w:tr>
        <w:trPr>
          <w:trHeight w:val="128"/>
        </w:trPr>
        <w:tc>
          <w:tcPr>
            <w:tcW w:w="3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0" w:type="dxa"/>
            <w:vAlign w:val="bottom"/>
            <w:gridSpan w:val="5"/>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6,875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5,907</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$ 968</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as a % of revenue</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393" w:lineRule="exact"/>
        <w:rPr>
          <w:sz w:val="20"/>
          <w:szCs w:val="20"/>
          <w:color w:val="auto"/>
        </w:rPr>
      </w:pPr>
    </w:p>
    <w:p>
      <w:pPr>
        <w:ind w:left="40" w:right="1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increased by $1.0 million, or 16.4%,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$5.9 million during the six months ended June 30, 2023, to $6.9 million during the six months ended June 30, 2024. The primary driver of research and development expenses relates to our new xSPI family of STT-MRAM products.</w:t>
      </w:r>
    </w:p>
    <w:p>
      <w:pPr>
        <w:spacing w:after="0" w:line="18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3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r>
      <w:tr>
        <w:trPr>
          <w:trHeight w:val="128"/>
        </w:trPr>
        <w:tc>
          <w:tcPr>
            <w:tcW w:w="3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5"/>
              </w:rPr>
              <w:t>(Dollars in thousands)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7,290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6,727</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$ 563</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as a % of revenue</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22 %</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7" w:lineRule="exact"/>
        <w:rPr>
          <w:sz w:val="20"/>
          <w:szCs w:val="20"/>
          <w:color w:val="auto"/>
        </w:rPr>
      </w:pPr>
    </w:p>
    <w:p>
      <w:pPr>
        <w:jc w:val="both"/>
        <w:ind w:left="40" w:right="2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$0.6 million, or 8.4%,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$6.7 million during the six months ended June 30, 2023, to $7.3 million during the six months ended June 30, 2024. The increase is primarily due to increases related to stock-based compensation and professional services.</w:t>
      </w:r>
    </w:p>
    <w:p>
      <w:pPr>
        <w:spacing w:after="0" w:line="18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3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r>
      <w:tr>
        <w:trPr>
          <w:trHeight w:val="129"/>
        </w:trPr>
        <w:tc>
          <w:tcPr>
            <w:tcW w:w="3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5"/>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2,630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2,670</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(40)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as a % of revenue</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9 %</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7" w:lineRule="exact"/>
        <w:rPr>
          <w:sz w:val="20"/>
          <w:szCs w:val="20"/>
          <w:color w:val="auto"/>
        </w:rPr>
      </w:pPr>
    </w:p>
    <w:p>
      <w:pPr>
        <w:ind w:left="40" w:right="59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remained consistent at $2.6 million during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and 2023, respectively.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6"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gridSpan w:val="5"/>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(63)</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99" w:firstLine="324"/>
        <w:spacing w:after="0" w:line="261" w:lineRule="auto"/>
        <w:rPr>
          <w:sz w:val="20"/>
          <w:szCs w:val="20"/>
          <w:color w:val="auto"/>
        </w:rPr>
      </w:pPr>
      <w:r>
        <w:rPr>
          <w:rFonts w:ascii="Times New Roman" w:cs="Times New Roman" w:eastAsia="Times New Roman" w:hAnsi="Times New Roman"/>
          <w:sz w:val="18"/>
          <w:szCs w:val="18"/>
          <w:color w:val="auto"/>
        </w:rPr>
        <w:t>Interest expense decreased by $0.1 million, or 100.0%, from $0.1 million during the six months ended June 30, 2023, to $0 during the six months ended June 30, 2024. The decrease was due to having no outstanding balance under our 2019 Credit Facility that we paid off in full in March 2023, resulting in no interest incurred during the six months ended June 30, 2024.</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9"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8"/>
        </w:trPr>
        <w:tc>
          <w:tcPr>
            <w:tcW w:w="422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6"/>
                <w:szCs w:val="16"/>
                <w:color w:val="auto"/>
              </w:rPr>
            </w:pPr>
          </w:p>
        </w:tc>
        <w:tc>
          <w:tcPr>
            <w:tcW w:w="15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42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29"/>
        </w:trPr>
        <w:tc>
          <w:tcPr>
            <w:tcW w:w="4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$ 791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$ 2,390</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(1,599)</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(66.9)%</w:t>
            </w:r>
          </w:p>
        </w:tc>
      </w:tr>
    </w:tbl>
    <w:p>
      <w:pPr>
        <w:spacing w:after="0" w:line="198" w:lineRule="exact"/>
        <w:rPr>
          <w:sz w:val="20"/>
          <w:szCs w:val="20"/>
          <w:color w:val="auto"/>
        </w:rPr>
      </w:pPr>
    </w:p>
    <w:p>
      <w:pPr>
        <w:ind w:left="40" w:right="59" w:firstLine="324"/>
        <w:spacing w:after="0" w:line="266" w:lineRule="auto"/>
        <w:rPr>
          <w:sz w:val="20"/>
          <w:szCs w:val="20"/>
          <w:color w:val="auto"/>
        </w:rPr>
      </w:pPr>
      <w:r>
        <w:rPr>
          <w:rFonts w:ascii="Times New Roman" w:cs="Times New Roman" w:eastAsia="Times New Roman" w:hAnsi="Times New Roman"/>
          <w:sz w:val="18"/>
          <w:szCs w:val="18"/>
          <w:color w:val="auto"/>
        </w:rPr>
        <w:t>Other income, net decreased by $1.6 million in income for the six months ended June 30, 2024. The change was primarily due to an employee retention tax credit of $2.0 million during the six months ended June 30, 2023, partially offset by interest income.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159" w:firstLine="324"/>
        <w:spacing w:after="0" w:line="256" w:lineRule="auto"/>
        <w:rPr>
          <w:sz w:val="20"/>
          <w:szCs w:val="20"/>
          <w:color w:val="auto"/>
        </w:rPr>
      </w:pPr>
      <w:r>
        <w:rPr>
          <w:rFonts w:ascii="Times New Roman" w:cs="Times New Roman" w:eastAsia="Times New Roman" w:hAnsi="Times New Roman"/>
          <w:sz w:val="18"/>
          <w:szCs w:val="18"/>
          <w:color w:val="auto"/>
        </w:rPr>
        <w:t>As of June 30, 2024, we had $36.8 million of cash and cash equivalents, compared to $36.9 million as of December 31, 2023. As of June 30, 2024, we have no outstanding debt as we paid off our 2019 Credit Facility in full in March 2023. We believe our cash and cash equivalents are sufficient to meet our anticipated capital requirements in the next 12 months. Our future capital requirements will depend on many factors, including, among other things, our growth rate, the timing and extent of our spending to support research and development activities, the timing and cost of establishing additional sales and marketing capabilities, and the introduction of new products.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r>
      <w:tr>
        <w:trPr>
          <w:trHeight w:val="128"/>
        </w:trPr>
        <w:tc>
          <w:tcPr>
            <w:tcW w:w="4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5"/>
          </w:tcPr>
          <w:p>
            <w:pPr>
              <w:jc w:val="right"/>
              <w:ind w:right="4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2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0" w:type="dxa"/>
            <w:vAlign w:val="bottom"/>
          </w:tcPr>
          <w:p>
            <w:pPr>
              <w:spacing w:after="0"/>
              <w:rPr>
                <w:sz w:val="18"/>
                <w:szCs w:val="18"/>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2024, cash provided by operating activities was $0.4 million, which consisted of net loss of $2.7 million, non-cash charges of $4.4 million and changes of net operating assets and liabilities of $1.2 million. The non-cash charges consisted of stock-based compensation of $3.6 million and depreciation and amortization of $0.8 million. The change in our net operating assets and liabilities was primarily due to a decrease in accounts receivable of $1.4 million due to timing of cash receipts for outstanding balances, a decrease in prepaid and other current assets of $0.5 million, and a decrease in inventory of $0.4 million offset by a decrease in accounts payable of $0.6 million, a decrease in accrued liabilities of $2.6 million and a decrease in deferred revenue of $0.3 million.</w:t>
      </w:r>
    </w:p>
    <w:p>
      <w:pPr>
        <w:spacing w:after="0" w:line="189" w:lineRule="exact"/>
        <w:rPr>
          <w:sz w:val="20"/>
          <w:szCs w:val="20"/>
          <w:color w:val="auto"/>
        </w:rPr>
      </w:pPr>
    </w:p>
    <w:p>
      <w:pPr>
        <w:ind w:left="40" w:right="79" w:firstLine="324"/>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2023, cash provided by operating activities was $7.5 million, which consisted of net income of $4.6 million, non-cash charges of $3.2 million and changes of net operating assets and liabilities of $0.3 million. The non-cash charges primarily consisted of stock-based compensation of $ 2.4 million, depreciation and amortization of $0.6 million, and a loss on prepayment and termination of our 2019 Credit Facility of $0.2 million. The change in our net operating assets and liabilities was primarily due to an increase in inventory of $0.7 million, a decrease in accounts payable of $0.7 million, a decrease in accrued liabilities of $0.7 million primarily due to timing of variable compensation costs, and a decrease in deferred revenue of $0.1 million, offset by a decrease in accounts receivable of $1.6 million due to timing of cash receipts for outstanding balances and a decrease in prepaid and other current assets of $0.2 million.</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40" w:right="179"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six months ended June 30, 2024, was $1.2 million, reflecting purchases of manufacturing equipment.</w:t>
      </w:r>
    </w:p>
    <w:p>
      <w:pPr>
        <w:spacing w:after="0" w:line="162" w:lineRule="exact"/>
        <w:rPr>
          <w:sz w:val="20"/>
          <w:szCs w:val="20"/>
          <w:color w:val="auto"/>
        </w:rPr>
      </w:pPr>
    </w:p>
    <w:p>
      <w:pPr>
        <w:ind w:left="40" w:right="139" w:firstLine="324"/>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during the six months ended June 30, 2023 was $1.0 million, reflecting $1.1 million for the purchases of manufacturing equipment offset by a nominal amount in proceeds received on the sale of property and equipment.</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left="40" w:right="439" w:firstLine="324"/>
        <w:spacing w:after="0" w:line="312" w:lineRule="auto"/>
        <w:rPr>
          <w:sz w:val="20"/>
          <w:szCs w:val="20"/>
          <w:color w:val="auto"/>
        </w:rPr>
      </w:pPr>
      <w:r>
        <w:rPr>
          <w:rFonts w:ascii="Times New Roman" w:cs="Times New Roman" w:eastAsia="Times New Roman" w:hAnsi="Times New Roman"/>
          <w:sz w:val="17"/>
          <w:szCs w:val="17"/>
          <w:color w:val="auto"/>
        </w:rPr>
        <w:t>Cash provided by financing activities during the six months ended June 30, 2024, was $0.6 million, consisting of proceeds from the exercise of employee stock options and purchase of shares under our employee stock purchase plan.</w:t>
      </w:r>
    </w:p>
    <w:p>
      <w:pPr>
        <w:spacing w:after="0" w:line="140" w:lineRule="exact"/>
        <w:rPr>
          <w:sz w:val="20"/>
          <w:szCs w:val="20"/>
          <w:color w:val="auto"/>
        </w:rPr>
      </w:pPr>
    </w:p>
    <w:p>
      <w:pPr>
        <w:ind w:left="40" w:right="319" w:firstLine="324"/>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during the six months ended June 30, 2023, was $2.5 million, consisting mainly of $2.8 million of payments to pay off our 2019 Credit Facility, offset by $0.3 million in proceeds from the exercise of employee stock options.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229"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Our condensed financial statements have been prepared in accordance with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ind w:left="40" w:right="17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to our critical accounting policies and estimates described in the Annual Report on Form 10-K for the year ended December 31, 2023, filed with the SEC on February 29, 2024, that have had a material impact on our condensed financial statements and related notes.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left="40" w:right="119" w:firstLine="324"/>
        <w:spacing w:after="0" w:line="289" w:lineRule="auto"/>
        <w:rPr>
          <w:sz w:val="20"/>
          <w:szCs w:val="20"/>
          <w:color w:val="auto"/>
        </w:rPr>
      </w:pPr>
      <w:r>
        <w:rPr>
          <w:rFonts w:ascii="Times New Roman" w:cs="Times New Roman" w:eastAsia="Times New Roman" w:hAnsi="Times New Roman"/>
          <w:sz w:val="17"/>
          <w:szCs w:val="17"/>
          <w:color w:val="auto"/>
        </w:rPr>
        <w:t>Our management, including our Chief Executive Officer (CEO) and Chief Financial Officer (CFO), evaluated the effectiveness of the design and operation of our disclosure controls and procedures (as defined in Rules 13a-15(e) and 15d-15(e) under the Exchange Act), as of June 30, 2024, the end of the period covered by this Quarterly Report on Form 10-Q.</w:t>
      </w:r>
    </w:p>
    <w:p>
      <w:pPr>
        <w:spacing w:after="0" w:line="158" w:lineRule="exact"/>
        <w:rPr>
          <w:sz w:val="20"/>
          <w:szCs w:val="20"/>
          <w:color w:val="auto"/>
        </w:rPr>
      </w:pPr>
    </w:p>
    <w:p>
      <w:pPr>
        <w:ind w:left="40" w:right="299" w:firstLine="324"/>
        <w:spacing w:after="0" w:line="282" w:lineRule="auto"/>
        <w:rPr>
          <w:sz w:val="20"/>
          <w:szCs w:val="20"/>
          <w:color w:val="auto"/>
        </w:rPr>
      </w:pPr>
      <w:r>
        <w:rPr>
          <w:rFonts w:ascii="Times New Roman" w:cs="Times New Roman" w:eastAsia="Times New Roman" w:hAnsi="Times New Roman"/>
          <w:sz w:val="18"/>
          <w:szCs w:val="18"/>
          <w:color w:val="auto"/>
        </w:rPr>
        <w:t>Based on this evaluation, our CEO and CFO concluded that our disclosure controls and procedures were effective at the reasonable assurance level as of June 30, 2024.</w:t>
      </w:r>
    </w:p>
    <w:p>
      <w:pPr>
        <w:spacing w:after="0" w:line="162" w:lineRule="exact"/>
        <w:rPr>
          <w:sz w:val="20"/>
          <w:szCs w:val="20"/>
          <w:color w:val="auto"/>
        </w:rPr>
      </w:pPr>
    </w:p>
    <w:p>
      <w:pPr>
        <w:ind w:left="40" w:right="99" w:firstLine="401"/>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six months ended June 30, 2024 that materially affected, or are reasonably likely to materially affect, our internal control over financial reporting.</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Inherent limitation on the effectiveness of internal control.</w:t>
      </w:r>
    </w:p>
    <w:p>
      <w:pPr>
        <w:spacing w:after="0" w:line="227" w:lineRule="exact"/>
        <w:rPr>
          <w:sz w:val="20"/>
          <w:szCs w:val="20"/>
          <w:color w:val="auto"/>
        </w:rPr>
      </w:pPr>
    </w:p>
    <w:p>
      <w:pPr>
        <w:ind w:left="40" w:right="59" w:firstLine="401"/>
        <w:spacing w:after="0" w:line="254"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99" w:firstLine="324"/>
        <w:spacing w:after="0" w:line="282" w:lineRule="auto"/>
        <w:rPr>
          <w:sz w:val="20"/>
          <w:szCs w:val="20"/>
          <w:color w:val="auto"/>
        </w:rPr>
      </w:pPr>
      <w:r>
        <w:rPr>
          <w:rFonts w:ascii="Times New Roman" w:cs="Times New Roman" w:eastAsia="Times New Roman" w:hAnsi="Times New Roman"/>
          <w:sz w:val="18"/>
          <w:szCs w:val="18"/>
          <w:color w:val="auto"/>
        </w:rPr>
        <w:t>We are not party to any material legal proceedings at this time. From time to time, we may become involved in various legal proceedings that arise in the ordinary course of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40" w:right="1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financial condition, results of operations and cash flows could be harmed.</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 w:right="119" w:firstLine="324"/>
        <w:spacing w:after="0" w:line="253" w:lineRule="auto"/>
        <w:rPr>
          <w:sz w:val="20"/>
          <w:szCs w:val="20"/>
          <w:color w:val="auto"/>
        </w:rPr>
      </w:pPr>
      <w:r>
        <w:rPr>
          <w:rFonts w:ascii="Times New Roman" w:cs="Times New Roman" w:eastAsia="Times New Roman" w:hAnsi="Times New Roman"/>
          <w:sz w:val="18"/>
          <w:szCs w:val="18"/>
          <w:color w:val="auto"/>
        </w:rPr>
        <w:t>We are subject to a variety of risks and uncertainties, including risks related to our financial condition, risks related to our business and our industry, risks related to our intellectual property and technology, risks related to regulatory matters and compliance, risks related to our common stock and certain general risks, which could have a material adverse effect on our business, financial condition, results of operations and cash flows. These risks include, but are not limited to, the following principal risks:</w:t>
      </w:r>
    </w:p>
    <w:p>
      <w:pPr>
        <w:spacing w:after="0" w:line="187" w:lineRule="exact"/>
        <w:rPr>
          <w:sz w:val="20"/>
          <w:szCs w:val="20"/>
          <w:color w:val="auto"/>
        </w:rPr>
      </w:pPr>
    </w:p>
    <w:p>
      <w:pPr>
        <w:ind w:left="1040" w:right="379" w:hanging="645"/>
        <w:spacing w:after="0" w:line="282"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funding and may be unable to raise capital when needed, which could force us to delay, reduce, or eliminate planned activities.</w:t>
      </w:r>
    </w:p>
    <w:p>
      <w:pPr>
        <w:spacing w:after="0" w:line="53" w:lineRule="exact"/>
        <w:rPr>
          <w:rFonts w:ascii="Times New Roman" w:cs="Times New Roman" w:eastAsia="Times New Roman" w:hAnsi="Times New Roman"/>
          <w:sz w:val="18"/>
          <w:szCs w:val="18"/>
          <w:color w:val="auto"/>
        </w:rPr>
      </w:pPr>
    </w:p>
    <w:p>
      <w:pPr>
        <w:ind w:left="1040" w:hanging="645"/>
        <w:spacing w:after="0"/>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that we will sustain profitability.</w:t>
      </w:r>
    </w:p>
    <w:p>
      <w:pPr>
        <w:spacing w:after="0" w:line="117" w:lineRule="exact"/>
        <w:rPr>
          <w:rFonts w:ascii="Times New Roman" w:cs="Times New Roman" w:eastAsia="Times New Roman" w:hAnsi="Times New Roman"/>
          <w:sz w:val="18"/>
          <w:szCs w:val="18"/>
          <w:color w:val="auto"/>
        </w:rPr>
      </w:pPr>
    </w:p>
    <w:p>
      <w:pPr>
        <w:ind w:left="1040" w:right="379" w:hanging="645"/>
        <w:spacing w:after="0" w:line="282"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history of STT-MRAM adoption makes it difficult to evaluate our current business and future prospects.</w:t>
      </w:r>
    </w:p>
    <w:p>
      <w:pPr>
        <w:spacing w:after="0" w:line="53" w:lineRule="exact"/>
        <w:rPr>
          <w:rFonts w:ascii="Times New Roman" w:cs="Times New Roman" w:eastAsia="Times New Roman" w:hAnsi="Times New Roman"/>
          <w:sz w:val="18"/>
          <w:szCs w:val="18"/>
          <w:color w:val="auto"/>
        </w:rPr>
      </w:pPr>
    </w:p>
    <w:p>
      <w:pPr>
        <w:ind w:left="1040" w:right="139" w:hanging="645"/>
        <w:spacing w:after="0" w:line="261"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match production with customer demand for a variety of reasons including macroeconomic factors due to the cyclical nature of the semiconductor industry, our inability to accurately forecast customer demand, supply chain constraints, or the capacity constraints of our suppliers, which could adversely affect our operating results.</w:t>
      </w:r>
    </w:p>
    <w:p>
      <w:pPr>
        <w:spacing w:after="0" w:line="71" w:lineRule="exact"/>
        <w:rPr>
          <w:rFonts w:ascii="Times New Roman" w:cs="Times New Roman" w:eastAsia="Times New Roman" w:hAnsi="Times New Roman"/>
          <w:sz w:val="18"/>
          <w:szCs w:val="18"/>
          <w:color w:val="auto"/>
        </w:rPr>
      </w:pPr>
    </w:p>
    <w:p>
      <w:pPr>
        <w:ind w:left="1040" w:right="639" w:hanging="645"/>
        <w:spacing w:after="0" w:line="26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expand into new potential markets, we expect to face intense competition, including from our customers and potential customers, and may not be able to compete effectively, which could harm our business.</w:t>
      </w:r>
    </w:p>
    <w:p>
      <w:pPr>
        <w:spacing w:after="0" w:line="67" w:lineRule="exact"/>
        <w:rPr>
          <w:rFonts w:ascii="Times New Roman" w:cs="Times New Roman" w:eastAsia="Times New Roman" w:hAnsi="Times New Roman"/>
          <w:sz w:val="18"/>
          <w:szCs w:val="18"/>
          <w:color w:val="auto"/>
        </w:rPr>
      </w:pPr>
    </w:p>
    <w:p>
      <w:pPr>
        <w:ind w:left="1020" w:right="79" w:hanging="652"/>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67" w:lineRule="exact"/>
        <w:rPr>
          <w:rFonts w:ascii="Times New Roman" w:cs="Times New Roman" w:eastAsia="Times New Roman" w:hAnsi="Times New Roman"/>
          <w:sz w:val="18"/>
          <w:szCs w:val="18"/>
          <w:color w:val="auto"/>
        </w:rPr>
      </w:pPr>
    </w:p>
    <w:p>
      <w:pPr>
        <w:ind w:left="1040" w:right="99" w:hanging="645"/>
        <w:spacing w:after="0" w:line="282"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 and increased cost of components used in our products may adversely impact our business, results of operations and financial condition, including our ability to fulfill customer demand.</w:t>
      </w:r>
    </w:p>
    <w:p>
      <w:pPr>
        <w:spacing w:after="0" w:line="53" w:lineRule="exact"/>
        <w:rPr>
          <w:rFonts w:ascii="Times New Roman" w:cs="Times New Roman" w:eastAsia="Times New Roman" w:hAnsi="Times New Roman"/>
          <w:sz w:val="18"/>
          <w:szCs w:val="18"/>
          <w:color w:val="auto"/>
        </w:rPr>
      </w:pPr>
    </w:p>
    <w:p>
      <w:pPr>
        <w:ind w:left="1040" w:hanging="645"/>
        <w:spacing w:after="0"/>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development agreement and strategic relationships involve numerous risks.</w:t>
      </w:r>
    </w:p>
    <w:p>
      <w:pPr>
        <w:spacing w:after="0" w:line="117" w:lineRule="exact"/>
        <w:rPr>
          <w:rFonts w:ascii="Times New Roman" w:cs="Times New Roman" w:eastAsia="Times New Roman" w:hAnsi="Times New Roman"/>
          <w:sz w:val="18"/>
          <w:szCs w:val="18"/>
          <w:color w:val="auto"/>
        </w:rPr>
      </w:pPr>
    </w:p>
    <w:p>
      <w:pPr>
        <w:ind w:left="1040" w:right="139" w:hanging="645"/>
        <w:spacing w:after="0" w:line="26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67" w:lineRule="exact"/>
        <w:rPr>
          <w:rFonts w:ascii="Times New Roman" w:cs="Times New Roman" w:eastAsia="Times New Roman" w:hAnsi="Times New Roman"/>
          <w:sz w:val="18"/>
          <w:szCs w:val="18"/>
          <w:color w:val="auto"/>
        </w:rPr>
      </w:pPr>
    </w:p>
    <w:p>
      <w:pPr>
        <w:ind w:left="1040" w:right="219" w:hanging="645"/>
        <w:spacing w:after="0" w:line="261"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71" w:lineRule="exact"/>
        <w:rPr>
          <w:rFonts w:ascii="Times New Roman" w:cs="Times New Roman" w:eastAsia="Times New Roman" w:hAnsi="Times New Roman"/>
          <w:sz w:val="18"/>
          <w:szCs w:val="18"/>
          <w:color w:val="auto"/>
        </w:rPr>
      </w:pPr>
    </w:p>
    <w:p>
      <w:pPr>
        <w:ind w:left="1040" w:right="159" w:hanging="645"/>
        <w:spacing w:after="0" w:line="282"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several of our customers or reduced orders or pricing from existing customers may have a significant adverse effect on our operations and financial results.</w:t>
      </w:r>
    </w:p>
    <w:p>
      <w:pPr>
        <w:spacing w:after="0" w:line="53" w:lineRule="exact"/>
        <w:rPr>
          <w:rFonts w:ascii="Times New Roman" w:cs="Times New Roman" w:eastAsia="Times New Roman" w:hAnsi="Times New Roman"/>
          <w:sz w:val="18"/>
          <w:szCs w:val="18"/>
          <w:color w:val="auto"/>
        </w:rPr>
      </w:pPr>
    </w:p>
    <w:p>
      <w:pPr>
        <w:ind w:left="1040" w:right="299" w:hanging="645"/>
        <w:spacing w:after="0" w:line="282"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and expect competition to increase in the future. If we fail to compete effectively, our revenue growth and results of operations will be materially and adversely affected.</w:t>
      </w:r>
    </w:p>
    <w:p>
      <w:pPr>
        <w:spacing w:after="0" w:line="53" w:lineRule="exact"/>
        <w:rPr>
          <w:rFonts w:ascii="Times New Roman" w:cs="Times New Roman" w:eastAsia="Times New Roman" w:hAnsi="Times New Roman"/>
          <w:sz w:val="18"/>
          <w:szCs w:val="18"/>
          <w:color w:val="auto"/>
        </w:rPr>
      </w:pPr>
    </w:p>
    <w:p>
      <w:pPr>
        <w:ind w:left="1040" w:right="619" w:hanging="645"/>
        <w:spacing w:after="0" w:line="282"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may increase substantially if we or our third-party manufacturing contractors do not achieve satisfactory product yields or quality.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40" w:right="539" w:hanging="64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products may lead to defects, which could negatively impact our reputation with customers and result in liability.</w:t>
      </w:r>
    </w:p>
    <w:p>
      <w:pPr>
        <w:spacing w:after="0" w:line="53" w:lineRule="exact"/>
        <w:rPr>
          <w:rFonts w:ascii="Times New Roman" w:cs="Times New Roman" w:eastAsia="Times New Roman" w:hAnsi="Times New Roman"/>
          <w:sz w:val="18"/>
          <w:szCs w:val="18"/>
          <w:color w:val="auto"/>
        </w:rPr>
      </w:pPr>
    </w:p>
    <w:p>
      <w:pPr>
        <w:ind w:left="1040" w:right="139" w:hanging="64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67" w:lineRule="exact"/>
        <w:rPr>
          <w:rFonts w:ascii="Times New Roman" w:cs="Times New Roman" w:eastAsia="Times New Roman" w:hAnsi="Times New Roman"/>
          <w:sz w:val="18"/>
          <w:szCs w:val="18"/>
          <w:color w:val="auto"/>
        </w:rPr>
      </w:pPr>
    </w:p>
    <w:p>
      <w:pPr>
        <w:ind w:left="1040" w:right="699" w:hanging="64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industry standards and technical requirements relevant to our products and markets could adversely affect our business, results of operations, and prospects.</w:t>
      </w:r>
    </w:p>
    <w:p>
      <w:pPr>
        <w:spacing w:after="0" w:line="53" w:lineRule="exact"/>
        <w:rPr>
          <w:rFonts w:ascii="Times New Roman" w:cs="Times New Roman" w:eastAsia="Times New Roman" w:hAnsi="Times New Roman"/>
          <w:sz w:val="18"/>
          <w:szCs w:val="18"/>
          <w:color w:val="auto"/>
        </w:rPr>
      </w:pPr>
    </w:p>
    <w:p>
      <w:pPr>
        <w:ind w:left="1040" w:right="279" w:hanging="64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attract and retain key employees, and our failure to do so could harm our ability to grow our business and execute our business strategies.</w:t>
      </w:r>
    </w:p>
    <w:p>
      <w:pPr>
        <w:spacing w:after="0" w:line="53" w:lineRule="exact"/>
        <w:rPr>
          <w:rFonts w:ascii="Times New Roman" w:cs="Times New Roman" w:eastAsia="Times New Roman" w:hAnsi="Times New Roman"/>
          <w:sz w:val="18"/>
          <w:szCs w:val="18"/>
          <w:color w:val="auto"/>
        </w:rPr>
      </w:pPr>
    </w:p>
    <w:p>
      <w:pPr>
        <w:ind w:left="1040" w:right="239" w:hanging="64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maintain, and are seeking to expand, operations outside the United States which exposes us to significant risks.</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a more complete discussion of the material risk factors applicable to us, see below.</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 Related to Our Financial Condition</w:t>
      </w:r>
    </w:p>
    <w:p>
      <w:pPr>
        <w:spacing w:after="0" w:line="225" w:lineRule="exact"/>
        <w:rPr>
          <w:sz w:val="20"/>
          <w:szCs w:val="20"/>
          <w:color w:val="auto"/>
        </w:rPr>
      </w:pPr>
    </w:p>
    <w:p>
      <w:pPr>
        <w:ind w:left="4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and may be unable to raise capital when needed, which could force us to delay, reduce, or eliminate planned activities.</w:t>
      </w:r>
    </w:p>
    <w:p>
      <w:pPr>
        <w:spacing w:after="0" w:line="159" w:lineRule="exact"/>
        <w:rPr>
          <w:sz w:val="20"/>
          <w:szCs w:val="20"/>
          <w:color w:val="auto"/>
        </w:rPr>
      </w:pPr>
    </w:p>
    <w:p>
      <w:pPr>
        <w:ind w:left="40" w:right="139" w:firstLine="324"/>
        <w:spacing w:after="0" w:line="254" w:lineRule="auto"/>
        <w:rPr>
          <w:sz w:val="20"/>
          <w:szCs w:val="20"/>
          <w:color w:val="auto"/>
        </w:rPr>
      </w:pPr>
      <w:r>
        <w:rPr>
          <w:rFonts w:ascii="Times New Roman" w:cs="Times New Roman" w:eastAsia="Times New Roman" w:hAnsi="Times New Roman"/>
          <w:sz w:val="18"/>
          <w:szCs w:val="18"/>
          <w:color w:val="auto"/>
        </w:rPr>
        <w:t>Our total revenue was approximately $25.1 million for the six months ended June 30, 2024, and $63.8 million for the year ended December 31, 2023. As of June 30, 2024, we had cash and cash equivalents of approximately $36.8 million. Based on our current operating plan, we believe our existing cash and cash equivalents, coupled with our anticipated growth and sales levels, will be sufficient to meet our anticipated cash requirements for at least the next 12 months. However, our existing capital may be insufficient to meet our long-term requirements. We have no committed sources of funding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88" w:lineRule="exact"/>
        <w:rPr>
          <w:sz w:val="20"/>
          <w:szCs w:val="20"/>
          <w:color w:val="auto"/>
        </w:rPr>
      </w:pPr>
    </w:p>
    <w:p>
      <w:pPr>
        <w:ind w:left="40" w:right="79" w:firstLine="324"/>
        <w:spacing w:after="0" w:line="258" w:lineRule="auto"/>
        <w:rPr>
          <w:sz w:val="20"/>
          <w:szCs w:val="20"/>
          <w:color w:val="auto"/>
        </w:rPr>
      </w:pPr>
      <w:r>
        <w:rPr>
          <w:rFonts w:ascii="Times New Roman" w:cs="Times New Roman" w:eastAsia="Times New Roman" w:hAnsi="Times New Roman"/>
          <w:sz w:val="18"/>
          <w:szCs w:val="18"/>
          <w:color w:val="auto"/>
        </w:rPr>
        <w:t>Further, we may need to raise additional funds through financings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spacing w:after="0" w:line="183"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 cannot be certain that we will sustain profitability.</w:t>
      </w:r>
    </w:p>
    <w:p>
      <w:pPr>
        <w:spacing w:after="0" w:line="229" w:lineRule="exact"/>
        <w:rPr>
          <w:sz w:val="20"/>
          <w:szCs w:val="20"/>
          <w:color w:val="auto"/>
        </w:rPr>
      </w:pPr>
    </w:p>
    <w:p>
      <w:pPr>
        <w:ind w:left="40" w:right="79" w:firstLine="324"/>
        <w:spacing w:after="0" w:line="254" w:lineRule="auto"/>
        <w:rPr>
          <w:sz w:val="20"/>
          <w:szCs w:val="20"/>
          <w:color w:val="auto"/>
        </w:rPr>
      </w:pPr>
      <w:r>
        <w:rPr>
          <w:rFonts w:ascii="Times New Roman" w:cs="Times New Roman" w:eastAsia="Times New Roman" w:hAnsi="Times New Roman"/>
          <w:sz w:val="18"/>
          <w:szCs w:val="18"/>
          <w:color w:val="auto"/>
        </w:rPr>
        <w:t>While our products offer unique benefits over other industry memory technologies, the rate of adoption of our products and our ability to capture market share from legacy technologies is uncertain. Our revenue may also be adversely impacted by a number of other possible reasons, many of which are outside our control, including business conditions that adversely affect the semiconductor memory industry resulting in a decline in end market demand for our products, adverse impacts resulting from pandemics or endemics, increased competition, ongoing supply chain constraints, or our failure to capitalize on growth opportunities. We also rely on achieving specific cost reduction targets that have uncertainty in their timing and magnitude. We may also incur unforeseen expenses in the ongoing operation of our business that cause us to exceed our operational spending plan. As a result, our ability to generate sufficient revenue growth and/or control expenses to transition to profitability and generate consistent positive cash flows is uncertain.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 and Our Industry</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The limited history of STT-MRAM adoption makes it difficult to evaluate our current business and future prospects.</w:t>
      </w:r>
    </w:p>
    <w:p>
      <w:pPr>
        <w:spacing w:after="0" w:line="229" w:lineRule="exact"/>
        <w:rPr>
          <w:sz w:val="20"/>
          <w:szCs w:val="20"/>
          <w:color w:val="auto"/>
        </w:rPr>
      </w:pPr>
    </w:p>
    <w:p>
      <w:pPr>
        <w:ind w:left="40" w:right="239" w:firstLine="324"/>
        <w:spacing w:after="0" w:line="258" w:lineRule="auto"/>
        <w:rPr>
          <w:sz w:val="20"/>
          <w:szCs w:val="20"/>
          <w:color w:val="auto"/>
        </w:rPr>
      </w:pPr>
      <w:r>
        <w:rPr>
          <w:rFonts w:ascii="Times New Roman" w:cs="Times New Roman" w:eastAsia="Times New Roman" w:hAnsi="Times New Roman"/>
          <w:sz w:val="18"/>
          <w:szCs w:val="18"/>
          <w:color w:val="auto"/>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STT-MRAM products in the fourth quarter of 2017. We began to manufacture our second set of STT-MRAM products targeting the NVSRAM markets in the fourth quarter of 2022.</w:t>
      </w:r>
    </w:p>
    <w:p>
      <w:pPr>
        <w:spacing w:after="0" w:line="183" w:lineRule="exact"/>
        <w:rPr>
          <w:sz w:val="20"/>
          <w:szCs w:val="20"/>
          <w:color w:val="auto"/>
        </w:rPr>
      </w:pPr>
    </w:p>
    <w:p>
      <w:pPr>
        <w:ind w:left="40" w:right="79" w:firstLine="324"/>
        <w:spacing w:after="0" w:line="254" w:lineRule="auto"/>
        <w:rPr>
          <w:sz w:val="20"/>
          <w:szCs w:val="20"/>
          <w:color w:val="auto"/>
        </w:rPr>
      </w:pPr>
      <w:r>
        <w:rPr>
          <w:rFonts w:ascii="Times New Roman" w:cs="Times New Roman" w:eastAsia="Times New Roman" w:hAnsi="Times New Roman"/>
          <w:sz w:val="18"/>
          <w:szCs w:val="18"/>
          <w:color w:val="auto"/>
        </w:rPr>
        <w:t>Our limited experience in selling our STT-MRAM products, combined with the rapidly evolving and competitive nature of our markets,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data center market segments and changes in macroeconomic conditions. If we do not manage these risks and overcome these difficulties successfully, our business will suffer.</w:t>
      </w:r>
    </w:p>
    <w:p>
      <w:pPr>
        <w:spacing w:after="0" w:line="292" w:lineRule="exact"/>
        <w:rPr>
          <w:sz w:val="20"/>
          <w:szCs w:val="20"/>
          <w:color w:val="auto"/>
        </w:rPr>
      </w:pPr>
    </w:p>
    <w:p>
      <w:pPr>
        <w:ind w:left="4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match production with customer demand for a variety of reasons including macroeconomic factors due to the cyclical nature of the semiconductor industry, our inability to accurately forecast customer demand, supply chain constraints, or the capacity constraints of our suppliers, which could adversely affect our operating results.</w:t>
      </w:r>
    </w:p>
    <w:p>
      <w:pPr>
        <w:spacing w:after="0" w:line="283" w:lineRule="exact"/>
        <w:rPr>
          <w:sz w:val="20"/>
          <w:szCs w:val="20"/>
          <w:color w:val="auto"/>
        </w:rPr>
      </w:pPr>
    </w:p>
    <w:p>
      <w:pPr>
        <w:ind w:left="40" w:right="119" w:firstLine="324"/>
        <w:spacing w:after="0" w:line="252" w:lineRule="auto"/>
        <w:rPr>
          <w:sz w:val="20"/>
          <w:szCs w:val="20"/>
          <w:color w:val="auto"/>
        </w:rPr>
      </w:pPr>
      <w:r>
        <w:rPr>
          <w:rFonts w:ascii="Times New Roman" w:cs="Times New Roman" w:eastAsia="Times New Roman" w:hAnsi="Times New Roman"/>
          <w:sz w:val="18"/>
          <w:szCs w:val="18"/>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we could lose sales opportunities and could lose market share or damage our customer relationships if, for example, we underestimate customer demand, are affected by supply chain constraints, or sufficient manufacturing is unavailable.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88" w:lineRule="exact"/>
        <w:rPr>
          <w:sz w:val="20"/>
          <w:szCs w:val="20"/>
          <w:color w:val="auto"/>
        </w:rPr>
      </w:pPr>
    </w:p>
    <w:p>
      <w:pPr>
        <w:ind w:left="4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59" w:lineRule="exact"/>
        <w:rPr>
          <w:sz w:val="20"/>
          <w:szCs w:val="20"/>
          <w:color w:val="auto"/>
        </w:rPr>
      </w:pPr>
    </w:p>
    <w:p>
      <w:pPr>
        <w:ind w:left="40" w:right="119" w:firstLine="324"/>
        <w:spacing w:after="0" w:line="254" w:lineRule="auto"/>
        <w:rPr>
          <w:sz w:val="20"/>
          <w:szCs w:val="20"/>
          <w:color w:val="auto"/>
        </w:rPr>
      </w:pPr>
      <w:r>
        <w:rPr>
          <w:rFonts w:ascii="Times New Roman" w:cs="Times New Roman" w:eastAsia="Times New Roman" w:hAnsi="Times New Roman"/>
          <w:sz w:val="18"/>
          <w:szCs w:val="18"/>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8"/>
          <w:szCs w:val="18"/>
          <w:color w:val="auto"/>
        </w:rPr>
        <w:t>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72" w:lineRule="exact"/>
        <w:rPr>
          <w:sz w:val="20"/>
          <w:szCs w:val="20"/>
          <w:color w:val="auto"/>
        </w:rPr>
      </w:pPr>
    </w:p>
    <w:p>
      <w:pPr>
        <w:jc w:val="both"/>
        <w:ind w:left="4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75" w:lineRule="exact"/>
        <w:rPr>
          <w:sz w:val="20"/>
          <w:szCs w:val="20"/>
          <w:color w:val="auto"/>
        </w:rPr>
      </w:pPr>
    </w:p>
    <w:p>
      <w:pPr>
        <w:ind w:left="40" w:right="119" w:firstLine="324"/>
        <w:spacing w:after="0" w:line="256" w:lineRule="auto"/>
        <w:rPr>
          <w:sz w:val="20"/>
          <w:szCs w:val="20"/>
          <w:color w:val="auto"/>
        </w:rPr>
      </w:pPr>
      <w:r>
        <w:rPr>
          <w:rFonts w:ascii="Times New Roman" w:cs="Times New Roman" w:eastAsia="Times New Roman" w:hAnsi="Times New Roman"/>
          <w:sz w:val="18"/>
          <w:szCs w:val="18"/>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87" w:lineRule="exact"/>
        <w:rPr>
          <w:sz w:val="20"/>
          <w:szCs w:val="20"/>
          <w:color w:val="auto"/>
        </w:rPr>
      </w:pPr>
    </w:p>
    <w:p>
      <w:pPr>
        <w:ind w:left="40" w:right="599" w:firstLine="324"/>
        <w:spacing w:after="0" w:line="282" w:lineRule="auto"/>
        <w:rPr>
          <w:sz w:val="20"/>
          <w:szCs w:val="20"/>
          <w:color w:val="auto"/>
        </w:rPr>
      </w:pPr>
      <w:r>
        <w:rPr>
          <w:rFonts w:ascii="Times New Roman" w:cs="Times New Roman" w:eastAsia="Times New Roman" w:hAnsi="Times New Roman"/>
          <w:sz w:val="18"/>
          <w:szCs w:val="18"/>
          <w:color w:val="auto"/>
        </w:rPr>
        <w:t>Relying on third-party distribution, manufacturing, assembly, packaging, and testing presents a number of risks, including but not limited to:</w:t>
      </w:r>
    </w:p>
    <w:p>
      <w:pPr>
        <w:spacing w:after="0" w:line="162" w:lineRule="exact"/>
        <w:rPr>
          <w:sz w:val="20"/>
          <w:szCs w:val="20"/>
          <w:color w:val="auto"/>
        </w:rPr>
      </w:pPr>
    </w:p>
    <w:p>
      <w:pPr>
        <w:ind w:left="620" w:right="219" w:hanging="252"/>
        <w:spacing w:after="0" w:line="266" w:lineRule="auto"/>
        <w:tabs>
          <w:tab w:leader="none" w:pos="6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7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and materials shortages during periods of high demand or supply constraints;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schedules, inventories and quality;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or potential delays in obtaining access to, key process technologies;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achieve required production or test capacity and acceptable yields on a timely basis;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intellectual property;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party’s ability to perform its obligations due to bankruptcy or other financial constraints;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representatives for certain customer engagements;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warranties on wafers or products supplied to us; and</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prices including due to inflation.</w:t>
      </w:r>
    </w:p>
    <w:p>
      <w:pPr>
        <w:spacing w:after="0" w:line="225"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marketplace. Moreover, if we are unable to find another foundry to manufacture our products or if we have to redesign our core technology, this could cause material harm to our business and operating results.</w:t>
      </w:r>
    </w:p>
    <w:p>
      <w:pPr>
        <w:spacing w:after="0" w:line="190" w:lineRule="exact"/>
        <w:rPr>
          <w:sz w:val="20"/>
          <w:szCs w:val="20"/>
          <w:color w:val="auto"/>
        </w:rPr>
      </w:pPr>
    </w:p>
    <w:p>
      <w:pPr>
        <w:ind w:left="40" w:right="179" w:firstLine="324"/>
        <w:spacing w:after="0" w:line="266" w:lineRule="auto"/>
        <w:rPr>
          <w:sz w:val="20"/>
          <w:szCs w:val="20"/>
          <w:color w:val="auto"/>
        </w:rPr>
      </w:pPr>
      <w:r>
        <w:rPr>
          <w:rFonts w:ascii="Times New Roman" w:cs="Times New Roman" w:eastAsia="Times New Roman" w:hAnsi="Times New Roman"/>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 time needed to establish a relationship with a new third-party supplier could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319"/>
        <w:spacing w:after="0" w:line="266" w:lineRule="auto"/>
        <w:rPr>
          <w:sz w:val="20"/>
          <w:szCs w:val="20"/>
          <w:color w:val="auto"/>
        </w:rPr>
      </w:pPr>
      <w:r>
        <w:rPr>
          <w:rFonts w:ascii="Times New Roman" w:cs="Times New Roman" w:eastAsia="Times New Roman" w:hAnsi="Times New Roman"/>
          <w:sz w:val="18"/>
          <w:szCs w:val="18"/>
          <w:color w:val="auto"/>
        </w:rPr>
        <w:t>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76" w:lineRule="exact"/>
        <w:rPr>
          <w:sz w:val="20"/>
          <w:szCs w:val="20"/>
          <w:color w:val="auto"/>
        </w:rPr>
      </w:pPr>
    </w:p>
    <w:p>
      <w:pPr>
        <w:ind w:left="40" w:right="59" w:firstLine="324"/>
        <w:spacing w:after="0" w:line="258" w:lineRule="auto"/>
        <w:rPr>
          <w:sz w:val="20"/>
          <w:szCs w:val="20"/>
          <w:color w:val="auto"/>
        </w:rPr>
      </w:pPr>
      <w:r>
        <w:rPr>
          <w:rFonts w:ascii="Times New Roman" w:cs="Times New Roman" w:eastAsia="Times New Roman" w:hAnsi="Times New Roman"/>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such as due to pandemics or epidemics,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79" w:lineRule="exact"/>
        <w:rPr>
          <w:sz w:val="20"/>
          <w:szCs w:val="20"/>
          <w:color w:val="auto"/>
        </w:rPr>
      </w:pPr>
    </w:p>
    <w:p>
      <w:pPr>
        <w:ind w:left="4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in our supply chain and increased cost of components used in our products may adversely impact our business, results of operations and financial condition, including our ability to fulfill customer demand.</w:t>
      </w:r>
    </w:p>
    <w:p>
      <w:pPr>
        <w:spacing w:after="0" w:line="159"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If we fail to procure sufficient components used in our products, we may be unable to deliver our products to our customers on a timely basis, which could lead to customer dissatisfaction and could harm our reputation and ability to compete. We would likely experience significant delays or cessation in producing some of our products if a labor strike, natural disaster, public health crisis, geopolitical event, or other supply disruption were to occur, including as a result of public health issues, such as pandemics and epidemics, or the ongoing military conflict between Russia and Ukraine, at any of our main suppliers.</w:t>
      </w:r>
    </w:p>
    <w:p>
      <w:pPr>
        <w:spacing w:after="0" w:line="66"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Further, the upturn in the semiconductor industry has stretched the supply chain, and we are subject to supply shortages, as well as higher costs as suppliers opportunistically raise prices. For example, there is currently a worldwide shortage of semiconductor, memory and other electronic components affecting many industries. Our products are dependent on some of these electronic components. A continued shortage of electronic components may impact us significantly and could cause us to experience extended lead times and increased prices from our suppliers, which could be significant. Extended lead times and decreased availability of key components could result in a significant disruption to our production schedule, all of which would have an adverse effect on our business, results of operations and financial condition. Additionally, the military conflict between Russia and Ukraine creates additional uncertainty and risks relating to our supply chain and the cost of components. See “-General Risk Factors-Unfavorable economic, market and geopolitical conditions, domestically and internationally, may adversely affect our business, financial condition, results of operations and cash flows” for additional information.</w:t>
      </w:r>
    </w:p>
    <w:p>
      <w:pPr>
        <w:spacing w:after="0" w:line="57" w:lineRule="exact"/>
        <w:rPr>
          <w:sz w:val="20"/>
          <w:szCs w:val="20"/>
          <w:color w:val="auto"/>
        </w:rPr>
      </w:pPr>
    </w:p>
    <w:p>
      <w:pPr>
        <w:ind w:left="40" w:right="99" w:firstLine="324"/>
        <w:spacing w:after="0" w:line="258" w:lineRule="auto"/>
        <w:rPr>
          <w:sz w:val="20"/>
          <w:szCs w:val="20"/>
          <w:color w:val="auto"/>
        </w:rPr>
      </w:pPr>
      <w:r>
        <w:rPr>
          <w:rFonts w:ascii="Times New Roman" w:cs="Times New Roman" w:eastAsia="Times New Roman" w:hAnsi="Times New Roman"/>
          <w:sz w:val="18"/>
          <w:szCs w:val="18"/>
          <w:color w:val="auto"/>
        </w:rPr>
        <w:t>We do not have any guarantees of supply from our third-party suppliers, and in certain cases we have limited contractual arrangements or are relying on standard purchase orders or on component parts available on the open market, which may further result in increased costs combined with reduced availability. A continued delay in our ability to produce and deliver our products could also cause our customers to purchase alternative products from our competitors and/or harm our reputation.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Our joint development agreement and strategic relationships involve numerous risks.</w:t>
      </w:r>
    </w:p>
    <w:p>
      <w:pPr>
        <w:spacing w:after="0" w:line="229" w:lineRule="exact"/>
        <w:rPr>
          <w:sz w:val="20"/>
          <w:szCs w:val="20"/>
          <w:color w:val="auto"/>
        </w:rPr>
      </w:pPr>
    </w:p>
    <w:p>
      <w:pPr>
        <w:ind w:left="40" w:right="219"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180" w:lineRule="exact"/>
        <w:rPr>
          <w:sz w:val="20"/>
          <w:szCs w:val="20"/>
          <w:color w:val="auto"/>
        </w:rPr>
      </w:pPr>
    </w:p>
    <w:p>
      <w:pPr>
        <w:ind w:left="620" w:right="219" w:hanging="252"/>
        <w:spacing w:after="0" w:line="266" w:lineRule="auto"/>
        <w:tabs>
          <w:tab w:leader="none" w:pos="6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7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transferring technology to a foundry;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and delays in getting to and/or ramping production at foundries;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 over the operations of foundries is limited;</w:t>
      </w:r>
    </w:p>
    <w:p>
      <w:pPr>
        <w:spacing w:after="0" w:line="225" w:lineRule="exact"/>
        <w:rPr>
          <w:rFonts w:ascii="Times New Roman" w:cs="Times New Roman" w:eastAsia="Times New Roman" w:hAnsi="Times New Roman"/>
          <w:sz w:val="18"/>
          <w:szCs w:val="18"/>
          <w:color w:val="auto"/>
        </w:rPr>
      </w:pPr>
    </w:p>
    <w:p>
      <w:pPr>
        <w:ind w:left="620" w:right="299" w:hanging="252"/>
        <w:spacing w:after="0" w:line="282" w:lineRule="auto"/>
        <w:tabs>
          <w:tab w:leader="none" w:pos="6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financial constraints, our joint development collaborators may be unable to meet their commitments to us and may pose credit risks for our transactions with them;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639" w:hanging="252"/>
        <w:spacing w:after="0" w:line="282" w:lineRule="auto"/>
        <w:tabs>
          <w:tab w:leader="none" w:pos="6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differing business models or long-term business goals, our collaborators may decide not to join us in funding capital investment, which may result in higher levels of cash expenditures by us;</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may be inadequate to fund increased capital requirements;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or delays in collecting amounts due to us from our collaborators;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arrangements may turn out to be unfavorable;</w:t>
      </w:r>
    </w:p>
    <w:p>
      <w:pPr>
        <w:spacing w:after="0" w:line="225" w:lineRule="exact"/>
        <w:rPr>
          <w:rFonts w:ascii="Times New Roman" w:cs="Times New Roman" w:eastAsia="Times New Roman" w:hAnsi="Times New Roman"/>
          <w:sz w:val="18"/>
          <w:szCs w:val="18"/>
          <w:color w:val="auto"/>
        </w:rPr>
      </w:pPr>
    </w:p>
    <w:p>
      <w:pPr>
        <w:ind w:left="620" w:right="79" w:hanging="252"/>
        <w:spacing w:after="0" w:line="282" w:lineRule="auto"/>
        <w:tabs>
          <w:tab w:leader="none" w:pos="6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migrating toward a fabless model as 300mm production becomes required and this increases risks related to less control over our critical production processes; and</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legal, or regulatory requirements may necessitate changes in our agreements.</w:t>
      </w:r>
    </w:p>
    <w:p>
      <w:pPr>
        <w:spacing w:after="0" w:line="225" w:lineRule="exact"/>
        <w:rPr>
          <w:sz w:val="20"/>
          <w:szCs w:val="20"/>
          <w:color w:val="auto"/>
        </w:rPr>
      </w:pPr>
    </w:p>
    <w:p>
      <w:pPr>
        <w:ind w:left="40" w:right="439" w:firstLine="324"/>
        <w:spacing w:after="0" w:line="282" w:lineRule="auto"/>
        <w:rPr>
          <w:sz w:val="20"/>
          <w:szCs w:val="20"/>
          <w:color w:val="auto"/>
        </w:rPr>
      </w:pPr>
      <w:r>
        <w:rPr>
          <w:rFonts w:ascii="Times New Roman" w:cs="Times New Roman" w:eastAsia="Times New Roman" w:hAnsi="Times New Roman"/>
          <w:sz w:val="18"/>
          <w:szCs w:val="18"/>
          <w:color w:val="auto"/>
        </w:rPr>
        <w:t>The term of the agreement, as amended, is the completion, termination, or expiration of the last statement of work entered into pursuant to the joint development agreement.</w:t>
      </w:r>
    </w:p>
    <w:p>
      <w:pPr>
        <w:spacing w:after="0" w:line="162" w:lineRule="exact"/>
        <w:rPr>
          <w:sz w:val="20"/>
          <w:szCs w:val="20"/>
          <w:color w:val="auto"/>
        </w:rPr>
      </w:pPr>
    </w:p>
    <w:p>
      <w:pPr>
        <w:ind w:left="40" w:right="659" w:firstLine="324"/>
        <w:spacing w:after="0" w:line="282" w:lineRule="auto"/>
        <w:rPr>
          <w:sz w:val="20"/>
          <w:szCs w:val="20"/>
          <w:color w:val="auto"/>
        </w:rPr>
      </w:pPr>
      <w:r>
        <w:rPr>
          <w:rFonts w:ascii="Times New Roman" w:cs="Times New Roman" w:eastAsia="Times New Roman" w:hAnsi="Times New Roman"/>
          <w:sz w:val="18"/>
          <w:szCs w:val="18"/>
          <w:color w:val="auto"/>
        </w:rPr>
        <w:t>If our strategic relationships are unsuccessful, our business, results of operations, or financial condition may be materially adversely affected.</w:t>
      </w:r>
    </w:p>
    <w:p>
      <w:pPr>
        <w:spacing w:after="0" w:line="158" w:lineRule="exact"/>
        <w:rPr>
          <w:sz w:val="20"/>
          <w:szCs w:val="20"/>
          <w:color w:val="auto"/>
        </w:rPr>
      </w:pPr>
    </w:p>
    <w:p>
      <w:pPr>
        <w:ind w:left="4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75" w:lineRule="exact"/>
        <w:rPr>
          <w:sz w:val="20"/>
          <w:szCs w:val="20"/>
          <w:color w:val="auto"/>
        </w:rPr>
      </w:pPr>
    </w:p>
    <w:p>
      <w:pPr>
        <w:ind w:left="40" w:right="59" w:firstLine="324"/>
        <w:spacing w:after="0" w:line="252" w:lineRule="auto"/>
        <w:rPr>
          <w:sz w:val="20"/>
          <w:szCs w:val="20"/>
          <w:color w:val="auto"/>
        </w:rPr>
      </w:pPr>
      <w:r>
        <w:rPr>
          <w:rFonts w:ascii="Times New Roman" w:cs="Times New Roman" w:eastAsia="Times New Roman" w:hAnsi="Times New Roman"/>
          <w:sz w:val="18"/>
          <w:szCs w:val="18"/>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if we are unable to generate more customer adoption of our 1Gb product and address new growth opportunities with subsequent STT-MRAM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92" w:lineRule="exact"/>
        <w:rPr>
          <w:sz w:val="20"/>
          <w:szCs w:val="20"/>
          <w:color w:val="auto"/>
        </w:rPr>
      </w:pPr>
    </w:p>
    <w:p>
      <w:pPr>
        <w:ind w:left="40" w:right="8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57"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We sell to customers, including OEMs and ODMs, that incorporate MRAM into their products. A design win occurs after a customer has tested our product, verified that it meets the customer’s requirements and qualified our solutions for their products. We believe we are dependent, among other things,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If a current or prospective customer incorporates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85" w:lineRule="exact"/>
        <w:rPr>
          <w:sz w:val="20"/>
          <w:szCs w:val="20"/>
          <w:color w:val="auto"/>
        </w:rPr>
      </w:pPr>
    </w:p>
    <w:p>
      <w:pPr>
        <w:ind w:left="4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59" w:lineRule="exact"/>
        <w:rPr>
          <w:sz w:val="20"/>
          <w:szCs w:val="20"/>
          <w:color w:val="auto"/>
        </w:rPr>
      </w:pPr>
    </w:p>
    <w:p>
      <w:pPr>
        <w:ind w:left="40" w:right="179" w:firstLine="324"/>
        <w:spacing w:after="0" w:line="271" w:lineRule="auto"/>
        <w:rPr>
          <w:sz w:val="20"/>
          <w:szCs w:val="20"/>
          <w:color w:val="auto"/>
        </w:rPr>
      </w:pPr>
      <w:r>
        <w:rPr>
          <w:rFonts w:ascii="Times New Roman" w:cs="Times New Roman" w:eastAsia="Times New Roman" w:hAnsi="Times New Roman"/>
          <w:sz w:val="17"/>
          <w:szCs w:val="17"/>
          <w:color w:val="auto"/>
        </w:rPr>
        <w:t>We have derived and expect to continue to derive a significant portion of our revenues from a small group of customers during any particular period due in part to the concentration of market share in the semiconductor industry. Our two largest end customers together accounted for 32% of our total revenue for the six months ended June 30, 2024, and each of these customers accounted for more than 10% of our revenue during that period. Our two largest end customers together accounted for 22% of our total revenue for the year ended December 31, 2023, and one of those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69" w:lineRule="exact"/>
        <w:rPr>
          <w:sz w:val="20"/>
          <w:szCs w:val="20"/>
          <w:color w:val="auto"/>
        </w:rPr>
      </w:pPr>
    </w:p>
    <w:p>
      <w:pPr>
        <w:ind w:left="4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59"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revenue, and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Fujitsu, Infineon, Integrated Silicon Solution, Intel, Macronix, Microchip, Micron, Renesas, Samsung, and Toshiba. In addition, as the MRAM market opportunity grows, we expect new entrants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functionality and performance of our products and those of our competitors;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customers and other industry participants;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of our products and prices of our competitors’ products;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innovative products;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greater resources to make acquisitions;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capital to finance operations;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high-level talent, including our management team and engineers; and</w:t>
      </w:r>
    </w:p>
    <w:p>
      <w:pPr>
        <w:spacing w:after="0" w:line="225" w:lineRule="exact"/>
        <w:rPr>
          <w:rFonts w:ascii="Times New Roman" w:cs="Times New Roman" w:eastAsia="Times New Roman" w:hAnsi="Times New Roman"/>
          <w:sz w:val="18"/>
          <w:szCs w:val="18"/>
          <w:color w:val="auto"/>
        </w:rPr>
      </w:pPr>
    </w:p>
    <w:p>
      <w:pPr>
        <w:ind w:left="620" w:right="539" w:hanging="252"/>
        <w:spacing w:after="0" w:line="282" w:lineRule="auto"/>
        <w:tabs>
          <w:tab w:leader="none" w:pos="6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including merger and acquisition activity, launches of new products and other actions that could change the competitive landscape.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firstLine="324"/>
        <w:spacing w:after="0" w:line="261" w:lineRule="auto"/>
        <w:rPr>
          <w:sz w:val="20"/>
          <w:szCs w:val="20"/>
          <w:color w:val="auto"/>
        </w:rPr>
      </w:pPr>
      <w:r>
        <w:rPr>
          <w:rFonts w:ascii="Times New Roman" w:cs="Times New Roman" w:eastAsia="Times New Roman" w:hAnsi="Times New Roman"/>
          <w:sz w:val="18"/>
          <w:szCs w:val="18"/>
          <w:color w:val="auto"/>
        </w:rPr>
        <w:t>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76" w:lineRule="exact"/>
        <w:rPr>
          <w:sz w:val="20"/>
          <w:szCs w:val="20"/>
          <w:color w:val="auto"/>
        </w:rPr>
      </w:pPr>
    </w:p>
    <w:p>
      <w:pPr>
        <w:ind w:left="4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costs may increase substantially if we or our third-party manufacturing contractors do not achieve satisfactory product yields or quality.</w:t>
      </w:r>
    </w:p>
    <w:p>
      <w:pPr>
        <w:spacing w:after="0" w:line="159"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87" w:lineRule="exact"/>
        <w:rPr>
          <w:sz w:val="20"/>
          <w:szCs w:val="20"/>
          <w:color w:val="auto"/>
        </w:rPr>
      </w:pPr>
    </w:p>
    <w:p>
      <w:pPr>
        <w:ind w:left="40" w:right="159" w:firstLine="324"/>
        <w:spacing w:after="0" w:line="253" w:lineRule="auto"/>
        <w:rPr>
          <w:sz w:val="20"/>
          <w:szCs w:val="20"/>
          <w:color w:val="auto"/>
        </w:rPr>
      </w:pPr>
      <w:r>
        <w:rPr>
          <w:rFonts w:ascii="Times New Roman" w:cs="Times New Roman" w:eastAsia="Times New Roman" w:hAnsi="Times New Roman"/>
          <w:sz w:val="18"/>
          <w:szCs w:val="18"/>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may also increase our costs and reduce our gross margin. In addition to significantly harming our results of operations and cash flow, poor yields may delay shipment of our products and harm our relationships with existing and potential customers.</w:t>
      </w:r>
    </w:p>
    <w:p>
      <w:pPr>
        <w:spacing w:after="0" w:line="188" w:lineRule="exact"/>
        <w:rPr>
          <w:sz w:val="20"/>
          <w:szCs w:val="20"/>
          <w:color w:val="auto"/>
        </w:rPr>
      </w:pPr>
    </w:p>
    <w:p>
      <w:pPr>
        <w:ind w:left="4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products may lead to defects, which could negatively impact our reputation with customers and result in liability.</w:t>
      </w:r>
    </w:p>
    <w:p>
      <w:pPr>
        <w:spacing w:after="0" w:line="159" w:lineRule="exact"/>
        <w:rPr>
          <w:sz w:val="20"/>
          <w:szCs w:val="20"/>
          <w:color w:val="auto"/>
        </w:rPr>
      </w:pPr>
    </w:p>
    <w:p>
      <w:pPr>
        <w:ind w:left="40" w:right="239" w:firstLine="324"/>
        <w:spacing w:after="0" w:line="272" w:lineRule="auto"/>
        <w:rPr>
          <w:sz w:val="20"/>
          <w:szCs w:val="20"/>
          <w:color w:val="auto"/>
        </w:rPr>
      </w:pPr>
      <w:r>
        <w:rPr>
          <w:rFonts w:ascii="Times New Roman" w:cs="Times New Roman" w:eastAsia="Times New Roman" w:hAnsi="Times New Roman"/>
          <w:sz w:val="17"/>
          <w:szCs w:val="17"/>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For example, any such problems could result in:</w:t>
      </w:r>
    </w:p>
    <w:p>
      <w:pPr>
        <w:spacing w:after="0" w:line="172" w:lineRule="exact"/>
        <w:rPr>
          <w:sz w:val="20"/>
          <w:szCs w:val="20"/>
          <w:color w:val="auto"/>
        </w:rPr>
      </w:pPr>
    </w:p>
    <w:p>
      <w:pPr>
        <w:ind w:left="660" w:hanging="29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development, manufacture and roll-out of new products;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 costs;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delays in, market acceptance;</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technical and other resources from our other development efforts;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others against us; and</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credibility with our current and prospective customers.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Any such event could have a material adverse effect on our business, financial condition, and results of operations.</w:t>
      </w:r>
    </w:p>
    <w:p>
      <w:pPr>
        <w:spacing w:after="0" w:line="221" w:lineRule="exact"/>
        <w:rPr>
          <w:sz w:val="20"/>
          <w:szCs w:val="20"/>
          <w:color w:val="auto"/>
        </w:rPr>
      </w:pPr>
    </w:p>
    <w:p>
      <w:pPr>
        <w:ind w:left="4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firstLine="324"/>
        <w:spacing w:after="0" w:line="281" w:lineRule="auto"/>
        <w:rPr>
          <w:sz w:val="20"/>
          <w:szCs w:val="20"/>
          <w:color w:val="auto"/>
        </w:rPr>
      </w:pPr>
      <w:r>
        <w:rPr>
          <w:rFonts w:ascii="Times New Roman" w:cs="Times New Roman" w:eastAsia="Times New Roman" w:hAnsi="Times New Roman"/>
          <w:sz w:val="17"/>
          <w:szCs w:val="17"/>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w:t>
      </w:r>
    </w:p>
    <w:p>
      <w:pPr>
        <w:spacing w:after="0" w:line="164" w:lineRule="exact"/>
        <w:rPr>
          <w:sz w:val="20"/>
          <w:szCs w:val="20"/>
          <w:color w:val="auto"/>
        </w:rPr>
      </w:pPr>
    </w:p>
    <w:p>
      <w:pPr>
        <w:ind w:left="40" w:right="159" w:firstLine="324"/>
        <w:spacing w:after="0" w:line="261" w:lineRule="auto"/>
        <w:rPr>
          <w:sz w:val="20"/>
          <w:szCs w:val="20"/>
          <w:color w:val="auto"/>
        </w:rPr>
      </w:pPr>
      <w:r>
        <w:rPr>
          <w:rFonts w:ascii="Times New Roman" w:cs="Times New Roman" w:eastAsia="Times New Roman" w:hAnsi="Times New Roman"/>
          <w:sz w:val="18"/>
          <w:szCs w:val="18"/>
          <w:color w:val="auto"/>
        </w:rPr>
        <w:t>For example, 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w:t>
      </w:r>
    </w:p>
    <w:p>
      <w:pPr>
        <w:spacing w:after="0" w:line="180" w:lineRule="exact"/>
        <w:rPr>
          <w:sz w:val="20"/>
          <w:szCs w:val="20"/>
          <w:color w:val="auto"/>
        </w:rPr>
      </w:pPr>
    </w:p>
    <w:p>
      <w:pPr>
        <w:ind w:left="40" w:right="99" w:firstLine="324"/>
        <w:spacing w:after="0" w:line="255" w:lineRule="auto"/>
        <w:rPr>
          <w:sz w:val="20"/>
          <w:szCs w:val="20"/>
          <w:color w:val="auto"/>
        </w:rPr>
      </w:pPr>
      <w:r>
        <w:rPr>
          <w:rFonts w:ascii="Times New Roman" w:cs="Times New Roman" w:eastAsia="Times New Roman" w:hAnsi="Times New Roman"/>
          <w:sz w:val="18"/>
          <w:szCs w:val="18"/>
          <w:color w:val="auto"/>
        </w:rPr>
        <w:t>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85" w:lineRule="exact"/>
        <w:rPr>
          <w:sz w:val="20"/>
          <w:szCs w:val="20"/>
          <w:color w:val="auto"/>
        </w:rPr>
      </w:pPr>
    </w:p>
    <w:p>
      <w:pPr>
        <w:ind w:left="4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59"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88"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data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84" w:lineRule="exact"/>
        <w:rPr>
          <w:sz w:val="20"/>
          <w:szCs w:val="20"/>
          <w:color w:val="auto"/>
        </w:rPr>
      </w:pPr>
    </w:p>
    <w:p>
      <w:pPr>
        <w:ind w:left="4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59" w:lineRule="exact"/>
        <w:rPr>
          <w:sz w:val="20"/>
          <w:szCs w:val="20"/>
          <w:color w:val="auto"/>
        </w:rPr>
      </w:pPr>
    </w:p>
    <w:p>
      <w:pPr>
        <w:ind w:left="40" w:right="99"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our key employees are at-will.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maintain and are seeking to expand operations outside of the United States which exposes us to significant risks.</w:t>
      </w:r>
    </w:p>
    <w:p>
      <w:pPr>
        <w:spacing w:after="0" w:line="159" w:lineRule="exact"/>
        <w:rPr>
          <w:sz w:val="20"/>
          <w:szCs w:val="20"/>
          <w:color w:val="auto"/>
        </w:rPr>
      </w:pPr>
    </w:p>
    <w:p>
      <w:pPr>
        <w:ind w:left="40" w:right="119" w:firstLine="324"/>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in large part, on our ability to operate successfully from geographically disparate locations and to further expand our international operations and sales. Operating in international markets</w:t>
      </w: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The success and profitability, as well as the expansion, of our international operations are subject to numerous risks and uncertainties, many of which are outside of our control, such as the following:</w:t>
      </w:r>
    </w:p>
    <w:p>
      <w:pPr>
        <w:spacing w:after="0" w:line="190" w:lineRule="exact"/>
        <w:rPr>
          <w:sz w:val="20"/>
          <w:szCs w:val="20"/>
          <w:color w:val="auto"/>
        </w:rPr>
      </w:pPr>
    </w:p>
    <w:p>
      <w:pPr>
        <w:jc w:val="both"/>
        <w:ind w:left="620" w:right="599" w:hanging="252"/>
        <w:spacing w:after="0" w:line="266" w:lineRule="auto"/>
        <w:tabs>
          <w:tab w:leader="none" w:pos="6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issues, such as pandemics and epidemics, which can result in varying impacts to our business, employees, partners, customers, distributors or suppliers internationally as discussed elsewhere in this “Risk Factors” section;</w:t>
      </w:r>
    </w:p>
    <w:p>
      <w:pPr>
        <w:spacing w:after="0" w:line="17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inefficiencies and costs associated with staffing and managing foreign operations;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customer qualification and credit checks;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various local approvals to operate in some countries;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entering some foreign markets without larger-scale local operations;</w:t>
      </w:r>
    </w:p>
    <w:p>
      <w:pPr>
        <w:spacing w:after="0" w:line="225" w:lineRule="exact"/>
        <w:rPr>
          <w:rFonts w:ascii="Times New Roman" w:cs="Times New Roman" w:eastAsia="Times New Roman" w:hAnsi="Times New Roman"/>
          <w:sz w:val="18"/>
          <w:szCs w:val="18"/>
          <w:color w:val="auto"/>
        </w:rPr>
      </w:pPr>
    </w:p>
    <w:p>
      <w:pPr>
        <w:ind w:left="620" w:right="579" w:hanging="252"/>
        <w:spacing w:after="0" w:line="282" w:lineRule="auto"/>
        <w:tabs>
          <w:tab w:leader="none" w:pos="6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import/export laws, trade restrictions, regulations and customs and duties and tariffs (foreign and domestic);</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including the elimination of tax holidays;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as a result of repatriating cash generated from foreign operations to the United States;</w:t>
      </w:r>
    </w:p>
    <w:p>
      <w:pPr>
        <w:spacing w:after="0" w:line="225" w:lineRule="exact"/>
        <w:rPr>
          <w:rFonts w:ascii="Times New Roman" w:cs="Times New Roman" w:eastAsia="Times New Roman" w:hAnsi="Times New Roman"/>
          <w:sz w:val="18"/>
          <w:szCs w:val="18"/>
          <w:color w:val="auto"/>
        </w:rPr>
      </w:pPr>
    </w:p>
    <w:p>
      <w:pPr>
        <w:ind w:left="620" w:right="519" w:hanging="252"/>
        <w:spacing w:after="0" w:line="282" w:lineRule="auto"/>
        <w:tabs>
          <w:tab w:leader="none" w:pos="6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including potential additional tax exposure if we are deemed to have established a permanent establishment outside of the United States;</w:t>
      </w:r>
    </w:p>
    <w:p>
      <w:pPr>
        <w:spacing w:after="0" w:line="161" w:lineRule="exact"/>
        <w:rPr>
          <w:rFonts w:ascii="Times New Roman" w:cs="Times New Roman" w:eastAsia="Times New Roman" w:hAnsi="Times New Roman"/>
          <w:sz w:val="18"/>
          <w:szCs w:val="18"/>
          <w:color w:val="auto"/>
        </w:rPr>
      </w:pPr>
    </w:p>
    <w:p>
      <w:pPr>
        <w:ind w:left="620" w:right="139" w:hanging="252"/>
        <w:spacing w:after="0" w:line="282" w:lineRule="auto"/>
        <w:tabs>
          <w:tab w:leader="none" w:pos="6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policies and procedures designed to ensure compliance with the Foreign Corrupt Practices Act of 1977 and similar regulations;</w:t>
      </w:r>
    </w:p>
    <w:p>
      <w:pPr>
        <w:spacing w:after="0" w:line="161" w:lineRule="exact"/>
        <w:rPr>
          <w:rFonts w:ascii="Times New Roman" w:cs="Times New Roman" w:eastAsia="Times New Roman" w:hAnsi="Times New Roman"/>
          <w:sz w:val="18"/>
          <w:szCs w:val="18"/>
          <w:color w:val="auto"/>
        </w:rPr>
      </w:pPr>
    </w:p>
    <w:p>
      <w:pPr>
        <w:ind w:left="620" w:right="119" w:hanging="252"/>
        <w:spacing w:after="0" w:line="261" w:lineRule="auto"/>
        <w:tabs>
          <w:tab w:leader="none" w:pos="6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79"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w:t>
      </w:r>
    </w:p>
    <w:p>
      <w:pPr>
        <w:spacing w:after="0" w:line="225" w:lineRule="exact"/>
        <w:rPr>
          <w:rFonts w:ascii="Times New Roman" w:cs="Times New Roman" w:eastAsia="Times New Roman" w:hAnsi="Times New Roman"/>
          <w:sz w:val="18"/>
          <w:szCs w:val="18"/>
          <w:color w:val="auto"/>
        </w:rPr>
      </w:pPr>
    </w:p>
    <w:p>
      <w:pPr>
        <w:ind w:left="620" w:right="539" w:hanging="252"/>
        <w:spacing w:after="0" w:line="282" w:lineRule="auto"/>
        <w:tabs>
          <w:tab w:leader="none" w:pos="6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and acts of war, such as ongoing military conflict between Russia and Ukraine, which could have a negative impact on the operations of our business or the businesses of our customers; and</w:t>
      </w:r>
    </w:p>
    <w:p>
      <w:pPr>
        <w:spacing w:after="0" w:line="161" w:lineRule="exact"/>
        <w:rPr>
          <w:rFonts w:ascii="Times New Roman" w:cs="Times New Roman" w:eastAsia="Times New Roman" w:hAnsi="Times New Roman"/>
          <w:sz w:val="18"/>
          <w:szCs w:val="18"/>
          <w:color w:val="auto"/>
        </w:rPr>
      </w:pPr>
    </w:p>
    <w:p>
      <w:pPr>
        <w:ind w:left="620" w:right="439" w:hanging="252"/>
        <w:spacing w:after="0" w:line="282" w:lineRule="auto"/>
        <w:tabs>
          <w:tab w:leader="none" w:pos="6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Department of Commerce regulations or restrictions on exports of certain semiconductor technologies and equipment to China.</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failure to manage any of these risks successfully could harm our operations and reduce our revenue.</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 Related to Our Intellectual Property and Technology</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w:t>
      </w:r>
    </w:p>
    <w:p>
      <w:pPr>
        <w:spacing w:after="0" w:line="229"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92" w:lineRule="exact"/>
        <w:rPr>
          <w:sz w:val="20"/>
          <w:szCs w:val="20"/>
          <w:color w:val="auto"/>
        </w:rPr>
      </w:pPr>
    </w:p>
    <w:p>
      <w:pPr>
        <w:jc w:val="both"/>
        <w:ind w:left="40" w:right="259" w:firstLine="324"/>
        <w:spacing w:after="0" w:line="258" w:lineRule="auto"/>
        <w:rPr>
          <w:sz w:val="20"/>
          <w:szCs w:val="20"/>
          <w:color w:val="auto"/>
        </w:rPr>
      </w:pPr>
      <w:r>
        <w:rPr>
          <w:rFonts w:ascii="Times New Roman" w:cs="Times New Roman" w:eastAsia="Times New Roman" w:hAnsi="Times New Roman"/>
          <w:sz w:val="18"/>
          <w:szCs w:val="18"/>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83" w:lineRule="exact"/>
        <w:rPr>
          <w:sz w:val="20"/>
          <w:szCs w:val="20"/>
          <w:color w:val="auto"/>
        </w:rPr>
      </w:pPr>
    </w:p>
    <w:p>
      <w:pPr>
        <w:ind w:left="40" w:right="99" w:firstLine="324"/>
        <w:spacing w:after="0" w:line="255" w:lineRule="auto"/>
        <w:rPr>
          <w:sz w:val="20"/>
          <w:szCs w:val="20"/>
          <w:color w:val="auto"/>
        </w:rPr>
      </w:pPr>
      <w:r>
        <w:rPr>
          <w:rFonts w:ascii="Times New Roman" w:cs="Times New Roman" w:eastAsia="Times New Roman" w:hAnsi="Times New Roman"/>
          <w:sz w:val="18"/>
          <w:szCs w:val="18"/>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85" w:lineRule="exact"/>
        <w:rPr>
          <w:sz w:val="20"/>
          <w:szCs w:val="20"/>
          <w:color w:val="auto"/>
        </w:rPr>
      </w:pPr>
    </w:p>
    <w:p>
      <w:pPr>
        <w:ind w:left="4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75"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87"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87" w:lineRule="exact"/>
        <w:rPr>
          <w:sz w:val="20"/>
          <w:szCs w:val="20"/>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manufacture, use or sale of the infringing products, processes or technology;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infringement;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579" w:hanging="252"/>
        <w:spacing w:after="0" w:line="282" w:lineRule="auto"/>
        <w:tabs>
          <w:tab w:leader="none" w:pos="6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products, processes or technology, which may not be successful;</w:t>
      </w:r>
    </w:p>
    <w:p>
      <w:pPr>
        <w:spacing w:after="0" w:line="161" w:lineRule="exact"/>
        <w:rPr>
          <w:rFonts w:ascii="Times New Roman" w:cs="Times New Roman" w:eastAsia="Times New Roman" w:hAnsi="Times New Roman"/>
          <w:sz w:val="18"/>
          <w:szCs w:val="18"/>
          <w:color w:val="auto"/>
        </w:rPr>
      </w:pPr>
    </w:p>
    <w:p>
      <w:pPr>
        <w:ind w:left="620" w:right="1059" w:hanging="252"/>
        <w:spacing w:after="0" w:line="282" w:lineRule="auto"/>
        <w:tabs>
          <w:tab w:leader="none" w:pos="6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technology from the third-party claiming infringement, which license may not be available on commercially reasonable terms, or at all;</w:t>
      </w:r>
    </w:p>
    <w:p>
      <w:pPr>
        <w:spacing w:after="0" w:line="161" w:lineRule="exact"/>
        <w:rPr>
          <w:rFonts w:ascii="Times New Roman" w:cs="Times New Roman" w:eastAsia="Times New Roman" w:hAnsi="Times New Roman"/>
          <w:sz w:val="18"/>
          <w:szCs w:val="18"/>
          <w:color w:val="auto"/>
        </w:rPr>
      </w:pPr>
    </w:p>
    <w:p>
      <w:pPr>
        <w:ind w:left="620" w:right="239" w:hanging="252"/>
        <w:spacing w:after="0" w:line="282" w:lineRule="auto"/>
        <w:tabs>
          <w:tab w:leader="none" w:pos="6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cross-license our technology to a competitor to resolve an infringement claim, which could weaken our ability to compete with that competitor; or</w:t>
      </w:r>
    </w:p>
    <w:p>
      <w:pPr>
        <w:spacing w:after="0" w:line="161" w:lineRule="exact"/>
        <w:rPr>
          <w:rFonts w:ascii="Times New Roman" w:cs="Times New Roman" w:eastAsia="Times New Roman" w:hAnsi="Times New Roman"/>
          <w:sz w:val="18"/>
          <w:szCs w:val="18"/>
          <w:color w:val="auto"/>
        </w:rPr>
      </w:pPr>
    </w:p>
    <w:p>
      <w:pPr>
        <w:ind w:left="620" w:right="379" w:hanging="252"/>
        <w:spacing w:after="0" w:line="282" w:lineRule="auto"/>
        <w:tabs>
          <w:tab w:leader="none" w:pos="6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to discontinue their use of or to replace infringing technology sold to them with non-infringing technology, if available.</w:t>
      </w:r>
    </w:p>
    <w:p>
      <w:pPr>
        <w:spacing w:after="0" w:line="162"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83" w:lineRule="exact"/>
        <w:rPr>
          <w:sz w:val="20"/>
          <w:szCs w:val="20"/>
          <w:color w:val="auto"/>
        </w:rPr>
      </w:pPr>
    </w:p>
    <w:p>
      <w:pPr>
        <w:ind w:left="4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59" w:lineRule="exact"/>
        <w:rPr>
          <w:sz w:val="20"/>
          <w:szCs w:val="20"/>
          <w:color w:val="auto"/>
        </w:rPr>
      </w:pPr>
    </w:p>
    <w:p>
      <w:pPr>
        <w:ind w:left="40" w:right="59" w:firstLine="324"/>
        <w:spacing w:after="0" w:line="282" w:lineRule="auto"/>
        <w:rPr>
          <w:sz w:val="20"/>
          <w:szCs w:val="20"/>
          <w:color w:val="auto"/>
        </w:rPr>
      </w:pPr>
      <w:r>
        <w:rPr>
          <w:rFonts w:ascii="Times New Roman" w:cs="Times New Roman" w:eastAsia="Times New Roman" w:hAnsi="Times New Roman"/>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62"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88" w:lineRule="exact"/>
        <w:rPr>
          <w:sz w:val="20"/>
          <w:szCs w:val="20"/>
          <w:color w:val="auto"/>
        </w:rPr>
      </w:pPr>
    </w:p>
    <w:p>
      <w:pPr>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in or other compromises of our information technology systems or data or that of third parties upon whom we rely could adversely affect our business.</w:t>
      </w:r>
    </w:p>
    <w:p>
      <w:pPr>
        <w:spacing w:after="0" w:line="159" w:lineRule="exact"/>
        <w:rPr>
          <w:sz w:val="20"/>
          <w:szCs w:val="20"/>
          <w:color w:val="auto"/>
        </w:rPr>
      </w:pPr>
    </w:p>
    <w:p>
      <w:pPr>
        <w:ind w:left="40" w:right="79" w:firstLine="324"/>
        <w:spacing w:after="0" w:line="252" w:lineRule="auto"/>
        <w:rPr>
          <w:sz w:val="20"/>
          <w:szCs w:val="20"/>
          <w:color w:val="auto"/>
        </w:rPr>
      </w:pPr>
      <w:r>
        <w:rPr>
          <w:rFonts w:ascii="Times New Roman" w:cs="Times New Roman" w:eastAsia="Times New Roman" w:hAnsi="Times New Roman"/>
          <w:sz w:val="18"/>
          <w:szCs w:val="18"/>
          <w:color w:val="auto"/>
        </w:rPr>
        <w:t>We rely on the efficient, uninterrupted and uncompromised operation of complex information technology systems and networks (and those of third parties) to operate our business. Any significant disruption to or other compromise of our systems, networks or data (or those of third parties upon whom we rely), including, but not limited to, due to new system implementations, computer viruses, social-engineering attacks, personnel (including former personnel) misconduct or error, supply-chain attacks, ransomware attacks, software bugs, software or hardware failure, security breaches, facility issues, natural disasters, terrorism, war, telecommunication failures, energy blackouts, loss, theft or similar threats, could have a material adverse impact on our operations, sales, and financial results. Such disruption or other compromise could result in a loss of our intellectual property or the release of sensitive competitive information or supplier, customer, personnel or other relevant stakeholder’s personal data.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Any loss of such information could harm our competitive position, result in a loss of customer confidence, result in breaches of applicable obligations (such as laws and contracts)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bans on processing personal data or orders not to use or destroy data, enforcement actions, remediation obligations, litigation, fines, and other actions.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39" w:firstLine="324"/>
        <w:spacing w:after="0" w:line="253" w:lineRule="auto"/>
        <w:rPr>
          <w:sz w:val="20"/>
          <w:szCs w:val="20"/>
          <w:color w:val="auto"/>
        </w:rPr>
      </w:pPr>
      <w:r>
        <w:rPr>
          <w:rFonts w:ascii="Times New Roman" w:cs="Times New Roman" w:eastAsia="Times New Roman" w:hAnsi="Times New Roman"/>
          <w:sz w:val="18"/>
          <w:szCs w:val="18"/>
          <w:color w:val="auto"/>
        </w:rPr>
        <w:t>We may experience attacks on our data and/or information systems, attempts to breach our security and attempts to introduce malicious software into our IT systems. Such threats are prevalent and continue to rise, are increasingly difficult to detect, and come from a variety of sources. During times of war and other major conflicts, we and the third parties upon which we rely may be vulnerable to a heightened risk of these attacks.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 Attempts to gain unauthorized access to our IT systems or other attacks have in the past, in certain instances and to certain degrees, been successful (but have not caused significant harm), and may in the future be successful, and in some cases, we might be unaware of an incident or its magnitude and effects.</w:t>
      </w:r>
    </w:p>
    <w:p>
      <w:pPr>
        <w:spacing w:after="0" w:line="194"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auto"/>
        </w:rPr>
        <w:t>Third-party service providers, such as wafer foundries, assembly and test contractors, distributors and other vendors have access to certain portions of our and our customers’ sensitive data. Our ability to monitor these third parties’ information security practices is limited, and these third parties may not have adequate information security measures in place.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7" w:lineRule="exact"/>
        <w:rPr>
          <w:sz w:val="20"/>
          <w:szCs w:val="20"/>
          <w:color w:val="auto"/>
        </w:rPr>
      </w:pPr>
    </w:p>
    <w:p>
      <w:pPr>
        <w:ind w:left="40" w:right="159" w:firstLine="324"/>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and effective basis. Further, we may experience delays in developing and deploying remedial measures and patches designed to address identified vulnerabilities. Vulnerabilities could be exploited and result in a security incident.</w:t>
      </w:r>
    </w:p>
    <w:p>
      <w:pPr>
        <w:spacing w:after="0" w:line="187" w:lineRule="exact"/>
        <w:rPr>
          <w:sz w:val="20"/>
          <w:szCs w:val="20"/>
          <w:color w:val="auto"/>
        </w:rPr>
      </w:pPr>
    </w:p>
    <w:p>
      <w:pPr>
        <w:ind w:left="40" w:right="119" w:firstLine="324"/>
        <w:spacing w:after="0" w:line="261"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 Related to Regulatory Matters and Compliance</w:t>
      </w:r>
    </w:p>
    <w:p>
      <w:pPr>
        <w:spacing w:after="0" w:line="225" w:lineRule="exact"/>
        <w:rPr>
          <w:sz w:val="20"/>
          <w:szCs w:val="20"/>
          <w:color w:val="auto"/>
        </w:rPr>
      </w:pPr>
    </w:p>
    <w:p>
      <w:pPr>
        <w:ind w:left="4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75" w:lineRule="exact"/>
        <w:rPr>
          <w:sz w:val="20"/>
          <w:szCs w:val="20"/>
          <w:color w:val="auto"/>
        </w:rPr>
      </w:pPr>
    </w:p>
    <w:p>
      <w:pPr>
        <w:ind w:left="40" w:right="79" w:firstLine="324"/>
        <w:spacing w:after="0" w:line="269" w:lineRule="auto"/>
        <w:rPr>
          <w:sz w:val="20"/>
          <w:szCs w:val="20"/>
          <w:color w:val="auto"/>
        </w:rPr>
      </w:pPr>
      <w:r>
        <w:rPr>
          <w:rFonts w:ascii="Times New Roman" w:cs="Times New Roman" w:eastAsia="Times New Roman" w:hAnsi="Times New Roman"/>
          <w:sz w:val="17"/>
          <w:szCs w:val="17"/>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76" w:lineRule="exact"/>
        <w:rPr>
          <w:sz w:val="20"/>
          <w:szCs w:val="20"/>
          <w:color w:val="auto"/>
        </w:rPr>
      </w:pPr>
    </w:p>
    <w:p>
      <w:pPr>
        <w:ind w:left="40" w:right="159" w:firstLine="324"/>
        <w:spacing w:after="0" w:line="281" w:lineRule="auto"/>
        <w:rPr>
          <w:sz w:val="20"/>
          <w:szCs w:val="20"/>
          <w:color w:val="auto"/>
        </w:rPr>
      </w:pPr>
      <w:r>
        <w:rPr>
          <w:rFonts w:ascii="Times New Roman" w:cs="Times New Roman" w:eastAsia="Times New Roman" w:hAnsi="Times New Roman"/>
          <w:sz w:val="17"/>
          <w:szCs w:val="17"/>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59" w:lineRule="exact"/>
        <w:rPr>
          <w:sz w:val="20"/>
          <w:szCs w:val="20"/>
          <w:color w:val="auto"/>
        </w:rPr>
      </w:pPr>
    </w:p>
    <w:p>
      <w:pPr>
        <w:ind w:left="40" w:right="59" w:firstLine="324"/>
        <w:spacing w:after="0" w:line="252"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229" w:lineRule="exact"/>
        <w:rPr>
          <w:sz w:val="20"/>
          <w:szCs w:val="20"/>
          <w:color w:val="auto"/>
        </w:rPr>
      </w:pPr>
    </w:p>
    <w:p>
      <w:pPr>
        <w:ind w:left="40" w:right="59" w:firstLine="324"/>
        <w:spacing w:after="0" w:line="252" w:lineRule="auto"/>
        <w:rPr>
          <w:sz w:val="20"/>
          <w:szCs w:val="20"/>
          <w:color w:val="auto"/>
        </w:rPr>
      </w:pPr>
      <w:r>
        <w:rPr>
          <w:rFonts w:ascii="Times New Roman" w:cs="Times New Roman" w:eastAsia="Times New Roman" w:hAnsi="Times New Roman"/>
          <w:sz w:val="18"/>
          <w:szCs w:val="18"/>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2023, we had gross federal net operating loss carryforwards of approximately $96.2 million, of which $55.8 million will expire in 2028 through 2037 if not utilized, and $40.5 million will carryover indefinitely. As of December 31, 2023, we had state net operating loss carryforwards of approximately $48.7 million, of which $45.9 million will expire in 2028 through 2043 if not utilized, and $2.8 million will carryover indefinitely. The federal NOLs generated prior to 2018 will continue to be governed by the NOL tax rules as they existed prior to the adoption of the 2017 Tax Cuts and Jobs Act (2017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and forward will be carried forward and will not expire. There is no current impact to us as the NOLs that we are utilizing in the current year were generated prior to 2018, and therefore, are not subject to the 80% limitation. Future changes in our stock ownership, many of which are outside of our control, could result in an ownership change under Section 382 of the Code. The ability to utilize our net operating losses and tax credits could also be impaired under state law. As a result, we might not be able to utilize a material portion of our state NOLs and tax credits.</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 expect that the price of our common stock will fluctuate substantially.</w:t>
      </w:r>
    </w:p>
    <w:p>
      <w:pPr>
        <w:spacing w:after="0" w:line="229" w:lineRule="exact"/>
        <w:rPr>
          <w:sz w:val="20"/>
          <w:szCs w:val="20"/>
          <w:color w:val="auto"/>
        </w:rPr>
      </w:pPr>
    </w:p>
    <w:p>
      <w:pPr>
        <w:ind w:left="40" w:right="519"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may fluctuate substantially due to many factors, including:</w:t>
      </w:r>
    </w:p>
    <w:p>
      <w:pPr>
        <w:spacing w:after="0" w:line="162" w:lineRule="exact"/>
        <w:rPr>
          <w:sz w:val="20"/>
          <w:szCs w:val="20"/>
          <w:color w:val="auto"/>
        </w:rPr>
      </w:pPr>
    </w:p>
    <w:p>
      <w:pPr>
        <w:ind w:left="660" w:hanging="29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225" w:lineRule="exact"/>
        <w:rPr>
          <w:rFonts w:ascii="Times New Roman" w:cs="Times New Roman" w:eastAsia="Times New Roman" w:hAnsi="Times New Roman"/>
          <w:sz w:val="18"/>
          <w:szCs w:val="18"/>
          <w:color w:val="auto"/>
        </w:rPr>
      </w:pPr>
    </w:p>
    <w:p>
      <w:pPr>
        <w:ind w:left="620" w:right="259" w:hanging="252"/>
        <w:spacing w:after="0" w:line="282" w:lineRule="auto"/>
        <w:tabs>
          <w:tab w:leader="none" w:pos="6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capital commitments or restructurings;</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or those of others in our industry;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and directors;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hanging="29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and</w:t>
      </w:r>
    </w:p>
    <w:p>
      <w:pPr>
        <w:spacing w:after="0" w:line="225" w:lineRule="exact"/>
        <w:rPr>
          <w:rFonts w:ascii="Times New Roman" w:cs="Times New Roman" w:eastAsia="Times New Roman" w:hAnsi="Times New Roman"/>
          <w:sz w:val="18"/>
          <w:szCs w:val="18"/>
          <w:color w:val="auto"/>
        </w:rPr>
      </w:pPr>
    </w:p>
    <w:p>
      <w:pPr>
        <w:ind w:left="620" w:right="179" w:hanging="252"/>
        <w:spacing w:after="0" w:line="266" w:lineRule="auto"/>
        <w:tabs>
          <w:tab w:leader="none" w:pos="6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 including the effects of pandemics and epidemics and ongoing military conflict between Russia and Ukraine.</w:t>
      </w:r>
    </w:p>
    <w:p>
      <w:pPr>
        <w:spacing w:after="0" w:line="176" w:lineRule="exact"/>
        <w:rPr>
          <w:sz w:val="20"/>
          <w:szCs w:val="20"/>
          <w:color w:val="auto"/>
        </w:rPr>
      </w:pPr>
    </w:p>
    <w:p>
      <w:pPr>
        <w:ind w:left="40" w:right="119" w:firstLine="324"/>
        <w:spacing w:after="0" w:line="258" w:lineRule="auto"/>
        <w:rPr>
          <w:sz w:val="20"/>
          <w:szCs w:val="20"/>
          <w:color w:val="auto"/>
        </w:rPr>
      </w:pPr>
      <w:r>
        <w:rPr>
          <w:rFonts w:ascii="Times New Roman" w:cs="Times New Roman" w:eastAsia="Times New Roman" w:hAnsi="Times New Roman"/>
          <w:sz w:val="18"/>
          <w:szCs w:val="18"/>
          <w:color w:val="auto"/>
        </w:rPr>
        <w:t>Stock markets generally have experienced extreme price and volume fluctuations that have often been unrelated or disproportionate to the operating performance of those companies. Further, the semiconductor memory industry is highly cyclical, and our markets may experience significant cyclical fluctuations in demand as a result of changing economic conditions, budgeting and buying patterns of customers and other factors. Fluctuations in our revenue and operating results could also cause our stock price to decline.</w:t>
      </w:r>
    </w:p>
    <w:p>
      <w:pPr>
        <w:spacing w:after="0" w:line="183" w:lineRule="exact"/>
        <w:rPr>
          <w:sz w:val="20"/>
          <w:szCs w:val="20"/>
          <w:color w:val="auto"/>
        </w:rPr>
      </w:pPr>
    </w:p>
    <w:p>
      <w:pPr>
        <w:ind w:left="40" w:right="379" w:firstLine="324"/>
        <w:spacing w:after="0" w:line="258" w:lineRule="auto"/>
        <w:rPr>
          <w:sz w:val="20"/>
          <w:szCs w:val="20"/>
          <w:color w:val="auto"/>
        </w:rPr>
      </w:pPr>
      <w:r>
        <w:rPr>
          <w:rFonts w:ascii="Times New Roman" w:cs="Times New Roman" w:eastAsia="Times New Roman" w:hAnsi="Times New Roman"/>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These and other factors may make the price of our stock volatile and subject to unexpected fluctuation.</w:t>
      </w:r>
    </w:p>
    <w:p>
      <w:pPr>
        <w:spacing w:after="0" w:line="221" w:lineRule="exact"/>
        <w:rPr>
          <w:sz w:val="20"/>
          <w:szCs w:val="20"/>
          <w:color w:val="auto"/>
        </w:rPr>
      </w:pPr>
    </w:p>
    <w:p>
      <w:pPr>
        <w:ind w:left="4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59" w:lineRule="exact"/>
        <w:rPr>
          <w:sz w:val="20"/>
          <w:szCs w:val="20"/>
          <w:color w:val="auto"/>
        </w:rPr>
      </w:pPr>
    </w:p>
    <w:p>
      <w:pPr>
        <w:ind w:left="40" w:right="99" w:firstLine="324"/>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8" w:lineRule="exact"/>
        <w:rPr>
          <w:sz w:val="20"/>
          <w:szCs w:val="20"/>
          <w:color w:val="auto"/>
        </w:rPr>
      </w:pPr>
    </w:p>
    <w:p>
      <w:pPr>
        <w:ind w:left="620" w:right="139" w:hanging="252"/>
        <w:spacing w:after="0" w:line="266" w:lineRule="auto"/>
        <w:tabs>
          <w:tab w:leader="none" w:pos="6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75" w:lineRule="exact"/>
        <w:rPr>
          <w:rFonts w:ascii="Times New Roman" w:cs="Times New Roman" w:eastAsia="Times New Roman" w:hAnsi="Times New Roman"/>
          <w:sz w:val="18"/>
          <w:szCs w:val="18"/>
          <w:color w:val="auto"/>
        </w:rPr>
      </w:pPr>
    </w:p>
    <w:p>
      <w:pPr>
        <w:ind w:left="620" w:right="179" w:hanging="252"/>
        <w:spacing w:after="0" w:line="258" w:lineRule="auto"/>
        <w:tabs>
          <w:tab w:leader="none" w:pos="6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pursuant to a resolution adopted by a majority of the total number of authorized directors, the chairman of the board or the chief executive officer;</w:t>
      </w:r>
    </w:p>
    <w:p>
      <w:pPr>
        <w:spacing w:after="0" w:line="183" w:lineRule="exact"/>
        <w:rPr>
          <w:rFonts w:ascii="Times New Roman" w:cs="Times New Roman" w:eastAsia="Times New Roman" w:hAnsi="Times New Roman"/>
          <w:sz w:val="18"/>
          <w:szCs w:val="18"/>
          <w:color w:val="auto"/>
        </w:rPr>
      </w:pPr>
    </w:p>
    <w:p>
      <w:pPr>
        <w:ind w:left="620" w:right="539" w:hanging="252"/>
        <w:spacing w:after="0" w:line="282" w:lineRule="auto"/>
        <w:tabs>
          <w:tab w:leader="none" w:pos="6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prohibits cumulative voting in the election of directors, which limits the ability of minority stockholders to elect director candidates;</w:t>
      </w:r>
    </w:p>
    <w:p>
      <w:pPr>
        <w:spacing w:after="0" w:line="161" w:lineRule="exact"/>
        <w:rPr>
          <w:rFonts w:ascii="Times New Roman" w:cs="Times New Roman" w:eastAsia="Times New Roman" w:hAnsi="Times New Roman"/>
          <w:sz w:val="18"/>
          <w:szCs w:val="18"/>
          <w:color w:val="auto"/>
        </w:rPr>
      </w:pPr>
    </w:p>
    <w:p>
      <w:pPr>
        <w:ind w:left="620" w:right="179" w:hanging="252"/>
        <w:spacing w:after="0" w:line="258" w:lineRule="auto"/>
        <w:tabs>
          <w:tab w:leader="none" w:pos="6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amended and restated bylaws, although such bylaws may be amended by a simple majority vote of our board of directors;</w:t>
      </w:r>
    </w:p>
    <w:p>
      <w:pPr>
        <w:spacing w:after="0" w:line="183" w:lineRule="exact"/>
        <w:rPr>
          <w:rFonts w:ascii="Times New Roman" w:cs="Times New Roman" w:eastAsia="Times New Roman" w:hAnsi="Times New Roman"/>
          <w:sz w:val="18"/>
          <w:szCs w:val="18"/>
          <w:color w:val="auto"/>
        </w:rPr>
      </w:pPr>
    </w:p>
    <w:p>
      <w:pPr>
        <w:ind w:left="620" w:right="239" w:hanging="252"/>
        <w:spacing w:after="0" w:line="282" w:lineRule="auto"/>
        <w:tabs>
          <w:tab w:leader="none" w:pos="6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to nominate individuals for election to the board of directors or to propose matters that can be acted upon at a stockholders’ meeting, which may discourage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219"/>
        <w:spacing w:after="0" w:line="282" w:lineRule="auto"/>
        <w:rPr>
          <w:sz w:val="20"/>
          <w:szCs w:val="20"/>
          <w:color w:val="auto"/>
        </w:rPr>
      </w:pPr>
      <w:r>
        <w:rPr>
          <w:rFonts w:ascii="Times New Roman" w:cs="Times New Roman" w:eastAsia="Times New Roman" w:hAnsi="Times New Roman"/>
          <w:sz w:val="18"/>
          <w:szCs w:val="18"/>
          <w:color w:val="auto"/>
        </w:rPr>
        <w:t>or deter a potential acquiror from conducting a solicitation of proxies to elect the acquiror’s own slate of directors or otherwise attempting to obtain control of our company; and</w:t>
      </w:r>
    </w:p>
    <w:p>
      <w:pPr>
        <w:spacing w:after="0" w:line="162" w:lineRule="exact"/>
        <w:rPr>
          <w:sz w:val="20"/>
          <w:szCs w:val="20"/>
          <w:color w:val="auto"/>
        </w:rPr>
      </w:pPr>
    </w:p>
    <w:p>
      <w:pPr>
        <w:ind w:left="620" w:right="159" w:hanging="252"/>
        <w:spacing w:after="0" w:line="266" w:lineRule="auto"/>
        <w:tabs>
          <w:tab w:leader="none" w:pos="6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76" w:lineRule="exact"/>
        <w:rPr>
          <w:sz w:val="20"/>
          <w:szCs w:val="20"/>
          <w:color w:val="auto"/>
        </w:rPr>
      </w:pPr>
    </w:p>
    <w:p>
      <w:pPr>
        <w:ind w:left="40" w:right="99" w:firstLine="324"/>
        <w:spacing w:after="0" w:line="281" w:lineRule="auto"/>
        <w:rPr>
          <w:sz w:val="20"/>
          <w:szCs w:val="20"/>
          <w:color w:val="auto"/>
        </w:rPr>
      </w:pPr>
      <w:r>
        <w:rPr>
          <w:rFonts w:ascii="Times New Roman" w:cs="Times New Roman" w:eastAsia="Times New Roman" w:hAnsi="Times New Roman"/>
          <w:sz w:val="17"/>
          <w:szCs w:val="17"/>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60"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80" w:lineRule="exact"/>
        <w:rPr>
          <w:sz w:val="20"/>
          <w:szCs w:val="20"/>
          <w:color w:val="auto"/>
        </w:rPr>
      </w:pPr>
    </w:p>
    <w:p>
      <w:pPr>
        <w:ind w:left="40" w:right="199" w:firstLine="324"/>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ind w:left="660" w:hanging="29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9" w:lineRule="exact"/>
        <w:rPr>
          <w:rFonts w:ascii="Times New Roman" w:cs="Times New Roman" w:eastAsia="Times New Roman" w:hAnsi="Times New Roman"/>
          <w:sz w:val="18"/>
          <w:szCs w:val="18"/>
          <w:color w:val="auto"/>
        </w:rPr>
      </w:pPr>
    </w:p>
    <w:p>
      <w:pPr>
        <w:ind w:left="620" w:right="199" w:hanging="252"/>
        <w:spacing w:after="0" w:line="250" w:lineRule="auto"/>
        <w:tabs>
          <w:tab w:leader="none" w:pos="6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director, officer or other employee to us or our stockholders;</w:t>
      </w:r>
    </w:p>
    <w:p>
      <w:pPr>
        <w:ind w:left="620" w:right="399" w:hanging="252"/>
        <w:spacing w:after="0" w:line="250" w:lineRule="auto"/>
        <w:tabs>
          <w:tab w:leader="none" w:pos="6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 and</w:t>
      </w:r>
    </w:p>
    <w:p>
      <w:pPr>
        <w:ind w:left="660" w:hanging="29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07" w:lineRule="exact"/>
        <w:rPr>
          <w:sz w:val="20"/>
          <w:szCs w:val="20"/>
          <w:color w:val="auto"/>
        </w:rPr>
      </w:pPr>
    </w:p>
    <w:p>
      <w:pPr>
        <w:ind w:left="40" w:right="1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w:t>
      </w:r>
      <w:r>
        <w:rPr>
          <w:rFonts w:ascii="Times New Roman" w:cs="Times New Roman" w:eastAsia="Times New Roman" w:hAnsi="Times New Roman"/>
          <w:sz w:val="18"/>
          <w:szCs w:val="18"/>
          <w:color w:val="212529"/>
        </w:rPr>
        <w:t>that, unless we consent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writing to the selection of an alternative forum,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90" w:lineRule="exact"/>
        <w:rPr>
          <w:sz w:val="20"/>
          <w:szCs w:val="20"/>
          <w:color w:val="auto"/>
        </w:rPr>
      </w:pPr>
    </w:p>
    <w:p>
      <w:pPr>
        <w:ind w:left="40" w:right="139" w:firstLine="324"/>
        <w:spacing w:after="0" w:line="277" w:lineRule="auto"/>
        <w:rPr>
          <w:sz w:val="20"/>
          <w:szCs w:val="20"/>
          <w:color w:val="auto"/>
        </w:rPr>
      </w:pPr>
      <w:r>
        <w:rPr>
          <w:rFonts w:ascii="Times New Roman" w:cs="Times New Roman" w:eastAsia="Times New Roman" w:hAnsi="Times New Roman"/>
          <w:sz w:val="17"/>
          <w:szCs w:val="17"/>
          <w:color w:val="212529"/>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w:t>
      </w:r>
      <w:r>
        <w:rPr>
          <w:rFonts w:ascii="Times New Roman" w:cs="Times New Roman" w:eastAsia="Times New Roman" w:hAnsi="Times New Roman"/>
          <w:sz w:val="17"/>
          <w:szCs w:val="17"/>
          <w:color w:val="000000"/>
        </w:rPr>
        <w:t>further significant</w:t>
      </w:r>
      <w:r>
        <w:rPr>
          <w:rFonts w:ascii="Times New Roman" w:cs="Times New Roman" w:eastAsia="Times New Roman" w:hAnsi="Times New Roman"/>
          <w:sz w:val="17"/>
          <w:szCs w:val="17"/>
          <w:color w:val="212529"/>
        </w:rPr>
        <w:t xml:space="preserve"> additional costs associated with resolving the dispute in other jurisdictions, </w:t>
      </w:r>
      <w:r>
        <w:rPr>
          <w:rFonts w:ascii="Times New Roman" w:cs="Times New Roman" w:eastAsia="Times New Roman" w:hAnsi="Times New Roman"/>
          <w:sz w:val="17"/>
          <w:szCs w:val="17"/>
          <w:color w:val="000000"/>
        </w:rPr>
        <w:t>all of</w:t>
      </w:r>
      <w:r>
        <w:rPr>
          <w:rFonts w:ascii="Times New Roman" w:cs="Times New Roman" w:eastAsia="Times New Roman" w:hAnsi="Times New Roman"/>
          <w:sz w:val="17"/>
          <w:szCs w:val="17"/>
          <w:color w:val="212529"/>
        </w:rPr>
        <w:t xml:space="preserve"> which could seriously harm our business.</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212529"/>
        </w:rPr>
        <w:t>General Risk Factors</w:t>
      </w:r>
    </w:p>
    <w:p>
      <w:pPr>
        <w:spacing w:after="0" w:line="225" w:lineRule="exact"/>
        <w:rPr>
          <w:sz w:val="20"/>
          <w:szCs w:val="20"/>
          <w:color w:val="auto"/>
        </w:rPr>
      </w:pPr>
    </w:p>
    <w:p>
      <w:pPr>
        <w:ind w:left="4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59" w:lineRule="exact"/>
        <w:rPr>
          <w:sz w:val="20"/>
          <w:szCs w:val="20"/>
          <w:color w:val="auto"/>
        </w:rPr>
      </w:pPr>
    </w:p>
    <w:p>
      <w:pPr>
        <w:ind w:left="40" w:right="339" w:firstLine="324"/>
        <w:spacing w:after="0" w:line="258" w:lineRule="auto"/>
        <w:rPr>
          <w:sz w:val="20"/>
          <w:szCs w:val="20"/>
          <w:color w:val="auto"/>
        </w:rPr>
      </w:pPr>
      <w:r>
        <w:rPr>
          <w:rFonts w:ascii="Times New Roman" w:cs="Times New Roman" w:eastAsia="Times New Roman" w:hAnsi="Times New Roman"/>
          <w:sz w:val="18"/>
          <w:szCs w:val="18"/>
          <w:color w:val="auto"/>
        </w:rPr>
        <w:t>We have significant customer sales both in the United States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our business will be adversely affected. In addition, the adverse impact of general economic factors that are beyond our control, including, but not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spacing w:after="0" w:line="252" w:lineRule="auto"/>
        <w:rPr>
          <w:sz w:val="20"/>
          <w:szCs w:val="20"/>
          <w:color w:val="auto"/>
        </w:rPr>
      </w:pPr>
      <w:r>
        <w:rPr>
          <w:rFonts w:ascii="Times New Roman" w:cs="Times New Roman" w:eastAsia="Times New Roman" w:hAnsi="Times New Roman"/>
          <w:sz w:val="18"/>
          <w:szCs w:val="18"/>
          <w:color w:val="auto"/>
        </w:rPr>
        <w:t>limited to, housing markets, recession, inflation, deflation, consumer credit activity, consumer debt levels, exchange rate volatility, fuel and energy costs, interest rates, bank failures, tax rates and policy, unemployment trends, potential industry downturn, the impact of natural disasters such as pandemics, civil disturbances, terrorist activities and acts of war, including ongoing military conflict between Russia and Ukraine, may adversely impact consumer spending, which may adversely impact our customers’ spending and demand for our products. As an example, in the United States, capital markets have experienced and continue to experience volatility and disruption. Furthermore, inflation rates in the United States have recently increased to levels not seen in decades resulting in federal action to increase interest rates, affecting capital markets.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 or instability in the financial markets. Additionally, the military conflict in Ukraine and escalating geopolitical tensions resulting from such conflict have resulted and may continue to result in sanctions, tariffs, and import-export restrictions which, when combined with retaliatory actions taken by Russia, could cause further inflationary pressures and economic and supply chain disruptions, as well as cause us to experience extended lead times and increased prices from our suppliers. Any of the foregoing could adversely affect our business, financial condition, results of operations and cash flows.</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impacted by natural disasters and other catastrophic events.</w:t>
      </w:r>
    </w:p>
    <w:p>
      <w:pPr>
        <w:spacing w:after="0" w:line="229"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Our operations and business, and those of our manufacturing partners, customers, distributors, or suppliers, can be disrupted by natural disasters; industrial accidents; public health issues, such as pandemics and epidemics; cybersecurity incidents; interruptions of service from utilities, transportation, telecommunications, or IT systems providers; manufacturing equipment failures; or other catastrophic events. For example, 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natural disasters or other catastrophic events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Trading Arrangements of Directors and Executive Officers.</w:t>
      </w:r>
    </w:p>
    <w:p>
      <w:pPr>
        <w:spacing w:after="0" w:line="227" w:lineRule="exact"/>
        <w:rPr>
          <w:sz w:val="20"/>
          <w:szCs w:val="20"/>
          <w:color w:val="auto"/>
        </w:rPr>
      </w:pPr>
    </w:p>
    <w:p>
      <w:pPr>
        <w:jc w:val="both"/>
        <w:ind w:left="40" w:right="199" w:firstLine="401"/>
        <w:spacing w:after="0" w:line="266" w:lineRule="auto"/>
        <w:rPr>
          <w:sz w:val="20"/>
          <w:szCs w:val="20"/>
          <w:color w:val="auto"/>
        </w:rPr>
      </w:pPr>
      <w:r>
        <w:rPr>
          <w:rFonts w:ascii="Times New Roman" w:cs="Times New Roman" w:eastAsia="Times New Roman" w:hAnsi="Times New Roman"/>
          <w:sz w:val="18"/>
          <w:szCs w:val="18"/>
          <w:color w:val="auto"/>
        </w:rPr>
        <w:t>None of our directors or executive officers adopted, modified, or terminated a Rule 10b5-1 trading arrangement or a non-Rule 10b5-1 trading arrangement (as defined under Item 408(a) of Regulation S-K) during the quarter ended June 30, 2024.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00" w:type="dxa"/>
            <w:vAlign w:val="bottom"/>
            <w:gridSpan w:val="19"/>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0" w:type="dxa"/>
            <w:vAlign w:val="bottom"/>
            <w:vMerge w:val="restart"/>
          </w:tcPr>
          <w:p>
            <w:pPr>
              <w:spacing w:after="0"/>
              <w:rPr>
                <w:sz w:val="10"/>
                <w:szCs w:val="10"/>
                <w:color w:val="auto"/>
              </w:rPr>
            </w:pPr>
          </w:p>
        </w:tc>
        <w:tc>
          <w:tcPr>
            <w:tcW w:w="660" w:type="dxa"/>
            <w:vAlign w:val="bottom"/>
            <w:vMerge w:val="restart"/>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2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74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10"/>
                <w:szCs w:val="10"/>
                <w:color w:val="auto"/>
              </w:rPr>
            </w:pPr>
          </w:p>
        </w:tc>
        <w:tc>
          <w:tcPr>
            <w:tcW w:w="13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19"/>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26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1"/>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Amended and Restated Certificate</w:t>
              </w:r>
            </w:hyperlink>
          </w:p>
        </w:tc>
        <w:tc>
          <w:tcPr>
            <w:tcW w:w="660" w:type="dxa"/>
            <w:vAlign w:val="bottom"/>
          </w:tcPr>
          <w:p>
            <w:pPr>
              <w:jc w:val="center"/>
              <w:ind w:left="93"/>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line="196" w:lineRule="exact"/>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36"/>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17"/>
                <w:szCs w:val="17"/>
                <w:color w:val="auto"/>
              </w:rPr>
            </w:pP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10/13/2016</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of Incorporation</w:t>
              </w:r>
            </w:hyperlink>
          </w:p>
        </w:tc>
        <w:tc>
          <w:tcPr>
            <w:tcW w:w="42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58">
              <w:r>
                <w:rPr>
                  <w:rFonts w:ascii="Times New Roman" w:cs="Times New Roman" w:eastAsia="Times New Roman" w:hAnsi="Times New Roman"/>
                  <w:sz w:val="18"/>
                  <w:szCs w:val="18"/>
                  <w:color w:val="0000EE"/>
                  <w:w w:val="98"/>
                </w:rPr>
                <w:t xml:space="preserve">Amendment </w:t>
              </w:r>
              <w:r>
                <w:rPr>
                  <w:rFonts w:ascii="Times New Roman" w:cs="Times New Roman" w:eastAsia="Times New Roman" w:hAnsi="Times New Roman"/>
                  <w:sz w:val="18"/>
                  <w:szCs w:val="18"/>
                  <w:color w:val="0000EE"/>
                  <w:highlight w:val="white"/>
                  <w:w w:val="98"/>
                </w:rPr>
                <w:t>to Amended and</w:t>
              </w:r>
            </w:hyperlink>
          </w:p>
        </w:tc>
        <w:tc>
          <w:tcPr>
            <w:tcW w:w="760" w:type="dxa"/>
            <w:vAlign w:val="bottom"/>
            <w:gridSpan w:val="12"/>
          </w:tcPr>
          <w:p>
            <w:pPr>
              <w:spacing w:after="0"/>
              <w:rPr>
                <w:sz w:val="24"/>
                <w:szCs w:val="24"/>
                <w:color w:val="auto"/>
              </w:rPr>
            </w:pPr>
          </w:p>
        </w:tc>
        <w:tc>
          <w:tcPr>
            <w:tcW w:w="6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58">
              <w:r>
                <w:rPr>
                  <w:rFonts w:ascii="Times New Roman" w:cs="Times New Roman" w:eastAsia="Times New Roman" w:hAnsi="Times New Roman"/>
                  <w:sz w:val="18"/>
                  <w:szCs w:val="18"/>
                  <w:color w:val="0000EE"/>
                  <w:w w:val="98"/>
                </w:rPr>
                <w:t>Restated Certificate of</w:t>
              </w:r>
            </w:hyperlink>
          </w:p>
        </w:tc>
        <w:tc>
          <w:tcPr>
            <w:tcW w:w="1260" w:type="dxa"/>
            <w:vAlign w:val="bottom"/>
            <w:gridSpan w:val="1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58">
              <w:r>
                <w:rPr>
                  <w:rFonts w:ascii="Times New Roman" w:cs="Times New Roman" w:eastAsia="Times New Roman" w:hAnsi="Times New Roman"/>
                  <w:sz w:val="18"/>
                  <w:szCs w:val="18"/>
                  <w:color w:val="0000EE"/>
                  <w:w w:val="97"/>
                </w:rPr>
                <w:t>Incorporation</w:t>
              </w:r>
            </w:hyperlink>
          </w:p>
        </w:tc>
        <w:tc>
          <w:tcPr>
            <w:tcW w:w="1900" w:type="dxa"/>
            <w:vAlign w:val="bottom"/>
            <w:gridSpan w:val="19"/>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59">
              <w:r>
                <w:rPr>
                  <w:rFonts w:ascii="Times New Roman" w:cs="Times New Roman" w:eastAsia="Times New Roman" w:hAnsi="Times New Roman"/>
                  <w:sz w:val="18"/>
                  <w:szCs w:val="18"/>
                  <w:color w:val="0000EE"/>
                  <w:w w:val="98"/>
                </w:rPr>
                <w:t>Amendment to Amended and</w:t>
              </w:r>
            </w:hyperlink>
          </w:p>
        </w:tc>
        <w:tc>
          <w:tcPr>
            <w:tcW w:w="760" w:type="dxa"/>
            <w:vAlign w:val="bottom"/>
            <w:gridSpan w:val="12"/>
          </w:tcPr>
          <w:p>
            <w:pPr>
              <w:spacing w:after="0"/>
              <w:rPr>
                <w:sz w:val="24"/>
                <w:szCs w:val="24"/>
                <w:color w:val="auto"/>
              </w:rPr>
            </w:pPr>
          </w:p>
        </w:tc>
        <w:tc>
          <w:tcPr>
            <w:tcW w:w="6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5/27/2020</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59">
              <w:r>
                <w:rPr>
                  <w:rFonts w:ascii="Times New Roman" w:cs="Times New Roman" w:eastAsia="Times New Roman" w:hAnsi="Times New Roman"/>
                  <w:sz w:val="18"/>
                  <w:szCs w:val="18"/>
                  <w:color w:val="0000EE"/>
                  <w:w w:val="98"/>
                </w:rPr>
                <w:t>Restated Certificate of</w:t>
              </w:r>
            </w:hyperlink>
          </w:p>
        </w:tc>
        <w:tc>
          <w:tcPr>
            <w:tcW w:w="1260" w:type="dxa"/>
            <w:vAlign w:val="bottom"/>
            <w:gridSpan w:val="1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59">
              <w:r>
                <w:rPr>
                  <w:rFonts w:ascii="Times New Roman" w:cs="Times New Roman" w:eastAsia="Times New Roman" w:hAnsi="Times New Roman"/>
                  <w:sz w:val="18"/>
                  <w:szCs w:val="18"/>
                  <w:color w:val="0000EE"/>
                  <w:w w:val="97"/>
                </w:rPr>
                <w:t>Incorporation</w:t>
              </w:r>
            </w:hyperlink>
          </w:p>
        </w:tc>
        <w:tc>
          <w:tcPr>
            <w:tcW w:w="1900" w:type="dxa"/>
            <w:vAlign w:val="bottom"/>
            <w:gridSpan w:val="19"/>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60">
              <w:r>
                <w:rPr>
                  <w:rFonts w:ascii="Times New Roman" w:cs="Times New Roman" w:eastAsia="Times New Roman" w:hAnsi="Times New Roman"/>
                  <w:sz w:val="18"/>
                  <w:szCs w:val="18"/>
                  <w:color w:val="0000EE"/>
                  <w:w w:val="98"/>
                </w:rPr>
                <w:t>Amendment to Amended and</w:t>
              </w:r>
            </w:hyperlink>
          </w:p>
        </w:tc>
        <w:tc>
          <w:tcPr>
            <w:tcW w:w="760" w:type="dxa"/>
            <w:vAlign w:val="bottom"/>
            <w:gridSpan w:val="12"/>
          </w:tcPr>
          <w:p>
            <w:pPr>
              <w:spacing w:after="0"/>
              <w:rPr>
                <w:sz w:val="24"/>
                <w:szCs w:val="24"/>
                <w:color w:val="auto"/>
              </w:rPr>
            </w:pPr>
          </w:p>
        </w:tc>
        <w:tc>
          <w:tcPr>
            <w:tcW w:w="6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5/25/2023</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60">
              <w:r>
                <w:rPr>
                  <w:rFonts w:ascii="Times New Roman" w:cs="Times New Roman" w:eastAsia="Times New Roman" w:hAnsi="Times New Roman"/>
                  <w:sz w:val="18"/>
                  <w:szCs w:val="18"/>
                  <w:color w:val="0000EE"/>
                  <w:w w:val="98"/>
                </w:rPr>
                <w:t>Restated Certificate of</w:t>
              </w:r>
            </w:hyperlink>
          </w:p>
        </w:tc>
        <w:tc>
          <w:tcPr>
            <w:tcW w:w="1260" w:type="dxa"/>
            <w:vAlign w:val="bottom"/>
            <w:gridSpan w:val="1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60">
              <w:r>
                <w:rPr>
                  <w:rFonts w:ascii="Times New Roman" w:cs="Times New Roman" w:eastAsia="Times New Roman" w:hAnsi="Times New Roman"/>
                  <w:sz w:val="18"/>
                  <w:szCs w:val="18"/>
                  <w:color w:val="0000EE"/>
                  <w:w w:val="97"/>
                </w:rPr>
                <w:t>Incorporation</w:t>
              </w:r>
            </w:hyperlink>
          </w:p>
        </w:tc>
        <w:tc>
          <w:tcPr>
            <w:tcW w:w="1900" w:type="dxa"/>
            <w:vAlign w:val="bottom"/>
            <w:gridSpan w:val="19"/>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21"/>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Amended and Restated Bylaws</w:t>
              </w:r>
            </w:hyperlink>
          </w:p>
        </w:tc>
        <w:tc>
          <w:tcPr>
            <w:tcW w:w="6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w w:val="97"/>
              </w:rPr>
              <w:t>3.2</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Certification of Principal</w:t>
            </w:r>
          </w:p>
        </w:tc>
        <w:tc>
          <w:tcPr>
            <w:tcW w:w="440" w:type="dxa"/>
            <w:vAlign w:val="bottom"/>
            <w:tcBorders>
              <w:top w:val="single" w:sz="8" w:color="0000EE"/>
            </w:tcBorders>
            <w:gridSpan w:val="7"/>
          </w:tcPr>
          <w:p>
            <w:pPr>
              <w:spacing w:after="0"/>
              <w:rPr>
                <w:sz w:val="24"/>
                <w:szCs w:val="24"/>
                <w:color w:val="auto"/>
              </w:rPr>
            </w:pPr>
          </w:p>
        </w:tc>
        <w:tc>
          <w:tcPr>
            <w:tcW w:w="64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Pursuant to</w:t>
            </w:r>
          </w:p>
        </w:tc>
        <w:tc>
          <w:tcPr>
            <w:tcW w:w="74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Rules 13a-14(a) and 15d-14(a)</w:t>
            </w:r>
          </w:p>
        </w:tc>
        <w:tc>
          <w:tcPr>
            <w:tcW w:w="66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under the Exchange Act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Rules 13a-</w:t>
            </w:r>
          </w:p>
        </w:tc>
        <w:tc>
          <w:tcPr>
            <w:tcW w:w="300" w:type="dxa"/>
            <w:vAlign w:val="bottom"/>
            <w:tcBorders>
              <w:top w:val="single" w:sz="8" w:color="0000EE"/>
            </w:tcBorders>
            <w:gridSpan w:val="7"/>
          </w:tcPr>
          <w:p>
            <w:pPr>
              <w:spacing w:after="0"/>
              <w:rPr>
                <w:sz w:val="17"/>
                <w:szCs w:val="17"/>
                <w:color w:val="auto"/>
              </w:rPr>
            </w:pPr>
          </w:p>
        </w:tc>
        <w:tc>
          <w:tcPr>
            <w:tcW w:w="3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14(a) and 15d-14(a) under the</w:t>
            </w:r>
          </w:p>
        </w:tc>
        <w:tc>
          <w:tcPr>
            <w:tcW w:w="72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Exchange Act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Certification of Principal</w:t>
            </w:r>
          </w:p>
        </w:tc>
        <w:tc>
          <w:tcPr>
            <w:tcW w:w="1080" w:type="dxa"/>
            <w:vAlign w:val="bottom"/>
            <w:gridSpan w:val="14"/>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and Principal</w:t>
            </w:r>
          </w:p>
        </w:tc>
        <w:tc>
          <w:tcPr>
            <w:tcW w:w="6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Officer Pursuant to 18</w:t>
            </w:r>
          </w:p>
        </w:tc>
        <w:tc>
          <w:tcPr>
            <w:tcW w:w="56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w:t>
            </w:r>
          </w:p>
        </w:tc>
        <w:tc>
          <w:tcPr>
            <w:tcW w:w="50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72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84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2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 -</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the instance document does not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appear in the Interactive Data File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because its XBRL tags are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embedded within the Inline XBRL</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2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Extension Schema Document</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101.CAL*</w:t>
            </w:r>
          </w:p>
        </w:tc>
        <w:tc>
          <w:tcPr>
            <w:tcW w:w="100" w:type="dxa"/>
            <w:vAlign w:val="bottom"/>
          </w:tcPr>
          <w:p>
            <w:pPr>
              <w:spacing w:after="0"/>
              <w:rPr>
                <w:sz w:val="24"/>
                <w:szCs w:val="24"/>
                <w:color w:val="auto"/>
              </w:rPr>
            </w:pPr>
          </w:p>
        </w:tc>
        <w:tc>
          <w:tcPr>
            <w:tcW w:w="2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Extension Calculation Linkbase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101.DEF*</w:t>
            </w:r>
          </w:p>
        </w:tc>
        <w:tc>
          <w:tcPr>
            <w:tcW w:w="100" w:type="dxa"/>
            <w:vAlign w:val="bottom"/>
          </w:tcPr>
          <w:p>
            <w:pPr>
              <w:spacing w:after="0"/>
              <w:rPr>
                <w:sz w:val="24"/>
                <w:szCs w:val="24"/>
                <w:color w:val="auto"/>
              </w:rPr>
            </w:pPr>
          </w:p>
        </w:tc>
        <w:tc>
          <w:tcPr>
            <w:tcW w:w="2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Extension Definition Linkbase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Label Linkbase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ectPr>
          <w:pgSz w:w="11900" w:h="16838" w:orient="portrait"/>
          <w:cols w:equalWidth="0" w:num="2">
            <w:col w:w="900" w:space="420"/>
            <w:col w:w="7699"/>
          </w:cols>
          <w:pgMar w:left="1440" w:top="513" w:right="1440" w:bottom="1440" w:gutter="0" w:footer="0" w:header="0"/>
          <w:type w:val="continuous"/>
        </w:sectPr>
      </w:pP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Presentation Linkbase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ectPr>
          <w:pgSz w:w="11900" w:h="16838" w:orient="portrait"/>
          <w:cols w:equalWidth="0" w:num="2">
            <w:col w:w="880" w:space="440"/>
            <w:col w:w="7699"/>
          </w:cols>
          <w:pgMar w:left="1440" w:top="513" w:right="1440" w:bottom="1440" w:gutter="0" w:footer="0" w:header="0"/>
          <w:type w:val="continuous"/>
        </w:sectPr>
      </w:pP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Cover Page Interactive Data File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(formatted as Inline XBRL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211455</wp:posOffset>
            </wp:positionV>
            <wp:extent cx="1414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 w:space="720"/>
            <w:col w:w="7699"/>
          </w:cols>
          <w:pgMar w:left="1440" w:top="513" w:right="1440" w:bottom="1440" w:gutter="0" w:footer="0" w:header="0"/>
          <w:type w:val="continuous"/>
        </w:sectPr>
      </w:pPr>
    </w:p>
    <w:p>
      <w:pPr>
        <w:spacing w:after="0" w:line="223" w:lineRule="exact"/>
        <w:rPr>
          <w:sz w:val="20"/>
          <w:szCs w:val="20"/>
          <w:color w:val="auto"/>
        </w:rPr>
      </w:pPr>
    </w:p>
    <w:p>
      <w:pPr>
        <w:ind w:left="360" w:hanging="316"/>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60" w:right="99" w:hanging="316"/>
        <w:spacing w:after="0" w:line="253" w:lineRule="auto"/>
        <w:tabs>
          <w:tab w:leader="none" w:pos="3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Exhibit 32.1 is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59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Everspin Technologies, Inc.</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2024</w:t>
            </w:r>
          </w:p>
        </w:tc>
        <w:tc>
          <w:tcPr>
            <w:tcW w:w="59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By:/s/ Sanjeev Aggarwal</w:t>
            </w:r>
          </w:p>
        </w:tc>
      </w:tr>
      <w:tr>
        <w:trPr>
          <w:trHeight w:val="191"/>
        </w:trPr>
        <w:tc>
          <w:tcPr>
            <w:tcW w:w="29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Sanjeev Aggarwal</w:t>
            </w:r>
          </w:p>
        </w:tc>
      </w:tr>
      <w:tr>
        <w:trPr>
          <w:trHeight w:val="216"/>
        </w:trPr>
        <w:tc>
          <w:tcPr>
            <w:tcW w:w="2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2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6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2024</w:t>
            </w:r>
          </w:p>
        </w:tc>
        <w:tc>
          <w:tcPr>
            <w:tcW w:w="59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By:/s/ Matthew Tenorio</w:t>
            </w:r>
          </w:p>
        </w:tc>
      </w:tr>
      <w:tr>
        <w:trPr>
          <w:trHeight w:val="191"/>
        </w:trPr>
        <w:tc>
          <w:tcPr>
            <w:tcW w:w="29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Matthew Tenorio</w:t>
            </w:r>
          </w:p>
        </w:tc>
      </w:tr>
      <w:tr>
        <w:trPr>
          <w:trHeight w:val="216"/>
        </w:trPr>
        <w:tc>
          <w:tcPr>
            <w:tcW w:w="2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2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75"/>
        </w:trPr>
        <w:tc>
          <w:tcPr>
            <w:tcW w:w="2960" w:type="dxa"/>
            <w:vAlign w:val="bottom"/>
          </w:tcPr>
          <w:p>
            <w:pPr>
              <w:spacing w:after="0"/>
              <w:rPr>
                <w:sz w:val="24"/>
                <w:szCs w:val="24"/>
                <w:color w:val="auto"/>
              </w:rPr>
            </w:pPr>
          </w:p>
        </w:tc>
        <w:tc>
          <w:tcPr>
            <w:tcW w:w="24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43</w:t>
            </w:r>
          </w:p>
        </w:tc>
        <w:tc>
          <w:tcPr>
            <w:tcW w:w="3520" w:type="dxa"/>
            <w:vAlign w:val="bottom"/>
          </w:tcPr>
          <w:p>
            <w:pPr>
              <w:spacing w:after="0"/>
              <w:rPr>
                <w:sz w:val="24"/>
                <w:szCs w:val="24"/>
                <w:color w:val="auto"/>
              </w:rPr>
            </w:pPr>
          </w:p>
        </w:tc>
      </w:tr>
      <w:tr>
        <w:trPr>
          <w:trHeight w:val="561"/>
        </w:trPr>
        <w:tc>
          <w:tcPr>
            <w:tcW w:w="29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43" w:name="page44"/>
    <w:bookmarkEnd w:id="4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Sanjeev Aggarwal, certify that:</w:t>
      </w:r>
    </w:p>
    <w:p>
      <w:pPr>
        <w:spacing w:after="0" w:line="225" w:lineRule="exact"/>
        <w:rPr>
          <w:sz w:val="20"/>
          <w:szCs w:val="20"/>
          <w:color w:val="auto"/>
        </w:rPr>
      </w:pPr>
    </w:p>
    <w:p>
      <w:pPr>
        <w:ind w:left="380" w:hanging="33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Everspin Technologies, Inc.;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80" w:right="239" w:hanging="330"/>
        <w:spacing w:after="0" w:line="258"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4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jc w:val="both"/>
        <w:ind w:left="380" w:right="59" w:hanging="6"/>
        <w:spacing w:after="0" w:line="266" w:lineRule="auto"/>
        <w:tabs>
          <w:tab w:leader="none" w:pos="64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380" w:right="319" w:hanging="330"/>
        <w:spacing w:after="0" w:line="266"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59" w:hanging="6"/>
        <w:spacing w:after="0" w:line="266" w:lineRule="auto"/>
        <w:tabs>
          <w:tab w:leader="none" w:pos="64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380" w:right="79" w:hanging="6"/>
        <w:spacing w:after="0" w:line="282" w:lineRule="auto"/>
        <w:tabs>
          <w:tab w:leader="none" w:pos="6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August 2, 2024</w:t>
      </w:r>
    </w:p>
    <w:p>
      <w:pPr>
        <w:spacing w:after="0" w:line="23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 Sanjeev Aggarwal</w:t>
      </w:r>
    </w:p>
    <w:p>
      <w:pPr>
        <w:spacing w:after="0" w:line="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-127635</wp:posOffset>
            </wp:positionV>
            <wp:extent cx="25031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484505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4" w:name="page45"/>
    <w:bookmarkEnd w:id="4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Matthew Tenorio, certify that:</w:t>
      </w:r>
    </w:p>
    <w:p>
      <w:pPr>
        <w:spacing w:after="0" w:line="225" w:lineRule="exact"/>
        <w:rPr>
          <w:sz w:val="20"/>
          <w:szCs w:val="20"/>
          <w:color w:val="auto"/>
        </w:rPr>
      </w:pPr>
    </w:p>
    <w:p>
      <w:pPr>
        <w:ind w:left="700" w:hanging="326"/>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Everspin Technologies,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326"/>
        <w:spacing w:after="0" w:line="258"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1020" w:right="79" w:hanging="322"/>
        <w:spacing w:after="0" w:line="255"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700" w:right="399" w:hanging="326"/>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August 2, 2024</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 Matthew Tenorio</w:t>
      </w:r>
    </w:p>
    <w:p>
      <w:pPr>
        <w:spacing w:after="0" w:line="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Matthew Tenorio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-127635</wp:posOffset>
            </wp:positionV>
            <wp:extent cx="23577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5" w:name="page46"/>
    <w:bookmarkEnd w:id="4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9"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Sanjeev Aggarwal, Chief Executive Officer of Everspin Technologies, Inc. (the “Company”), and Matthew Tenorio, Interim Chief Financial Officer of the Company, each hereby certifies that, to the best of his knowledge:</w:t>
      </w:r>
    </w:p>
    <w:p>
      <w:pPr>
        <w:spacing w:after="0" w:line="187" w:lineRule="exact"/>
        <w:rPr>
          <w:sz w:val="20"/>
          <w:szCs w:val="20"/>
          <w:color w:val="auto"/>
        </w:rPr>
      </w:pPr>
    </w:p>
    <w:p>
      <w:pPr>
        <w:ind w:left="60" w:right="159" w:hanging="10"/>
        <w:spacing w:after="0" w:line="266" w:lineRule="auto"/>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2024, to which this Certification is attached as Exhibit 32.1 (the “Periodic Report”), fully complies with the requirements of Section 13(a) or Section 15(d) of the Exchange Act; and</w:t>
      </w:r>
    </w:p>
    <w:p>
      <w:pPr>
        <w:spacing w:after="0" w:line="175" w:lineRule="exact"/>
        <w:rPr>
          <w:rFonts w:ascii="Times New Roman" w:cs="Times New Roman" w:eastAsia="Times New Roman" w:hAnsi="Times New Roman"/>
          <w:sz w:val="18"/>
          <w:szCs w:val="18"/>
          <w:color w:val="auto"/>
        </w:rPr>
      </w:pPr>
    </w:p>
    <w:p>
      <w:pPr>
        <w:ind w:left="60" w:right="439" w:hanging="10"/>
        <w:spacing w:after="0" w:line="266" w:lineRule="auto"/>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August 2, 2024</w:t>
      </w:r>
    </w:p>
    <w:p>
      <w:pPr>
        <w:spacing w:after="0" w:line="2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-119380</wp:posOffset>
            </wp:positionV>
            <wp:extent cx="5648960" cy="130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5648960" cy="130302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 Matthew Tenorio</w:t>
      </w:r>
    </w:p>
    <w:p>
      <w:pPr>
        <w:spacing w:after="0" w:line="3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Matthew Tenorio</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20"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335915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lvl w:ilvl="1">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57" Type="http://schemas.openxmlformats.org/officeDocument/2006/relationships/hyperlink" Target="http://www.sec.gov/Archives/edgar/data/1438423/000119312516737688/d271840dex31.htm" TargetMode="External"/><Relationship Id="rId58" Type="http://schemas.openxmlformats.org/officeDocument/2006/relationships/hyperlink" Target="http://www.sec.gov/Archives/edgar/data/1438423/000119312519154165/d752899dex31.htm" TargetMode="External"/><Relationship Id="rId59" Type="http://schemas.openxmlformats.org/officeDocument/2006/relationships/hyperlink" Target="https://www.sec.gov/Archives/edgar/data/1438423/000119312520153247/d936625dex31.htm" TargetMode="External"/><Relationship Id="rId60" Type="http://schemas.openxmlformats.org/officeDocument/2006/relationships/hyperlink" Target="https://www.sec.gov/Archives/edgar/data/1438423/000110465923064640/tm2316966d1_ex3-1.htm" TargetMode="External"/><Relationship Id="rId61" Type="http://schemas.openxmlformats.org/officeDocument/2006/relationships/hyperlink" Target="https://www.sec.gov/Archives/edgar/data/1438423/000119312519154165/d75289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2024-08-02T15:15:46Z</dcterms:created>
  <dcterms:modified xsi:type="dcterms:W3CDTF">2024-08-02T15:15:46Z</dcterms:modified>
</cp:coreProperties>
</file>