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001-37900</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w:t>
      </w:r>
    </w:p>
    <w:tbl>
      <w:tblPr>
        <w:tblW w:w="4634" w:type="dxa"/>
        <w:jc w:val="left"/>
        <w:tblInd w:w="0" w:type="dxa"/>
        <w:tblLayout w:type="fixed"/>
        <w:tblCellMar>
          <w:top w:w="28" w:type="dxa"/>
          <w:left w:w="28" w:type="dxa"/>
          <w:bottom w:w="28" w:type="dxa"/>
          <w:right w:w="28" w:type="dxa"/>
        </w:tblCellMar>
      </w:tblPr>
      <w:tblGrid>
        <w:gridCol w:w="1068"/>
        <w:gridCol w:w="939"/>
        <w:gridCol w:w="948"/>
        <w:gridCol w:w="490"/>
        <w:gridCol w:w="490"/>
        <w:gridCol w:w="699"/>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26-2640654</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5670 W. Chandler Boulevard, Suite 130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Chandler, Arizona 85226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(480) 347-1111</w:t>
      </w:r>
    </w:p>
    <w:p>
      <w:pPr>
        <w:pStyle w:val="TextBody"/>
        <w:bidi w:val="0"/>
        <w:spacing w:lineRule="auto" w:line="276"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8" w:type="dxa"/>
        <w:jc w:val="center"/>
        <w:tblInd w:w="0" w:type="dxa"/>
        <w:tblLayout w:type="fixed"/>
        <w:tblCellMar>
          <w:top w:w="28" w:type="dxa"/>
          <w:left w:w="28" w:type="dxa"/>
          <w:bottom w:w="28" w:type="dxa"/>
          <w:right w:w="28" w:type="dxa"/>
        </w:tblCellMar>
      </w:tblPr>
      <w:tblGrid>
        <w:gridCol w:w="1062"/>
        <w:gridCol w:w="933"/>
        <w:gridCol w:w="944"/>
        <w:gridCol w:w="564"/>
        <w:gridCol w:w="564"/>
        <w:gridCol w:w="566"/>
        <w:gridCol w:w="1118"/>
        <w:gridCol w:w="1118"/>
        <w:gridCol w:w="1589"/>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6" w:space="0" w:color="000000"/>
              <w:left w:val="single" w:sz="6" w:space="0" w:color="000000"/>
            </w:tcBorders>
            <w:tcMar>
              <w:top w:w="30" w:type="dxa"/>
              <w:left w:w="11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6" w:space="0" w:color="000000"/>
              <w:left w:val="single" w:sz="6" w:space="0" w:color="000000"/>
            </w:tcBorders>
            <w:tcMar>
              <w:top w:w="30" w:type="dxa"/>
              <w:left w:w="11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6" w:space="0" w:color="000000"/>
              <w:left w:val="single" w:sz="6" w:space="0" w:color="000000"/>
              <w:right w:val="single" w:sz="6" w:space="0" w:color="000000"/>
            </w:tcBorders>
            <w:tcMar>
              <w:top w:w="30" w:type="dxa"/>
              <w:left w:w="110" w:type="dxa"/>
              <w:bottom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w:t>
            </w:r>
          </w:p>
        </w:tc>
        <w:tc>
          <w:tcPr>
            <w:tcW w:w="1694" w:type="dxa"/>
            <w:gridSpan w:val="3"/>
            <w:tcBorders>
              <w:top w:val="single" w:sz="6" w:space="0" w:color="000000"/>
              <w:left w:val="single" w:sz="6" w:space="0" w:color="000000"/>
              <w:bottom w:val="single" w:sz="6" w:space="0" w:color="000000"/>
            </w:tcBorders>
            <w:tcMar>
              <w:top w:w="30" w:type="dxa"/>
              <w:left w:w="11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MRAM</w:t>
            </w:r>
          </w:p>
        </w:tc>
        <w:tc>
          <w:tcPr>
            <w:tcW w:w="382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2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bl>
    <w:tbl>
      <w:tblPr>
        <w:tblW w:w="10205" w:type="dxa"/>
        <w:jc w:val="left"/>
        <w:tblInd w:w="0" w:type="dxa"/>
        <w:tblLayout w:type="fixed"/>
        <w:tblCellMar>
          <w:top w:w="28" w:type="dxa"/>
          <w:left w:w="28" w:type="dxa"/>
          <w:bottom w:w="28" w:type="dxa"/>
          <w:right w:w="28" w:type="dxa"/>
        </w:tblCellMar>
      </w:tblPr>
      <w:tblGrid>
        <w:gridCol w:w="3559"/>
        <w:gridCol w:w="3132"/>
        <w:gridCol w:w="3141"/>
        <w:gridCol w:w="109"/>
        <w:gridCol w:w="109"/>
        <w:gridCol w:w="155"/>
      </w:tblGrid>
      <w:tr>
        <w:trPr/>
        <w:tc>
          <w:tcPr>
            <w:tcW w:w="3559"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12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October 31, 2025, was 22,856,514.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2993"/>
        <w:gridCol w:w="2993"/>
        <w:gridCol w:w="2999"/>
        <w:gridCol w:w="149"/>
        <w:gridCol w:w="149"/>
        <w:gridCol w:w="21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4329226ff624693a83d953827d95d50_10">
              <w:r>
                <w:rPr>
                  <w:rStyle w:val="InternetLink"/>
                  <w:rFonts w:ascii="Times New Roman;serif" w:hAnsi="Times New Roman;serif"/>
                  <w:b/>
                  <w:color w:val="0000FF"/>
                  <w:sz w:val="20"/>
                  <w:u w:val="single"/>
                </w:rPr>
                <w:t>PART I—FINANCIAL INFORMATION</w:t>
              </w:r>
            </w:hyperlink>
          </w:p>
        </w:tc>
        <w:tc>
          <w:tcPr>
            <w:tcW w:w="5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13">
              <w:r>
                <w:rPr>
                  <w:rStyle w:val="InternetLink"/>
                  <w:rFonts w:ascii="Times New Roman;serif" w:hAnsi="Times New Roman;serif"/>
                  <w:b w:val="false"/>
                  <w:color w:val="0000FF"/>
                  <w:sz w:val="20"/>
                  <w:u w:val="single"/>
                </w:rPr>
                <w:t>Item 1.</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13">
              <w:r>
                <w:rPr>
                  <w:rStyle w:val="InternetLink"/>
                  <w:rFonts w:ascii="Times New Roman;serif" w:hAnsi="Times New Roman;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16">
              <w:r>
                <w:rPr>
                  <w:rStyle w:val="InternetLink"/>
                  <w:rFonts w:ascii="Times New Roman;serif" w:hAnsi="Times New Roman;serif"/>
                  <w:b w:val="false"/>
                  <w:color w:val="000080"/>
                  <w:sz w:val="20"/>
                  <w:u w:val="single"/>
                </w:rPr>
                <w:t xml:space="preserve">Condensed Balance Sheets as of </w:t>
              </w:r>
            </w:hyperlink>
            <w:hyperlink w:anchor="ie4329226ff624693a83d953827d95d50_16">
              <w:r>
                <w:rPr>
                  <w:rStyle w:val="InternetLink"/>
                  <w:rFonts w:ascii="Times New Roman;serif" w:hAnsi="Times New Roman;serif"/>
                  <w:b w:val="false"/>
                  <w:color w:val="000080"/>
                  <w:sz w:val="20"/>
                  <w:u w:val="single"/>
                </w:rPr>
                <w:t>September 30</w:t>
              </w:r>
            </w:hyperlink>
            <w:hyperlink w:anchor="ie4329226ff624693a83d953827d95d50_16">
              <w:r>
                <w:rPr>
                  <w:rStyle w:val="InternetLink"/>
                  <w:rFonts w:ascii="Times New Roman;serif" w:hAnsi="Times New Roman;serif"/>
                  <w:b w:val="false"/>
                  <w:color w:val="000080"/>
                  <w:sz w:val="20"/>
                  <w:u w:val="single"/>
                </w:rPr>
                <w:t xml:space="preserve">, 2025 (unaudited) and December 31, 2024 </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16">
              <w:r>
                <w:rPr>
                  <w:rStyle w:val="InternetLink"/>
                  <w:rFonts w:ascii="Times New Roman;serif" w:hAnsi="Times New Roman;serif"/>
                  <w:b w:val="false"/>
                  <w:strike w:val="false"/>
                  <w:dstrike w:val="false"/>
                  <w:color w:val="0000FF"/>
                  <w:sz w:val="20"/>
                  <w:u w:val="none"/>
                  <w:effect w:val="none"/>
                </w:rPr>
                <w:t>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19">
              <w:r>
                <w:rPr>
                  <w:rStyle w:val="InternetLink"/>
                  <w:rFonts w:ascii="Times New Roman;serif" w:hAnsi="Times New Roman;serif"/>
                  <w:b w:val="false"/>
                  <w:color w:val="000080"/>
                  <w:sz w:val="20"/>
                  <w:u w:val="single"/>
                </w:rPr>
                <w:t xml:space="preserve">Condensed Statements of Operations and Comprehensive </w:t>
              </w:r>
            </w:hyperlink>
            <w:hyperlink w:anchor="ie4329226ff624693a83d953827d95d50_19">
              <w:r>
                <w:rPr>
                  <w:rStyle w:val="InternetLink"/>
                  <w:rFonts w:ascii="Times New Roman;serif" w:hAnsi="Times New Roman;serif"/>
                  <w:b w:val="false"/>
                  <w:color w:val="000080"/>
                  <w:sz w:val="20"/>
                  <w:u w:val="single"/>
                </w:rPr>
                <w:t>Income (</w:t>
              </w:r>
            </w:hyperlink>
            <w:hyperlink w:anchor="ie4329226ff624693a83d953827d95d50_19">
              <w:r>
                <w:rPr>
                  <w:rStyle w:val="InternetLink"/>
                  <w:rFonts w:ascii="Times New Roman;serif" w:hAnsi="Times New Roman;serif"/>
                  <w:b w:val="false"/>
                  <w:color w:val="000080"/>
                  <w:sz w:val="20"/>
                  <w:u w:val="single"/>
                </w:rPr>
                <w:t>Loss</w:t>
              </w:r>
            </w:hyperlink>
            <w:hyperlink w:anchor="ie4329226ff624693a83d953827d95d50_19">
              <w:r>
                <w:rPr>
                  <w:rStyle w:val="InternetLink"/>
                  <w:rFonts w:ascii="Times New Roman;serif" w:hAnsi="Times New Roman;serif"/>
                  <w:b w:val="false"/>
                  <w:color w:val="000080"/>
                  <w:sz w:val="20"/>
                  <w:u w:val="single"/>
                </w:rPr>
                <w:t>)</w:t>
              </w:r>
            </w:hyperlink>
            <w:hyperlink w:anchor="ie4329226ff624693a83d953827d95d50_19">
              <w:r>
                <w:rPr>
                  <w:rStyle w:val="InternetLink"/>
                  <w:rFonts w:ascii="Times New Roman;serif" w:hAnsi="Times New Roman;serif"/>
                  <w:b w:val="false"/>
                  <w:color w:val="000080"/>
                  <w:sz w:val="20"/>
                  <w:u w:val="single"/>
                </w:rPr>
                <w:t xml:space="preserve"> for the three and </w:t>
              </w:r>
            </w:hyperlink>
            <w:hyperlink w:anchor="ie4329226ff624693a83d953827d95d50_19">
              <w:r>
                <w:rPr>
                  <w:rStyle w:val="InternetLink"/>
                  <w:rFonts w:ascii="Times New Roman;serif" w:hAnsi="Times New Roman;serif"/>
                  <w:b w:val="false"/>
                  <w:color w:val="000080"/>
                  <w:sz w:val="20"/>
                  <w:u w:val="single"/>
                </w:rPr>
                <w:t>nine</w:t>
              </w:r>
            </w:hyperlink>
            <w:hyperlink w:anchor="ie4329226ff624693a83d953827d95d50_19">
              <w:r>
                <w:rPr>
                  <w:rStyle w:val="InternetLink"/>
                  <w:rFonts w:ascii="Times New Roman;serif" w:hAnsi="Times New Roman;serif"/>
                  <w:b w:val="false"/>
                  <w:color w:val="000080"/>
                  <w:sz w:val="20"/>
                  <w:u w:val="single"/>
                </w:rPr>
                <w:t xml:space="preserve"> months ended </w:t>
              </w:r>
            </w:hyperlink>
            <w:hyperlink w:anchor="ie4329226ff624693a83d953827d95d50_19">
              <w:r>
                <w:rPr>
                  <w:rStyle w:val="InternetLink"/>
                  <w:rFonts w:ascii="Times New Roman;serif" w:hAnsi="Times New Roman;serif"/>
                  <w:b w:val="false"/>
                  <w:color w:val="000080"/>
                  <w:sz w:val="20"/>
                  <w:u w:val="single"/>
                </w:rPr>
                <w:t>Septe</w:t>
              </w:r>
            </w:hyperlink>
            <w:hyperlink w:anchor="ie4329226ff624693a83d953827d95d50_19">
              <w:r>
                <w:rPr>
                  <w:rStyle w:val="InternetLink"/>
                  <w:rFonts w:ascii="Times New Roman;serif" w:hAnsi="Times New Roman;serif"/>
                  <w:b w:val="false"/>
                  <w:color w:val="000080"/>
                  <w:sz w:val="20"/>
                  <w:u w:val="single"/>
                </w:rPr>
                <w:t>m</w:t>
              </w:r>
            </w:hyperlink>
            <w:hyperlink w:anchor="ie4329226ff624693a83d953827d95d50_19">
              <w:r>
                <w:rPr>
                  <w:rStyle w:val="InternetLink"/>
                  <w:rFonts w:ascii="Times New Roman;serif" w:hAnsi="Times New Roman;serif"/>
                  <w:b w:val="false"/>
                  <w:color w:val="000080"/>
                  <w:sz w:val="20"/>
                  <w:u w:val="single"/>
                </w:rPr>
                <w:t>ber 30</w:t>
              </w:r>
            </w:hyperlink>
            <w:hyperlink w:anchor="ie4329226ff624693a83d953827d95d50_19">
              <w:r>
                <w:rPr>
                  <w:rStyle w:val="InternetLink"/>
                  <w:rFonts w:ascii="Times New Roman;serif" w:hAnsi="Times New Roman;serif"/>
                  <w:b w:val="false"/>
                  <w:color w:val="000080"/>
                  <w:sz w:val="20"/>
                  <w:u w:val="single"/>
                </w:rPr>
                <w:t xml:space="preserve">, 2025 and 2024 (unaudited) </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19">
              <w:r>
                <w:rPr>
                  <w:rStyle w:val="InternetLink"/>
                  <w:rFonts w:ascii="Times New Roman;serif" w:hAnsi="Times New Roman;serif"/>
                  <w:b w:val="false"/>
                  <w:strike w:val="false"/>
                  <w:dstrike w:val="false"/>
                  <w:color w:val="0000FF"/>
                  <w:sz w:val="20"/>
                  <w:u w:val="none"/>
                  <w:effect w:val="none"/>
                </w:rPr>
                <w:t>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22">
              <w:r>
                <w:rPr>
                  <w:rStyle w:val="InternetLink"/>
                  <w:rFonts w:ascii="Times New Roman;serif" w:hAnsi="Times New Roman;serif"/>
                  <w:b w:val="false"/>
                  <w:color w:val="000080"/>
                  <w:sz w:val="20"/>
                  <w:u w:val="single"/>
                </w:rPr>
                <w:t xml:space="preserve">Condensed Statements of Stockholders’ Equity for the three and </w:t>
              </w:r>
            </w:hyperlink>
            <w:hyperlink w:anchor="ie4329226ff624693a83d953827d95d50_22">
              <w:r>
                <w:rPr>
                  <w:rStyle w:val="InternetLink"/>
                  <w:rFonts w:ascii="Times New Roman;serif" w:hAnsi="Times New Roman;serif"/>
                  <w:b w:val="false"/>
                  <w:color w:val="000080"/>
                  <w:sz w:val="20"/>
                  <w:u w:val="single"/>
                </w:rPr>
                <w:t>nine</w:t>
              </w:r>
            </w:hyperlink>
            <w:hyperlink w:anchor="ie4329226ff624693a83d953827d95d50_22">
              <w:r>
                <w:rPr>
                  <w:rStyle w:val="InternetLink"/>
                  <w:rFonts w:ascii="Times New Roman;serif" w:hAnsi="Times New Roman;serif"/>
                  <w:b w:val="false"/>
                  <w:color w:val="000080"/>
                  <w:sz w:val="20"/>
                  <w:u w:val="single"/>
                </w:rPr>
                <w:t xml:space="preserve"> months ended </w:t>
              </w:r>
            </w:hyperlink>
            <w:hyperlink w:anchor="ie4329226ff624693a83d953827d95d50_22">
              <w:r>
                <w:rPr>
                  <w:rStyle w:val="InternetLink"/>
                  <w:rFonts w:ascii="Times New Roman;serif" w:hAnsi="Times New Roman;serif"/>
                  <w:b w:val="false"/>
                  <w:color w:val="000080"/>
                  <w:sz w:val="20"/>
                  <w:u w:val="single"/>
                </w:rPr>
                <w:t>September</w:t>
              </w:r>
            </w:hyperlink>
            <w:hyperlink w:anchor="ie4329226ff624693a83d953827d95d50_22">
              <w:r>
                <w:rPr>
                  <w:rStyle w:val="InternetLink"/>
                  <w:rFonts w:ascii="Times New Roman;serif" w:hAnsi="Times New Roman;serif"/>
                  <w:b w:val="false"/>
                  <w:color w:val="000080"/>
                  <w:sz w:val="20"/>
                  <w:u w:val="single"/>
                </w:rPr>
                <w:t xml:space="preserve"> 30, 2025 and 2024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22">
              <w:r>
                <w:rPr>
                  <w:rStyle w:val="InternetLink"/>
                  <w:rFonts w:ascii="Times New Roman;serif" w:hAnsi="Times New Roman;serif"/>
                  <w:b w:val="false"/>
                  <w:strike w:val="false"/>
                  <w:dstrike w:val="false"/>
                  <w:color w:val="0000FF"/>
                  <w:sz w:val="20"/>
                  <w:u w:val="none"/>
                  <w:effect w:val="none"/>
                </w:rPr>
                <w:t>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25">
              <w:r>
                <w:rPr>
                  <w:rStyle w:val="InternetLink"/>
                  <w:rFonts w:ascii="Times New Roman;serif" w:hAnsi="Times New Roman;serif"/>
                  <w:b w:val="false"/>
                  <w:color w:val="000080"/>
                  <w:sz w:val="20"/>
                  <w:u w:val="single"/>
                </w:rPr>
                <w:t xml:space="preserve">Condensed Statements of Cash Flows for the </w:t>
              </w:r>
            </w:hyperlink>
            <w:hyperlink w:anchor="ie4329226ff624693a83d953827d95d50_25">
              <w:r>
                <w:rPr>
                  <w:rStyle w:val="InternetLink"/>
                  <w:rFonts w:ascii="Times New Roman;serif" w:hAnsi="Times New Roman;serif"/>
                  <w:b w:val="false"/>
                  <w:color w:val="000080"/>
                  <w:sz w:val="20"/>
                  <w:u w:val="single"/>
                </w:rPr>
                <w:t>nine</w:t>
              </w:r>
            </w:hyperlink>
            <w:hyperlink w:anchor="ie4329226ff624693a83d953827d95d50_25">
              <w:r>
                <w:rPr>
                  <w:rStyle w:val="InternetLink"/>
                  <w:rFonts w:ascii="Times New Roman;serif" w:hAnsi="Times New Roman;serif"/>
                  <w:b w:val="false"/>
                  <w:color w:val="000080"/>
                  <w:sz w:val="20"/>
                  <w:u w:val="single"/>
                </w:rPr>
                <w:t xml:space="preserve"> months ended </w:t>
              </w:r>
            </w:hyperlink>
            <w:hyperlink w:anchor="ie4329226ff624693a83d953827d95d50_25">
              <w:r>
                <w:rPr>
                  <w:rStyle w:val="InternetLink"/>
                  <w:rFonts w:ascii="Times New Roman;serif" w:hAnsi="Times New Roman;serif"/>
                  <w:b w:val="false"/>
                  <w:color w:val="000080"/>
                  <w:sz w:val="20"/>
                  <w:u w:val="single"/>
                </w:rPr>
                <w:t xml:space="preserve">September </w:t>
              </w:r>
            </w:hyperlink>
            <w:hyperlink w:anchor="ie4329226ff624693a83d953827d95d50_25">
              <w:r>
                <w:rPr>
                  <w:rStyle w:val="InternetLink"/>
                  <w:rFonts w:ascii="Times New Roman;serif" w:hAnsi="Times New Roman;serif"/>
                  <w:b w:val="false"/>
                  <w:color w:val="000080"/>
                  <w:sz w:val="20"/>
                  <w:u w:val="single"/>
                </w:rPr>
                <w:t xml:space="preserve">30, 2025 and 2024 (unaudited) </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25">
              <w:r>
                <w:rPr>
                  <w:rStyle w:val="InternetLink"/>
                  <w:rFonts w:ascii="Times New Roman;serif" w:hAnsi="Times New Roman;serif"/>
                  <w:b w:val="false"/>
                  <w:strike w:val="false"/>
                  <w:dstrike w:val="false"/>
                  <w:color w:val="0000FF"/>
                  <w:sz w:val="20"/>
                  <w:u w:val="none"/>
                  <w:effect w:val="none"/>
                </w:rPr>
                <w:t>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28">
              <w:r>
                <w:rPr>
                  <w:rStyle w:val="InternetLink"/>
                  <w:rFonts w:ascii="Times New Roman;serif" w:hAnsi="Times New Roman;serif"/>
                  <w:b w:val="false"/>
                  <w:color w:val="0000FF"/>
                  <w:sz w:val="20"/>
                  <w:u w:val="single"/>
                </w:rPr>
                <w:t>Notes to Condensed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28">
              <w:r>
                <w:rPr>
                  <w:rStyle w:val="InternetLink"/>
                  <w:rFonts w:ascii="Times New Roman;serif" w:hAnsi="Times New Roman;serif"/>
                  <w:b w:val="false"/>
                  <w:strike w:val="false"/>
                  <w:dstrike w:val="false"/>
                  <w:color w:val="0000FF"/>
                  <w:sz w:val="20"/>
                  <w:u w:val="none"/>
                  <w:effect w:val="none"/>
                </w:rPr>
                <w:t>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55">
              <w:r>
                <w:rPr>
                  <w:rStyle w:val="InternetLink"/>
                  <w:rFonts w:ascii="Times New Roman;serif" w:hAnsi="Times New Roman;serif"/>
                  <w:b w:val="false"/>
                  <w:color w:val="0000FF"/>
                  <w:sz w:val="20"/>
                  <w:u w:val="single"/>
                </w:rPr>
                <w:t>Item 2.</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5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55">
              <w:r>
                <w:rPr>
                  <w:rStyle w:val="InternetLink"/>
                  <w:rFonts w:ascii="Times New Roman;serif" w:hAnsi="Times New Roman;serif"/>
                  <w:b w:val="false"/>
                  <w:strike w:val="false"/>
                  <w:dstrike w:val="false"/>
                  <w:color w:val="0000FF"/>
                  <w:sz w:val="20"/>
                  <w:u w:val="none"/>
                  <w:effect w:val="none"/>
                </w:rPr>
                <w:t>18</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73">
              <w:r>
                <w:rPr>
                  <w:rStyle w:val="InternetLink"/>
                  <w:rFonts w:ascii="Times New Roman;serif" w:hAnsi="Times New Roman;serif"/>
                  <w:b w:val="false"/>
                  <w:color w:val="0000FF"/>
                  <w:sz w:val="20"/>
                  <w:u w:val="single"/>
                </w:rPr>
                <w:t>Item 3.</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73">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73">
              <w:r>
                <w:rPr>
                  <w:rStyle w:val="InternetLink"/>
                  <w:rFonts w:ascii="Times New Roman;serif" w:hAnsi="Times New Roman;serif"/>
                  <w:b w:val="false"/>
                  <w:strike w:val="false"/>
                  <w:dstrike w:val="false"/>
                  <w:color w:val="0000FF"/>
                  <w:sz w:val="20"/>
                  <w:u w:val="none"/>
                  <w:effect w:val="none"/>
                </w:rPr>
                <w:t>27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76">
              <w:r>
                <w:rPr>
                  <w:rStyle w:val="InternetLink"/>
                  <w:rFonts w:ascii="Times New Roman;serif" w:hAnsi="Times New Roman;serif"/>
                  <w:b w:val="false"/>
                  <w:color w:val="0000FF"/>
                  <w:sz w:val="20"/>
                  <w:u w:val="single"/>
                </w:rPr>
                <w:t>Item 4.</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76">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76">
              <w:r>
                <w:rPr>
                  <w:rStyle w:val="InternetLink"/>
                  <w:rFonts w:ascii="Times New Roman;serif" w:hAnsi="Times New Roman;serif"/>
                  <w:b w:val="false"/>
                  <w:strike w:val="false"/>
                  <w:dstrike w:val="false"/>
                  <w:color w:val="0000FF"/>
                  <w:sz w:val="20"/>
                  <w:u w:val="none"/>
                  <w:effect w:val="none"/>
                </w:rPr>
                <w:t>27</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4329226ff624693a83d953827d95d50_79">
              <w:r>
                <w:rPr>
                  <w:rStyle w:val="InternetLink"/>
                  <w:rFonts w:ascii="Times New Roman;serif" w:hAnsi="Times New Roman;serif"/>
                  <w:b/>
                  <w:color w:val="0000FF"/>
                  <w:sz w:val="20"/>
                  <w:u w:val="single"/>
                </w:rPr>
                <w:t>PART II—OTHER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82">
              <w:r>
                <w:rPr>
                  <w:rStyle w:val="InternetLink"/>
                  <w:rFonts w:ascii="Times New Roman;serif" w:hAnsi="Times New Roman;serif"/>
                  <w:b w:val="false"/>
                  <w:color w:val="0000FF"/>
                  <w:sz w:val="20"/>
                  <w:u w:val="single"/>
                </w:rPr>
                <w:t>Item 1.</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82">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82">
              <w:r>
                <w:rPr>
                  <w:rStyle w:val="InternetLink"/>
                  <w:rFonts w:ascii="Times New Roman;serif" w:hAnsi="Times New Roman;serif"/>
                  <w:b w:val="false"/>
                  <w:strike w:val="false"/>
                  <w:dstrike w:val="false"/>
                  <w:color w:val="0000FF"/>
                  <w:sz w:val="20"/>
                  <w:u w:val="none"/>
                  <w:effect w:val="none"/>
                </w:rPr>
                <w:t>27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85">
              <w:r>
                <w:rPr>
                  <w:rStyle w:val="InternetLink"/>
                  <w:rFonts w:ascii="Times New Roman;serif" w:hAnsi="Times New Roman;serif"/>
                  <w:b w:val="false"/>
                  <w:color w:val="0000FF"/>
                  <w:sz w:val="20"/>
                  <w:u w:val="single"/>
                </w:rPr>
                <w:t>Item 1A.</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85">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85">
              <w:r>
                <w:rPr>
                  <w:rStyle w:val="InternetLink"/>
                  <w:rFonts w:ascii="Times New Roman;serif" w:hAnsi="Times New Roman;serif"/>
                  <w:b w:val="false"/>
                  <w:strike w:val="false"/>
                  <w:dstrike w:val="false"/>
                  <w:color w:val="0000FF"/>
                  <w:sz w:val="20"/>
                  <w:u w:val="none"/>
                  <w:effect w:val="none"/>
                </w:rPr>
                <w:t>27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88">
              <w:r>
                <w:rPr>
                  <w:rStyle w:val="InternetLink"/>
                  <w:rFonts w:ascii="Times New Roman;serif" w:hAnsi="Times New Roman;serif"/>
                  <w:b w:val="false"/>
                  <w:color w:val="0000FF"/>
                  <w:sz w:val="20"/>
                  <w:u w:val="single"/>
                </w:rPr>
                <w:t>Item 2.</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88">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88">
              <w:r>
                <w:rPr>
                  <w:rStyle w:val="InternetLink"/>
                  <w:rFonts w:ascii="Times New Roman;serif" w:hAnsi="Times New Roman;serif"/>
                  <w:b w:val="false"/>
                  <w:strike w:val="false"/>
                  <w:dstrike w:val="false"/>
                  <w:color w:val="0000FF"/>
                  <w:sz w:val="20"/>
                  <w:u w:val="none"/>
                  <w:effect w:val="none"/>
                </w:rPr>
                <w:t>28</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91">
              <w:r>
                <w:rPr>
                  <w:rStyle w:val="InternetLink"/>
                  <w:rFonts w:ascii="Times New Roman;serif" w:hAnsi="Times New Roman;serif"/>
                  <w:b w:val="false"/>
                  <w:color w:val="0000FF"/>
                  <w:sz w:val="20"/>
                  <w:u w:val="single"/>
                </w:rPr>
                <w:t>Item 3.</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91">
              <w:r>
                <w:rPr>
                  <w:rStyle w:val="InternetLink"/>
                  <w:rFonts w:ascii="Times New Roman;serif" w:hAnsi="Times New Roman;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91">
              <w:r>
                <w:rPr>
                  <w:rStyle w:val="InternetLink"/>
                  <w:rFonts w:ascii="Times New Roman;serif" w:hAnsi="Times New Roman;serif"/>
                  <w:b w:val="false"/>
                  <w:strike w:val="false"/>
                  <w:dstrike w:val="false"/>
                  <w:color w:val="0000FF"/>
                  <w:sz w:val="20"/>
                  <w:u w:val="none"/>
                  <w:effect w:val="none"/>
                </w:rPr>
                <w:t>28</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94">
              <w:r>
                <w:rPr>
                  <w:rStyle w:val="InternetLink"/>
                  <w:rFonts w:ascii="Times New Roman;serif" w:hAnsi="Times New Roman;serif"/>
                  <w:b w:val="false"/>
                  <w:color w:val="0000FF"/>
                  <w:sz w:val="20"/>
                  <w:u w:val="single"/>
                </w:rPr>
                <w:t>Item 4.</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94">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94">
              <w:r>
                <w:rPr>
                  <w:rStyle w:val="InternetLink"/>
                  <w:rFonts w:ascii="Times New Roman;serif" w:hAnsi="Times New Roman;serif"/>
                  <w:b w:val="false"/>
                  <w:strike w:val="false"/>
                  <w:dstrike w:val="false"/>
                  <w:color w:val="0000FF"/>
                  <w:sz w:val="20"/>
                  <w:u w:val="none"/>
                  <w:effect w:val="none"/>
                </w:rPr>
                <w:t>28</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97">
              <w:r>
                <w:rPr>
                  <w:rStyle w:val="InternetLink"/>
                  <w:rFonts w:ascii="Times New Roman;serif" w:hAnsi="Times New Roman;serif"/>
                  <w:b w:val="false"/>
                  <w:color w:val="0000FF"/>
                  <w:sz w:val="20"/>
                  <w:u w:val="single"/>
                </w:rPr>
                <w:t>Item 5.</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97">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97">
              <w:r>
                <w:rPr>
                  <w:rStyle w:val="InternetLink"/>
                  <w:rFonts w:ascii="Times New Roman;serif" w:hAnsi="Times New Roman;serif"/>
                  <w:b w:val="false"/>
                  <w:strike w:val="false"/>
                  <w:dstrike w:val="false"/>
                  <w:color w:val="0000FF"/>
                  <w:sz w:val="20"/>
                  <w:u w:val="none"/>
                  <w:effect w:val="none"/>
                </w:rPr>
                <w:t>28</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100">
              <w:r>
                <w:rPr>
                  <w:rStyle w:val="InternetLink"/>
                  <w:rFonts w:ascii="Times New Roman;serif" w:hAnsi="Times New Roman;serif"/>
                  <w:b w:val="false"/>
                  <w:color w:val="0000FF"/>
                  <w:sz w:val="20"/>
                  <w:u w:val="single"/>
                </w:rPr>
                <w:t>Item 6.</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100">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100">
              <w:r>
                <w:rPr>
                  <w:rStyle w:val="InternetLink"/>
                  <w:rFonts w:ascii="Times New Roman;serif" w:hAnsi="Times New Roman;serif"/>
                  <w:b w:val="false"/>
                  <w:strike w:val="false"/>
                  <w:dstrike w:val="false"/>
                  <w:color w:val="0000FF"/>
                  <w:sz w:val="20"/>
                  <w:u w:val="none"/>
                  <w:effect w:val="none"/>
                </w:rPr>
                <w:t>29</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103">
              <w:r>
                <w:rPr>
                  <w:rStyle w:val="InternetLink"/>
                  <w:rFonts w:ascii="Times New Roman;serif" w:hAnsi="Times New Roman;serif"/>
                  <w:b w:val="false"/>
                  <w:color w:val="0000FF"/>
                  <w:sz w:val="20"/>
                  <w:u w:val="single"/>
                </w:rPr>
                <w:t>EXHIBIT INDEX</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103">
              <w:r>
                <w:rPr>
                  <w:rStyle w:val="InternetLink"/>
                  <w:rFonts w:ascii="Times New Roman;serif" w:hAnsi="Times New Roman;serif"/>
                  <w:b w:val="false"/>
                  <w:strike w:val="false"/>
                  <w:dstrike w:val="false"/>
                  <w:color w:val="0000FF"/>
                  <w:sz w:val="20"/>
                  <w:u w:val="none"/>
                  <w:effect w:val="none"/>
                </w:rPr>
                <w:t>29</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4329226ff624693a83d953827d95d50_106">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e4329226ff624693a83d953827d95d50_106">
              <w:r>
                <w:rPr>
                  <w:rStyle w:val="InternetLink"/>
                  <w:rFonts w:ascii="Times New Roman;serif" w:hAnsi="Times New Roman;serif"/>
                  <w:b w:val="false"/>
                  <w:strike w:val="false"/>
                  <w:dstrike w:val="false"/>
                  <w:color w:val="0000FF"/>
                  <w:sz w:val="20"/>
                  <w:u w:val="none"/>
                  <w:effect w:val="none"/>
                </w:rPr>
                <w:t>30</w:t>
              </w:r>
            </w:hyperlink>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this Quarterly Report on Form 10-Q, “we,” “our,” “us,” “Everspin Technologies,” “Everspin,”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95"/>
        <w:gridCol w:w="2416"/>
        <w:gridCol w:w="2373"/>
        <w:gridCol w:w="219"/>
        <w:gridCol w:w="750"/>
        <w:gridCol w:w="113"/>
        <w:gridCol w:w="109"/>
        <w:gridCol w:w="109"/>
        <w:gridCol w:w="109"/>
        <w:gridCol w:w="215"/>
        <w:gridCol w:w="736"/>
        <w:gridCol w:w="161"/>
      </w:tblGrid>
      <w:tr>
        <w:trPr/>
        <w:tc>
          <w:tcPr>
            <w:tcW w:w="2895"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6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66,638 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64,201 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80,272 </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77,789 </w:t>
            </w:r>
          </w:p>
        </w:tc>
        <w:tc>
          <w:tcPr>
            <w:tcW w:w="16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obligations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liabilities, current portion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6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11,406 </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6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liabilities, net of current portion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income tax liability</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15,196 </w:t>
            </w:r>
          </w:p>
        </w:tc>
        <w:tc>
          <w:tcPr>
            <w:tcW w:w="16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108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per share; 5,000,000 shares authorized; no shares issued and outstanding as of September 30, 2025 and December 31, 2024</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100,000,000 shares authorized; 22,756,779 and 22,059,697 shares issued and outstanding as of September 30, 2025 and December 31, 2024, respectively</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(138,651)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6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65,821 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62,593 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80,272 </w:t>
            </w:r>
          </w:p>
        </w:tc>
        <w:tc>
          <w:tcPr>
            <w:tcW w:w="1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77,789 </w:t>
            </w:r>
          </w:p>
        </w:tc>
        <w:tc>
          <w:tcPr>
            <w:tcW w:w="1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51"/>
        <w:gridCol w:w="1438"/>
        <w:gridCol w:w="1442"/>
        <w:gridCol w:w="234"/>
        <w:gridCol w:w="800"/>
        <w:gridCol w:w="120"/>
        <w:gridCol w:w="120"/>
        <w:gridCol w:w="120"/>
        <w:gridCol w:w="120"/>
        <w:gridCol w:w="234"/>
        <w:gridCol w:w="800"/>
        <w:gridCol w:w="120"/>
        <w:gridCol w:w="109"/>
        <w:gridCol w:w="109"/>
        <w:gridCol w:w="109"/>
        <w:gridCol w:w="229"/>
        <w:gridCol w:w="786"/>
        <w:gridCol w:w="118"/>
        <w:gridCol w:w="118"/>
        <w:gridCol w:w="118"/>
        <w:gridCol w:w="118"/>
        <w:gridCol w:w="229"/>
        <w:gridCol w:w="786"/>
        <w:gridCol w:w="177"/>
      </w:tblGrid>
      <w:tr>
        <w:trPr/>
        <w:tc>
          <w:tcPr>
            <w:tcW w:w="165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10,443 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34,807 </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31,190 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royalty, patent, and other revenue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40,399 </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37,159 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licensing, royalty, patent, and other revenue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19,672 </w:t>
            </w:r>
          </w:p>
        </w:tc>
        <w:tc>
          <w:tcPr>
            <w:tcW w:w="11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17,831 </w:t>
            </w:r>
          </w:p>
        </w:tc>
        <w:tc>
          <w:tcPr>
            <w:tcW w:w="17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20,727 </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19,328 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8,751 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26,165 </w:t>
            </w:r>
          </w:p>
        </w:tc>
        <w:tc>
          <w:tcPr>
            <w:tcW w:w="11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24,862 </w:t>
            </w:r>
          </w:p>
        </w:tc>
        <w:tc>
          <w:tcPr>
            <w:tcW w:w="17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(5,534)</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income taxes</w:t>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w:t>
            </w:r>
          </w:p>
        </w:tc>
        <w:tc>
          <w:tcPr>
            <w:tcW w:w="11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7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and comprehensive income (loss)</w:t>
            </w:r>
          </w:p>
        </w:tc>
        <w:tc>
          <w:tcPr>
            <w:tcW w:w="23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1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7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w:t>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22,669,872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21,767,380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22,456,079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21,529,738</w:t>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5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23,147,119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21,985,175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22,456,079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21,529,738</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115" w:type="dxa"/>
        <w:jc w:val="left"/>
        <w:tblInd w:w="0" w:type="dxa"/>
        <w:tblLayout w:type="fixed"/>
        <w:tblCellMar>
          <w:top w:w="28" w:type="dxa"/>
          <w:left w:w="28" w:type="dxa"/>
          <w:bottom w:w="28" w:type="dxa"/>
          <w:right w:w="28" w:type="dxa"/>
        </w:tblCellMar>
      </w:tblPr>
      <w:tblGrid>
        <w:gridCol w:w="1411"/>
        <w:gridCol w:w="1241"/>
        <w:gridCol w:w="1247"/>
        <w:gridCol w:w="304"/>
        <w:gridCol w:w="304"/>
        <w:gridCol w:w="308"/>
        <w:gridCol w:w="110"/>
        <w:gridCol w:w="110"/>
        <w:gridCol w:w="110"/>
        <w:gridCol w:w="248"/>
        <w:gridCol w:w="305"/>
        <w:gridCol w:w="138"/>
        <w:gridCol w:w="109"/>
        <w:gridCol w:w="109"/>
        <w:gridCol w:w="109"/>
        <w:gridCol w:w="196"/>
        <w:gridCol w:w="736"/>
        <w:gridCol w:w="109"/>
        <w:gridCol w:w="109"/>
        <w:gridCol w:w="109"/>
        <w:gridCol w:w="109"/>
        <w:gridCol w:w="196"/>
        <w:gridCol w:w="811"/>
        <w:gridCol w:w="109"/>
        <w:gridCol w:w="109"/>
        <w:gridCol w:w="109"/>
        <w:gridCol w:w="109"/>
        <w:gridCol w:w="224"/>
        <w:gridCol w:w="740"/>
        <w:gridCol w:w="177"/>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6"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op w:val="single" w:sz="6"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op w:val="single" w:sz="6"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9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22,059,697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199,460 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(136,869)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62,593 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stock incentive plans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281,828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9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22,352,145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201,066 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(138,035)</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63,033 </w:t>
            </w:r>
          </w:p>
        </w:tc>
        <w:tc>
          <w:tcPr>
            <w:tcW w:w="17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12,733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stock incentive plans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205,713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9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22,570,591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202,778 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(138,705)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64,075 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59,470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stock incentive plans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126,718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1,407</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916"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22,756,779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204,470 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(138,651)</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65,821 </w:t>
            </w:r>
          </w:p>
        </w:tc>
        <w:tc>
          <w:tcPr>
            <w:tcW w:w="17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2"/>
        <w:gridCol w:w="1151"/>
        <w:gridCol w:w="1157"/>
        <w:gridCol w:w="480"/>
        <w:gridCol w:w="481"/>
        <w:gridCol w:w="308"/>
        <w:gridCol w:w="109"/>
        <w:gridCol w:w="109"/>
        <w:gridCol w:w="109"/>
        <w:gridCol w:w="248"/>
        <w:gridCol w:w="305"/>
        <w:gridCol w:w="138"/>
        <w:gridCol w:w="109"/>
        <w:gridCol w:w="109"/>
        <w:gridCol w:w="109"/>
        <w:gridCol w:w="196"/>
        <w:gridCol w:w="736"/>
        <w:gridCol w:w="109"/>
        <w:gridCol w:w="109"/>
        <w:gridCol w:w="109"/>
        <w:gridCol w:w="109"/>
        <w:gridCol w:w="196"/>
        <w:gridCol w:w="805"/>
        <w:gridCol w:w="109"/>
        <w:gridCol w:w="109"/>
        <w:gridCol w:w="109"/>
        <w:gridCol w:w="109"/>
        <w:gridCol w:w="224"/>
        <w:gridCol w:w="740"/>
        <w:gridCol w:w="182"/>
      </w:tblGrid>
      <w:tr>
        <w:trPr/>
        <w:tc>
          <w:tcPr>
            <w:tcW w:w="133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6"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op w:val="single" w:sz="6"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6"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126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21,080,472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191,569 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(137,650)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53,921 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stock incentive plans</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2024</w:t>
            </w:r>
          </w:p>
        </w:tc>
        <w:tc>
          <w:tcPr>
            <w:tcW w:w="126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21,406,511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193,636 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(137,852)</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55,786 </w:t>
            </w:r>
          </w:p>
        </w:tc>
        <w:tc>
          <w:tcPr>
            <w:tcW w:w="18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26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stock incentive plans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126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21,656,683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195,774 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(140,354)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55,422 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2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stock incentive plans</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1,532</w:t>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2,271</w:t>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2024</w:t>
            </w:r>
          </w:p>
        </w:tc>
        <w:tc>
          <w:tcPr>
            <w:tcW w:w="96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21,833,041 </w:t>
            </w:r>
          </w:p>
        </w:tc>
        <w:tc>
          <w:tcPr>
            <w:tcW w:w="30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197,355 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(138,083)</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59,274 </w:t>
            </w:r>
          </w:p>
        </w:tc>
        <w:tc>
          <w:tcPr>
            <w:tcW w:w="1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EVERSPIN TECHNOLOGIES,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(Unaudited)</w:t>
      </w:r>
    </w:p>
    <w:tbl>
      <w:tblPr>
        <w:tblW w:w="9445" w:type="dxa"/>
        <w:jc w:val="left"/>
        <w:tblInd w:w="0" w:type="dxa"/>
        <w:tblLayout w:type="fixed"/>
        <w:tblCellMar>
          <w:top w:w="28" w:type="dxa"/>
          <w:left w:w="28" w:type="dxa"/>
          <w:bottom w:w="28" w:type="dxa"/>
          <w:right w:w="28" w:type="dxa"/>
        </w:tblCellMar>
      </w:tblPr>
      <w:tblGrid>
        <w:gridCol w:w="2466"/>
        <w:gridCol w:w="2168"/>
        <w:gridCol w:w="2175"/>
        <w:gridCol w:w="227"/>
        <w:gridCol w:w="750"/>
        <w:gridCol w:w="126"/>
        <w:gridCol w:w="126"/>
        <w:gridCol w:w="126"/>
        <w:gridCol w:w="126"/>
        <w:gridCol w:w="227"/>
        <w:gridCol w:w="750"/>
        <w:gridCol w:w="178"/>
      </w:tblGrid>
      <w:tr>
        <w:trPr/>
        <w:tc>
          <w:tcPr>
            <w:tcW w:w="2466"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110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provided by operating activities: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on sale of property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(2,709)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(3,597)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(2,248)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Lease liabilities,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income tax liability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operating activities</w:t>
            </w:r>
          </w:p>
        </w:tc>
        <w:tc>
          <w:tcPr>
            <w:tcW w:w="9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7,336 </w:t>
            </w:r>
          </w:p>
        </w:tc>
        <w:tc>
          <w:tcPr>
            <w:tcW w:w="12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3,266 </w:t>
            </w:r>
          </w:p>
        </w:tc>
        <w:tc>
          <w:tcPr>
            <w:tcW w:w="17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110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and equipment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intangible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investing activities</w:t>
            </w:r>
          </w:p>
        </w:tc>
        <w:tc>
          <w:tcPr>
            <w:tcW w:w="9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(4,733)</w:t>
            </w:r>
          </w:p>
        </w:tc>
        <w:tc>
          <w:tcPr>
            <w:tcW w:w="12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(1,302)</w:t>
            </w:r>
          </w:p>
        </w:tc>
        <w:tc>
          <w:tcPr>
            <w:tcW w:w="17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110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on finance leases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exercise of stock options and purchase of shares in employee stock purchase plan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financing activities</w:t>
            </w:r>
          </w:p>
        </w:tc>
        <w:tc>
          <w:tcPr>
            <w:tcW w:w="9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557 </w:t>
            </w:r>
          </w:p>
        </w:tc>
        <w:tc>
          <w:tcPr>
            <w:tcW w:w="12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678 </w:t>
            </w:r>
          </w:p>
        </w:tc>
        <w:tc>
          <w:tcPr>
            <w:tcW w:w="17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increase in cash and cash equivalents</w:t>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3,160 </w:t>
            </w:r>
          </w:p>
        </w:tc>
        <w:tc>
          <w:tcPr>
            <w:tcW w:w="1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2,642 </w:t>
            </w:r>
          </w:p>
        </w:tc>
        <w:tc>
          <w:tcPr>
            <w:tcW w:w="17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at beginning of period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42,097 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36,946 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at end of period</w:t>
            </w:r>
          </w:p>
        </w:tc>
        <w:tc>
          <w:tcPr>
            <w:tcW w:w="2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45,257 </w:t>
            </w:r>
          </w:p>
        </w:tc>
        <w:tc>
          <w:tcPr>
            <w:tcW w:w="1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39,588 </w:t>
            </w:r>
          </w:p>
        </w:tc>
        <w:tc>
          <w:tcPr>
            <w:tcW w:w="17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Supplementary cash flow information:</w:t>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taxes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flows paid for operating leases</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1,061 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1,049 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cash flows paid for finance leases</w:t>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17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Non-cash investing and financing activities:</w:t>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Right-of-use assets obtained in exchange for finance lease liabilities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and equipment in accounts payable and accrued liabilities</w:t>
            </w:r>
          </w:p>
        </w:tc>
        <w:tc>
          <w:tcPr>
            <w:tcW w:w="2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302 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 Organization and Nature of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Everspin Technologies, Inc. (“we”, “our”, “us”, “Everspin Technologies”, “Everspin”, or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2024,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nine months ended September 30, 2025, are not necessarily indicative of the results to be expected for the year ending December 31, 2025 or for any other interim period or for any other future year.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financial statements and related financial information should be read in conjunction with the audited financial statements and the related notes thereto for the year ended December 31, 2024, included in the Company’s Annual Report on Form 10-K filed with the SEC.</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reclassifications of previously reported amounts have been made to conform to the current period presentation. Specifically, interest income was previously presented within other income, net for the three and nine months ended September 30, 2024 in the Quarterly Report on Form 10-Q filed with the SEC on November 5, 2024. Interest income is presented separately in the unaudited condensed statement of operations and comprehensive income (loss) within these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net realizable value, deferred tax assets and related valuation allowances, and stock-based compensation. The Company believes its estimates and assumptions are reasonable; however, actual results may differ from the Company’s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MRAM technology solutions are sold as products and services through MRAM-based products, licenses and royalties of MRAM and magnetic sensor technology and backend foundry and design services. The Company identifies and manages the business activities in one reportable segment. The Company’s Chief Executive Officer is the Chief Operating Decision Maker (CODM). The CODM utilizes the Company’s long-range plan, which includes product development roadmaps and long-range financial models, as a key input to resource allocation. The CODM makes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resource allocation, assesses performance of the business, and monitors budget versus actual results using net income. Significant segment expenses within net income are those separately presented on the Company’s statements of operations and comprehensive income (loss), which include cost of sales, research and development, general and administrative, and sales and marketing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short-term investments with maturity dates of 90 days or less at the date of purchase to be cash equivalents. The Company’s cash equivalents consist solely of money market funds.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 (in thousands):</w:t>
      </w:r>
    </w:p>
    <w:tbl>
      <w:tblPr>
        <w:tblW w:w="6955" w:type="dxa"/>
        <w:jc w:val="center"/>
        <w:tblInd w:w="0" w:type="dxa"/>
        <w:tblLayout w:type="fixed"/>
        <w:tblCellMar>
          <w:top w:w="28" w:type="dxa"/>
          <w:left w:w="28" w:type="dxa"/>
          <w:bottom w:w="28" w:type="dxa"/>
          <w:right w:w="28" w:type="dxa"/>
        </w:tblCellMar>
      </w:tblPr>
      <w:tblGrid>
        <w:gridCol w:w="1576"/>
        <w:gridCol w:w="1385"/>
        <w:gridCol w:w="1389"/>
        <w:gridCol w:w="257"/>
        <w:gridCol w:w="750"/>
        <w:gridCol w:w="132"/>
        <w:gridCol w:w="109"/>
        <w:gridCol w:w="109"/>
        <w:gridCol w:w="109"/>
        <w:gridCol w:w="221"/>
        <w:gridCol w:w="757"/>
        <w:gridCol w:w="161"/>
      </w:tblGrid>
      <w:tr>
        <w:trPr/>
        <w:tc>
          <w:tcPr>
            <w:tcW w:w="15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accounts receivable </w:t>
            </w:r>
          </w:p>
        </w:tc>
        <w:tc>
          <w:tcPr>
            <w:tcW w:w="2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9,016 </w:t>
            </w:r>
          </w:p>
        </w:tc>
        <w:tc>
          <w:tcPr>
            <w:tcW w:w="13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11,944 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product returns and price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13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11,722 </w:t>
            </w:r>
          </w:p>
        </w:tc>
        <w:tc>
          <w:tcPr>
            <w:tcW w:w="1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tbl>
      <w:tblPr>
        <w:tblW w:w="9065" w:type="dxa"/>
        <w:jc w:val="center"/>
        <w:tblInd w:w="0" w:type="dxa"/>
        <w:tblLayout w:type="fixed"/>
        <w:tblCellMar>
          <w:top w:w="28" w:type="dxa"/>
          <w:left w:w="28" w:type="dxa"/>
          <w:bottom w:w="28" w:type="dxa"/>
          <w:right w:w="28" w:type="dxa"/>
        </w:tblCellMar>
      </w:tblPr>
      <w:tblGrid>
        <w:gridCol w:w="391"/>
        <w:gridCol w:w="343"/>
        <w:gridCol w:w="346"/>
        <w:gridCol w:w="109"/>
        <w:gridCol w:w="109"/>
        <w:gridCol w:w="109"/>
        <w:gridCol w:w="180"/>
        <w:gridCol w:w="181"/>
        <w:gridCol w:w="333"/>
        <w:gridCol w:w="134"/>
        <w:gridCol w:w="134"/>
        <w:gridCol w:w="134"/>
        <w:gridCol w:w="180"/>
        <w:gridCol w:w="181"/>
        <w:gridCol w:w="333"/>
        <w:gridCol w:w="109"/>
        <w:gridCol w:w="109"/>
        <w:gridCol w:w="109"/>
        <w:gridCol w:w="180"/>
        <w:gridCol w:w="181"/>
        <w:gridCol w:w="314"/>
        <w:gridCol w:w="126"/>
        <w:gridCol w:w="126"/>
        <w:gridCol w:w="126"/>
        <w:gridCol w:w="180"/>
        <w:gridCol w:w="181"/>
        <w:gridCol w:w="314"/>
        <w:gridCol w:w="109"/>
        <w:gridCol w:w="109"/>
        <w:gridCol w:w="109"/>
        <w:gridCol w:w="344"/>
        <w:gridCol w:w="344"/>
        <w:gridCol w:w="857"/>
        <w:gridCol w:w="132"/>
        <w:gridCol w:w="132"/>
        <w:gridCol w:w="132"/>
        <w:gridCol w:w="314"/>
        <w:gridCol w:w="314"/>
        <w:gridCol w:w="917"/>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 xml:space="preserve">September 30,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 xml:space="preserve">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op w:val="single" w:sz="6" w:space="0" w:color="000000"/>
            </w:tcBorders>
            <w:shd w:fill="FFFFFF" w:val="clear"/>
            <w:tcMar>
              <w:top w:w="30" w:type="dxa"/>
              <w:left w:w="0" w:type="dxa"/>
              <w:bottom w:w="0" w:type="dxa"/>
              <w:right w:w="0" w:type="dxa"/>
            </w:tcMar>
            <w:vAlign w:val="center"/>
          </w:tcPr>
          <w:p>
            <w:pPr>
              <w:pStyle w:val="Normal"/>
              <w:bidi w:val="0"/>
              <w:jc w:val="left"/>
              <w:rPr/>
            </w:pPr>
            <w:r>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op w:val="single" w:sz="6"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0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*Less than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1— Observable inputs such as quoted prices for identical assets or liabilities in active markets;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2— Inputs, other than quoted prices for identical assets or liabilities in active markets, which are observable either directly or indirectly; 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in which there is little or no market data requiring the reporting entity to develop its own assumptions.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value of accounts receivable, accounts payable, and other accruals readily convertible into cash approximate fair value because of the short-term nature of the instruments. The Company’s financial instruments consist of Level 1 assets. Where quoted prices are available in an active market, securities are classified as Level 1. Level 1 assets consist of highly liquid money market funds that are included in cash equivalents.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the Company’s financial assets and liabilities measured at fair value on a recurring basis (in thousands):</w:t>
      </w:r>
    </w:p>
    <w:tbl>
      <w:tblPr>
        <w:tblW w:w="7439" w:type="dxa"/>
        <w:jc w:val="center"/>
        <w:tblInd w:w="0" w:type="dxa"/>
        <w:tblLayout w:type="fixed"/>
        <w:tblCellMar>
          <w:top w:w="28" w:type="dxa"/>
          <w:left w:w="28" w:type="dxa"/>
          <w:bottom w:w="28" w:type="dxa"/>
          <w:right w:w="28" w:type="dxa"/>
        </w:tblCellMar>
      </w:tblPr>
      <w:tblGrid>
        <w:gridCol w:w="1040"/>
        <w:gridCol w:w="913"/>
        <w:gridCol w:w="926"/>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lineRule="auto" w:line="288" w:before="0" w:after="240"/>
        <w:jc w:val="left"/>
        <w:rPr/>
      </w:pPr>
      <w:r>
        <w:rPr>
          <w:rFonts w:ascii="Times New Roman;serif" w:hAnsi="Times New Roman;serif"/>
          <w:b w:val="false"/>
          <w:color w:val="000000"/>
          <w:sz w:val="20"/>
        </w:rPr>
        <w:t xml:space="preserve">The Company adopted Accounting Standards Update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improves income tax disclosure requirements, primarily through disaggregated information about effective income tax rate reconciliation and additional disclosures regarding income taxes paid. The guidance is effective for fiscal years beginning after December 15, 2024, and interim periods within fiscal years beginning after December 15, 2024.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adopted ASU 2023-09 effective January 1, 2025, on a prospective basis. The adoption of ASU 2023-09 did not have a significant impact to the condensed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Under Evaluation</w:t>
      </w:r>
    </w:p>
    <w:p>
      <w:pPr>
        <w:pStyle w:val="TextBody"/>
        <w:bidi w:val="0"/>
        <w:spacing w:lineRule="auto" w:line="288" w:before="0" w:after="240"/>
        <w:ind w:left="0" w:right="0" w:firstLine="540"/>
        <w:jc w:val="left"/>
        <w:rPr/>
      </w:pPr>
      <w:r>
        <w:rPr>
          <w:rFonts w:ascii="Times New Roman;serif" w:hAnsi="Times New Roman;serif"/>
          <w:b w:val="false"/>
          <w:color w:val="000000"/>
          <w:sz w:val="20"/>
        </w:rPr>
        <w:t xml:space="preserve">In November 2024, the Financial Accounting Standards Board (FASB) issued ASU 2024-03, </w:t>
      </w:r>
      <w:r>
        <w:rPr>
          <w:rFonts w:ascii="Times New Roman;serif" w:hAnsi="Times New Roman;serif"/>
          <w:b w:val="false"/>
          <w:i/>
          <w:color w:val="000000"/>
          <w:sz w:val="20"/>
        </w:rPr>
        <w:t>Income Statement – Reporting Comprehensive Income – Expense Disaggregation Disclosures (Topic 220): Disaggregation of Income Statement Expenses</w:t>
      </w:r>
      <w:r>
        <w:rPr>
          <w:rFonts w:ascii="Times New Roman;serif" w:hAnsi="Times New Roman;serif"/>
          <w:b w:val="false"/>
          <w:color w:val="000000"/>
          <w:sz w:val="20"/>
        </w:rPr>
        <w:t>, which requires additional disclosure of certain amounts included in the expense captions presented on the statement of operations, as well as disclosures about selling expenses. ASU 2024-03 is effective for the Company’s annual reporting periods beginning after December 15, 2026 and interim reporting periods beginning after December 15, 2027, on a prospective basis, with the option for retrospective application. Early adoption is permitted for annual financial statements that have not yet been issued. The Company is currently evaluating the impact that the standard will have on its condensed financial statements.</w:t>
      </w:r>
    </w:p>
    <w:p>
      <w:pPr>
        <w:pStyle w:val="TextBody"/>
        <w:bidi w:val="0"/>
        <w:spacing w:lineRule="auto" w:line="288" w:before="0" w:after="240"/>
        <w:ind w:left="0" w:right="0" w:firstLine="540"/>
        <w:jc w:val="left"/>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 xml:space="preserve">which provides a practical expedient that all entities can use when estimating expected credit losses for current accounts receivable and current contract assets arising from transactions accounted for under Accounting Standards Codification (ASC) Topic 606.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the Company’s annual reporting periods beginning after December 15, 2025, and interim reporting periods in those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years. Entities that elect the practical expedient and, if applicable, make the accounting policy election are required to apply the amendments prospectively. The Company is currently evaluating the impact that the standard will have on its condensed financial statements.</w:t>
      </w:r>
    </w:p>
    <w:p>
      <w:pPr>
        <w:pStyle w:val="TextBody"/>
        <w:bidi w:val="0"/>
        <w:spacing w:lineRule="auto" w:line="288" w:before="0" w:after="24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(Topic 350): Targeted Improvements to the Accounting for Internal-Use Software</w:t>
      </w:r>
      <w:r>
        <w:rPr>
          <w:rFonts w:ascii="Times New Roman;serif" w:hAnsi="Times New Roman;serif"/>
          <w:b w:val="false"/>
          <w:color w:val="000000"/>
          <w:sz w:val="20"/>
        </w:rPr>
        <w:t>, which updates guidance for recognizing software development costs to better align the accounting with how software is developed. The update removes references to development stages, introduces a probable completion threshold, and incorporates website development costs into the internal-use software framework under ASC Topic 350. ASU 2025-06 is effective for annual reporting periods beginning after December 15, 2027, and interim reporting periods within those fiscal years, on a prospective basis, with the option for retrospective application. Early adoption is permitted for annual financial statements that have not yet been issued. The Company is currently evaluating the impact that the standard will have on its condensed financial statements.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reviewed all other recently issued accounting pronouncements and concluded that they were either not applicable or not expected to have a significant impact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Statements of Operations and Comprehensive Income (Loss) Components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sells products to its distributors, original design manufacturers (ODMs), and original equipment manufacturers (OEMs). The Company also recognizes revenue under licensing, patent, and royalty agreements with some customers.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sales channel (in thousands):</w:t>
      </w:r>
    </w:p>
    <w:tbl>
      <w:tblPr>
        <w:tblW w:w="7071" w:type="dxa"/>
        <w:jc w:val="center"/>
        <w:tblInd w:w="0" w:type="dxa"/>
        <w:tblLayout w:type="fixed"/>
        <w:tblCellMar>
          <w:top w:w="28" w:type="dxa"/>
          <w:left w:w="28" w:type="dxa"/>
          <w:bottom w:w="28" w:type="dxa"/>
          <w:right w:w="28" w:type="dxa"/>
        </w:tblCellMar>
      </w:tblPr>
      <w:tblGrid>
        <w:gridCol w:w="499"/>
        <w:gridCol w:w="439"/>
        <w:gridCol w:w="443"/>
        <w:gridCol w:w="235"/>
        <w:gridCol w:w="803"/>
        <w:gridCol w:w="121"/>
        <w:gridCol w:w="121"/>
        <w:gridCol w:w="121"/>
        <w:gridCol w:w="121"/>
        <w:gridCol w:w="235"/>
        <w:gridCol w:w="803"/>
        <w:gridCol w:w="121"/>
        <w:gridCol w:w="109"/>
        <w:gridCol w:w="109"/>
        <w:gridCol w:w="109"/>
        <w:gridCol w:w="230"/>
        <w:gridCol w:w="789"/>
        <w:gridCol w:w="119"/>
        <w:gridCol w:w="119"/>
        <w:gridCol w:w="119"/>
        <w:gridCol w:w="119"/>
        <w:gridCol w:w="230"/>
        <w:gridCol w:w="789"/>
        <w:gridCol w:w="168"/>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w:t>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12,094 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28,743 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29,666 </w:t>
            </w:r>
          </w:p>
        </w:tc>
        <w:tc>
          <w:tcPr>
            <w:tcW w:w="16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Non-distributor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40,399 </w:t>
            </w:r>
          </w:p>
        </w:tc>
        <w:tc>
          <w:tcPr>
            <w:tcW w:w="1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37,159 </w:t>
            </w:r>
          </w:p>
        </w:tc>
        <w:tc>
          <w:tcPr>
            <w:tcW w:w="16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timing of recognition (in thousands):</w:t>
      </w:r>
    </w:p>
    <w:tbl>
      <w:tblPr>
        <w:tblW w:w="6934" w:type="dxa"/>
        <w:jc w:val="center"/>
        <w:tblInd w:w="0" w:type="dxa"/>
        <w:tblLayout w:type="fixed"/>
        <w:tblCellMar>
          <w:top w:w="28" w:type="dxa"/>
          <w:left w:w="28" w:type="dxa"/>
          <w:bottom w:w="28" w:type="dxa"/>
          <w:right w:w="28" w:type="dxa"/>
        </w:tblCellMar>
      </w:tblPr>
      <w:tblGrid>
        <w:gridCol w:w="450"/>
        <w:gridCol w:w="396"/>
        <w:gridCol w:w="398"/>
        <w:gridCol w:w="235"/>
        <w:gridCol w:w="803"/>
        <w:gridCol w:w="121"/>
        <w:gridCol w:w="121"/>
        <w:gridCol w:w="121"/>
        <w:gridCol w:w="121"/>
        <w:gridCol w:w="235"/>
        <w:gridCol w:w="803"/>
        <w:gridCol w:w="121"/>
        <w:gridCol w:w="109"/>
        <w:gridCol w:w="109"/>
        <w:gridCol w:w="109"/>
        <w:gridCol w:w="230"/>
        <w:gridCol w:w="789"/>
        <w:gridCol w:w="119"/>
        <w:gridCol w:w="119"/>
        <w:gridCol w:w="119"/>
        <w:gridCol w:w="119"/>
        <w:gridCol w:w="230"/>
        <w:gridCol w:w="789"/>
        <w:gridCol w:w="168"/>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12,833 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10,557 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35,407 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31,586 </w:t>
            </w:r>
          </w:p>
        </w:tc>
        <w:tc>
          <w:tcPr>
            <w:tcW w:w="16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40,399 </w:t>
            </w:r>
          </w:p>
        </w:tc>
        <w:tc>
          <w:tcPr>
            <w:tcW w:w="1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37,159 </w:t>
            </w:r>
          </w:p>
        </w:tc>
        <w:tc>
          <w:tcPr>
            <w:tcW w:w="16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type (in thousands):</w:t>
      </w:r>
    </w:p>
    <w:tbl>
      <w:tblPr>
        <w:tblW w:w="6950" w:type="dxa"/>
        <w:jc w:val="center"/>
        <w:tblInd w:w="0" w:type="dxa"/>
        <w:tblLayout w:type="fixed"/>
        <w:tblCellMar>
          <w:top w:w="28" w:type="dxa"/>
          <w:left w:w="28" w:type="dxa"/>
          <w:bottom w:w="28" w:type="dxa"/>
          <w:right w:w="28" w:type="dxa"/>
        </w:tblCellMar>
      </w:tblPr>
      <w:tblGrid>
        <w:gridCol w:w="456"/>
        <w:gridCol w:w="401"/>
        <w:gridCol w:w="403"/>
        <w:gridCol w:w="235"/>
        <w:gridCol w:w="803"/>
        <w:gridCol w:w="121"/>
        <w:gridCol w:w="121"/>
        <w:gridCol w:w="121"/>
        <w:gridCol w:w="121"/>
        <w:gridCol w:w="235"/>
        <w:gridCol w:w="803"/>
        <w:gridCol w:w="121"/>
        <w:gridCol w:w="109"/>
        <w:gridCol w:w="109"/>
        <w:gridCol w:w="109"/>
        <w:gridCol w:w="230"/>
        <w:gridCol w:w="789"/>
        <w:gridCol w:w="119"/>
        <w:gridCol w:w="119"/>
        <w:gridCol w:w="119"/>
        <w:gridCol w:w="119"/>
        <w:gridCol w:w="230"/>
        <w:gridCol w:w="789"/>
        <w:gridCol w:w="168"/>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10,443 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34,807 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31,190 </w:t>
            </w:r>
          </w:p>
        </w:tc>
        <w:tc>
          <w:tcPr>
            <w:tcW w:w="16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40,399 </w:t>
            </w:r>
          </w:p>
        </w:tc>
        <w:tc>
          <w:tcPr>
            <w:tcW w:w="1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37,159 </w:t>
            </w:r>
          </w:p>
        </w:tc>
        <w:tc>
          <w:tcPr>
            <w:tcW w:w="16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in three primary geographic regions: Asia-Pacific (APAC); North America; and Europe, Middle East and Africa (EMEA). The Company recognizes revenue by geography based on the region in which the Company’s products are sold, and not to where the end products in which they are assembled are shipped. The Company’s revenue by region for the periods indicated was as follows (in thousands):</w:t>
      </w:r>
    </w:p>
    <w:tbl>
      <w:tblPr>
        <w:tblW w:w="6995" w:type="dxa"/>
        <w:jc w:val="center"/>
        <w:tblInd w:w="0" w:type="dxa"/>
        <w:tblLayout w:type="fixed"/>
        <w:tblCellMar>
          <w:top w:w="28" w:type="dxa"/>
          <w:left w:w="28" w:type="dxa"/>
          <w:bottom w:w="28" w:type="dxa"/>
          <w:right w:w="28" w:type="dxa"/>
        </w:tblCellMar>
      </w:tblPr>
      <w:tblGrid>
        <w:gridCol w:w="470"/>
        <w:gridCol w:w="415"/>
        <w:gridCol w:w="420"/>
        <w:gridCol w:w="235"/>
        <w:gridCol w:w="803"/>
        <w:gridCol w:w="121"/>
        <w:gridCol w:w="121"/>
        <w:gridCol w:w="121"/>
        <w:gridCol w:w="121"/>
        <w:gridCol w:w="235"/>
        <w:gridCol w:w="803"/>
        <w:gridCol w:w="121"/>
        <w:gridCol w:w="109"/>
        <w:gridCol w:w="109"/>
        <w:gridCol w:w="109"/>
        <w:gridCol w:w="230"/>
        <w:gridCol w:w="789"/>
        <w:gridCol w:w="119"/>
        <w:gridCol w:w="119"/>
        <w:gridCol w:w="119"/>
        <w:gridCol w:w="119"/>
        <w:gridCol w:w="230"/>
        <w:gridCol w:w="789"/>
        <w:gridCol w:w="168"/>
      </w:tblGrid>
      <w:tr>
        <w:trPr/>
        <w:tc>
          <w:tcPr>
            <w:tcW w:w="4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7,923 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24,412 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21,163 </w:t>
            </w:r>
          </w:p>
        </w:tc>
        <w:tc>
          <w:tcPr>
            <w:tcW w:w="16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40,399 </w:t>
            </w:r>
          </w:p>
        </w:tc>
        <w:tc>
          <w:tcPr>
            <w:tcW w:w="1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37,159 </w:t>
            </w:r>
          </w:p>
        </w:tc>
        <w:tc>
          <w:tcPr>
            <w:tcW w:w="16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14, 2024, the Company received a strategic award to develop a long-term plan to provide manufacturing services for aerospace and defense segments (the Award). Under the Award, the Company will provide a plan to mitigate risks to its MRAM manufacturing supply chain. Pursuant to the Award, the Company may receive cash payments upon the achievement of certain technical tasks and deliverables. The Award allows for milestones totaling up to approximately $14.6 million for the Company over a span of 2.5 years.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Award is not in the ordinary course of the Company’s business and hence not a contract with a customer. The Company has applied the revenue recognition principles under ASC 606 by analogy.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the Company billed $1.0 million and $3.0 million, respectively, relating to the Award and recorded $1.2 million and $2.5 million, respectively, of other income. The Company has recorded this other income using an input method based on costs incurred to date relative to the total expected costs of the Award over its term. The remaining $0.5 million of the billed amount for the Award is recorded as contract obligations liability on the condensed balance sheets. This amount represents the Company’s obligation to perform future services for which the Company has received or is entitled to receive payment but which are not yet fulfilled.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Balance Sheet Components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 (in thousands):</w:t>
      </w:r>
    </w:p>
    <w:tbl>
      <w:tblPr>
        <w:tblW w:w="4107" w:type="dxa"/>
        <w:jc w:val="center"/>
        <w:tblInd w:w="0" w:type="dxa"/>
        <w:tblLayout w:type="fixed"/>
        <w:tblCellMar>
          <w:top w:w="28" w:type="dxa"/>
          <w:left w:w="28" w:type="dxa"/>
          <w:bottom w:w="28" w:type="dxa"/>
          <w:right w:w="28" w:type="dxa"/>
        </w:tblCellMar>
      </w:tblPr>
      <w:tblGrid>
        <w:gridCol w:w="543"/>
        <w:gridCol w:w="476"/>
        <w:gridCol w:w="481"/>
        <w:gridCol w:w="231"/>
        <w:gridCol w:w="790"/>
        <w:gridCol w:w="119"/>
        <w:gridCol w:w="109"/>
        <w:gridCol w:w="109"/>
        <w:gridCol w:w="109"/>
        <w:gridCol w:w="245"/>
        <w:gridCol w:w="716"/>
        <w:gridCol w:w="179"/>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Raw materials </w:t>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7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Work-in-process </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Finished goods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3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11,819 </w:t>
            </w:r>
          </w:p>
        </w:tc>
        <w:tc>
          <w:tcPr>
            <w:tcW w:w="1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9,110 </w:t>
            </w:r>
          </w:p>
        </w:tc>
        <w:tc>
          <w:tcPr>
            <w:tcW w:w="17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5666" w:type="dxa"/>
        <w:jc w:val="center"/>
        <w:tblInd w:w="0" w:type="dxa"/>
        <w:tblLayout w:type="fixed"/>
        <w:tblCellMar>
          <w:top w:w="28" w:type="dxa"/>
          <w:left w:w="28" w:type="dxa"/>
          <w:bottom w:w="28" w:type="dxa"/>
          <w:right w:w="28" w:type="dxa"/>
        </w:tblCellMar>
      </w:tblPr>
      <w:tblGrid>
        <w:gridCol w:w="1108"/>
        <w:gridCol w:w="974"/>
        <w:gridCol w:w="978"/>
        <w:gridCol w:w="231"/>
        <w:gridCol w:w="790"/>
        <w:gridCol w:w="119"/>
        <w:gridCol w:w="109"/>
        <w:gridCol w:w="109"/>
        <w:gridCol w:w="109"/>
        <w:gridCol w:w="221"/>
        <w:gridCol w:w="757"/>
        <w:gridCol w:w="161"/>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15,147 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14,199 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102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18,216 </w:t>
            </w:r>
          </w:p>
        </w:tc>
        <w:tc>
          <w:tcPr>
            <w:tcW w:w="11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16,390 </w:t>
            </w:r>
          </w:p>
        </w:tc>
        <w:tc>
          <w:tcPr>
            <w:tcW w:w="16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3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1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the depreciation expense was $0.4 million and $0.4 million, respectively. For the nine months ended September 30, 2025 and 2024, depreciation expense was $1.1 million and $1.2 million,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gross carrying amounts and accumulated amortization of intangible assets are as follows at the dates indicated (in thousands):</w:t>
      </w:r>
    </w:p>
    <w:tbl>
      <w:tblPr>
        <w:tblW w:w="7094" w:type="dxa"/>
        <w:jc w:val="left"/>
        <w:tblInd w:w="0" w:type="dxa"/>
        <w:tblLayout w:type="fixed"/>
        <w:tblCellMar>
          <w:top w:w="28" w:type="dxa"/>
          <w:left w:w="28" w:type="dxa"/>
          <w:bottom w:w="28" w:type="dxa"/>
          <w:right w:w="28" w:type="dxa"/>
        </w:tblCellMar>
      </w:tblPr>
      <w:tblGrid>
        <w:gridCol w:w="705"/>
        <w:gridCol w:w="621"/>
        <w:gridCol w:w="624"/>
        <w:gridCol w:w="285"/>
        <w:gridCol w:w="285"/>
        <w:gridCol w:w="286"/>
        <w:gridCol w:w="109"/>
        <w:gridCol w:w="109"/>
        <w:gridCol w:w="109"/>
        <w:gridCol w:w="280"/>
        <w:gridCol w:w="820"/>
        <w:gridCol w:w="145"/>
        <w:gridCol w:w="109"/>
        <w:gridCol w:w="109"/>
        <w:gridCol w:w="109"/>
        <w:gridCol w:w="239"/>
        <w:gridCol w:w="717"/>
        <w:gridCol w:w="125"/>
        <w:gridCol w:w="109"/>
        <w:gridCol w:w="109"/>
        <w:gridCol w:w="109"/>
        <w:gridCol w:w="211"/>
        <w:gridCol w:w="61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Life</w:t>
              <w:br/>
              <w:t>(in years)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w:t>
              <w:br/>
              <w:t>Carrying</w:t>
              <w:br/>
              <w:t>Amount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85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4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2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94" w:type="dxa"/>
        <w:jc w:val="left"/>
        <w:tblInd w:w="0" w:type="dxa"/>
        <w:tblLayout w:type="fixed"/>
        <w:tblCellMar>
          <w:top w:w="28" w:type="dxa"/>
          <w:left w:w="28" w:type="dxa"/>
          <w:bottom w:w="28" w:type="dxa"/>
          <w:right w:w="28" w:type="dxa"/>
        </w:tblCellMar>
      </w:tblPr>
      <w:tblGrid>
        <w:gridCol w:w="705"/>
        <w:gridCol w:w="621"/>
        <w:gridCol w:w="624"/>
        <w:gridCol w:w="285"/>
        <w:gridCol w:w="285"/>
        <w:gridCol w:w="286"/>
        <w:gridCol w:w="109"/>
        <w:gridCol w:w="109"/>
        <w:gridCol w:w="109"/>
        <w:gridCol w:w="280"/>
        <w:gridCol w:w="820"/>
        <w:gridCol w:w="145"/>
        <w:gridCol w:w="109"/>
        <w:gridCol w:w="109"/>
        <w:gridCol w:w="109"/>
        <w:gridCol w:w="284"/>
        <w:gridCol w:w="649"/>
        <w:gridCol w:w="148"/>
        <w:gridCol w:w="109"/>
        <w:gridCol w:w="109"/>
        <w:gridCol w:w="109"/>
        <w:gridCol w:w="211"/>
        <w:gridCol w:w="61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Life</w:t>
              <w:br/>
              <w:t>(in years)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w:t>
              <w:br/>
              <w:t>Carrying</w:t>
              <w:br/>
              <w:t>Amount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85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4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4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4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the amortization expense for the intangible assets was $0.4 million and zero, respectively. For the nine months ended September 30, 2025 and 2024, the amortization expense for the intangible assets was $1.3 million and zero,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Accrued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w:t>
      </w:r>
    </w:p>
    <w:tbl>
      <w:tblPr>
        <w:tblW w:w="4617" w:type="dxa"/>
        <w:jc w:val="center"/>
        <w:tblInd w:w="0" w:type="dxa"/>
        <w:tblLayout w:type="fixed"/>
        <w:tblCellMar>
          <w:top w:w="28" w:type="dxa"/>
          <w:left w:w="28" w:type="dxa"/>
          <w:bottom w:w="28" w:type="dxa"/>
          <w:right w:w="28" w:type="dxa"/>
        </w:tblCellMar>
      </w:tblPr>
      <w:tblGrid>
        <w:gridCol w:w="760"/>
        <w:gridCol w:w="669"/>
        <w:gridCol w:w="671"/>
        <w:gridCol w:w="247"/>
        <w:gridCol w:w="721"/>
        <w:gridCol w:w="127"/>
        <w:gridCol w:w="109"/>
        <w:gridCol w:w="109"/>
        <w:gridCol w:w="109"/>
        <w:gridCol w:w="235"/>
        <w:gridCol w:w="688"/>
        <w:gridCol w:w="172"/>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Payroll-related expenses</w:t>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4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2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7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March 2025, the Company renewed a contractual arrangement with a customer for the development of a strategic radiation hardened (“RAD-Hard”) field programmable gate array product. The total consideration in the arrangement is $1.2 million. The Company is recognizing revenue related to the performance obligation over time using the input method based on costs incurred to date relative to the total expected costs of the contract and began recognizing revenue in the first quarter of 2025. As of September 30, 2025, the Company has billed $0.7 million for performance under the agreement. The Company has recognized an immaterial amount of revenue for the three months ended September 30, 2025, and $0.7 million for the nine months ended September 30, 2025, with an immaterial amount in contract assets on the condensed balance sheets.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concluded this contractual arrangement represents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executed a contractual arrangement with a customer to provide engineering services supporting the customer’s development that uses capabilities of MRAM for in-memory computing. The total consideration in the arrangement is $4.1 million. The Company is recognizing revenue related to the performance obligation over time using the input method based on costs incurred to date relative to the total expected costs of the contract and began recognizing revenue in the first quarter of 2025. As of September 30, 2025, the Company has billed $4.1 million for the performance under the agreement and has recognized $0.9 million and $3.1 million in revenue for the three and nine months ended September 30, 2025, with $0.9 million in deferred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concluded that this contractual arrangement represents one arrangement and assessed the nature of the promises made to the customer to determine whether the performance obligations were distinct. The Company determined that the engineering services are not separately identifiable from the promised development services, as the engineering services are highly interrelated with, and dependent upon, the overall development services over the life of the contract. Accordingly, the Company concluded that the engineering services are not distinct within the context of the contract and, therefore, should be combined with the other promised services into a single performance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5. Leases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leases consist primarily of office space and manufacturing facilities expiring at various dates through 2029. Finance leases relate to server leases expiring at various dates through 2029. The Company’s lease agreements do not contain any material residual value guarantees or material restrictive covenants.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undiscounted future non-cancellable lease payments under the Company’s operating and finance leases were as follows (in thousands):</w:t>
      </w:r>
    </w:p>
    <w:tbl>
      <w:tblPr>
        <w:tblW w:w="4625" w:type="dxa"/>
        <w:jc w:val="center"/>
        <w:tblInd w:w="0" w:type="dxa"/>
        <w:tblLayout w:type="fixed"/>
        <w:tblCellMar>
          <w:top w:w="28" w:type="dxa"/>
          <w:left w:w="28" w:type="dxa"/>
          <w:bottom w:w="28" w:type="dxa"/>
          <w:right w:w="28" w:type="dxa"/>
        </w:tblCellMar>
      </w:tblPr>
      <w:tblGrid>
        <w:gridCol w:w="1320"/>
        <w:gridCol w:w="1160"/>
        <w:gridCol w:w="1164"/>
        <w:gridCol w:w="211"/>
        <w:gridCol w:w="616"/>
        <w:gridCol w:w="154"/>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September 30, 2025</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2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82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 net of current portion</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operating lease liabilities was as follows:</w:t>
      </w:r>
    </w:p>
    <w:tbl>
      <w:tblPr>
        <w:tblW w:w="6573" w:type="dxa"/>
        <w:jc w:val="center"/>
        <w:tblInd w:w="0" w:type="dxa"/>
        <w:tblLayout w:type="fixed"/>
        <w:tblCellMar>
          <w:top w:w="28" w:type="dxa"/>
          <w:left w:w="28" w:type="dxa"/>
          <w:bottom w:w="28" w:type="dxa"/>
          <w:right w:w="28" w:type="dxa"/>
        </w:tblCellMar>
      </w:tblPr>
      <w:tblGrid>
        <w:gridCol w:w="1419"/>
        <w:gridCol w:w="1246"/>
        <w:gridCol w:w="1250"/>
        <w:gridCol w:w="255"/>
        <w:gridCol w:w="256"/>
        <w:gridCol w:w="632"/>
        <w:gridCol w:w="109"/>
        <w:gridCol w:w="109"/>
        <w:gridCol w:w="109"/>
        <w:gridCol w:w="255"/>
        <w:gridCol w:w="256"/>
        <w:gridCol w:w="67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14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finance lease liabilities was as follows:</w:t>
      </w:r>
    </w:p>
    <w:tbl>
      <w:tblPr>
        <w:tblW w:w="6573" w:type="dxa"/>
        <w:jc w:val="center"/>
        <w:tblInd w:w="0" w:type="dxa"/>
        <w:tblLayout w:type="fixed"/>
        <w:tblCellMar>
          <w:top w:w="28" w:type="dxa"/>
          <w:left w:w="28" w:type="dxa"/>
          <w:bottom w:w="28" w:type="dxa"/>
          <w:right w:w="28" w:type="dxa"/>
        </w:tblCellMar>
      </w:tblPr>
      <w:tblGrid>
        <w:gridCol w:w="1419"/>
        <w:gridCol w:w="1246"/>
        <w:gridCol w:w="1250"/>
        <w:gridCol w:w="255"/>
        <w:gridCol w:w="256"/>
        <w:gridCol w:w="632"/>
        <w:gridCol w:w="109"/>
        <w:gridCol w:w="109"/>
        <w:gridCol w:w="109"/>
        <w:gridCol w:w="255"/>
        <w:gridCol w:w="256"/>
        <w:gridCol w:w="67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14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details of the Company’s share-based compensation expense (in thousands):</w:t>
      </w:r>
    </w:p>
    <w:tbl>
      <w:tblPr>
        <w:tblW w:w="8437" w:type="dxa"/>
        <w:jc w:val="center"/>
        <w:tblInd w:w="0" w:type="dxa"/>
        <w:tblLayout w:type="fixed"/>
        <w:tblCellMar>
          <w:top w:w="28" w:type="dxa"/>
          <w:left w:w="28" w:type="dxa"/>
          <w:bottom w:w="28" w:type="dxa"/>
          <w:right w:w="28" w:type="dxa"/>
        </w:tblCellMar>
      </w:tblPr>
      <w:tblGrid>
        <w:gridCol w:w="995"/>
        <w:gridCol w:w="874"/>
        <w:gridCol w:w="876"/>
        <w:gridCol w:w="257"/>
        <w:gridCol w:w="752"/>
        <w:gridCol w:w="133"/>
        <w:gridCol w:w="133"/>
        <w:gridCol w:w="133"/>
        <w:gridCol w:w="133"/>
        <w:gridCol w:w="257"/>
        <w:gridCol w:w="752"/>
        <w:gridCol w:w="133"/>
        <w:gridCol w:w="109"/>
        <w:gridCol w:w="109"/>
        <w:gridCol w:w="109"/>
        <w:gridCol w:w="252"/>
        <w:gridCol w:w="737"/>
        <w:gridCol w:w="130"/>
        <w:gridCol w:w="130"/>
        <w:gridCol w:w="130"/>
        <w:gridCol w:w="130"/>
        <w:gridCol w:w="252"/>
        <w:gridCol w:w="737"/>
        <w:gridCol w:w="184"/>
      </w:tblGrid>
      <w:tr>
        <w:trPr/>
        <w:tc>
          <w:tcPr>
            <w:tcW w:w="99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3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3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3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8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3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3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4,403 </w:t>
            </w:r>
          </w:p>
        </w:tc>
        <w:tc>
          <w:tcPr>
            <w:tcW w:w="13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8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Summary of Stock Option Activity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 for the nine months ended September 30, 2025:</w:t>
      </w:r>
    </w:p>
    <w:tbl>
      <w:tblPr>
        <w:tblW w:w="8484" w:type="dxa"/>
        <w:jc w:val="center"/>
        <w:tblInd w:w="0" w:type="dxa"/>
        <w:tblLayout w:type="fixed"/>
        <w:tblCellMar>
          <w:top w:w="28" w:type="dxa"/>
          <w:left w:w="28" w:type="dxa"/>
          <w:bottom w:w="28" w:type="dxa"/>
          <w:right w:w="28" w:type="dxa"/>
        </w:tblCellMar>
      </w:tblPr>
      <w:tblGrid>
        <w:gridCol w:w="1281"/>
        <w:gridCol w:w="1127"/>
        <w:gridCol w:w="1132"/>
        <w:gridCol w:w="309"/>
        <w:gridCol w:w="309"/>
        <w:gridCol w:w="313"/>
        <w:gridCol w:w="109"/>
        <w:gridCol w:w="109"/>
        <w:gridCol w:w="109"/>
        <w:gridCol w:w="217"/>
        <w:gridCol w:w="526"/>
        <w:gridCol w:w="113"/>
        <w:gridCol w:w="109"/>
        <w:gridCol w:w="109"/>
        <w:gridCol w:w="109"/>
        <w:gridCol w:w="330"/>
        <w:gridCol w:w="330"/>
        <w:gridCol w:w="331"/>
        <w:gridCol w:w="109"/>
        <w:gridCol w:w="109"/>
        <w:gridCol w:w="109"/>
        <w:gridCol w:w="255"/>
        <w:gridCol w:w="744"/>
        <w:gridCol w:w="186"/>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 Per</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2024</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cancelled/forfeited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Balance—September 30, 2025</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exercisable—September 30, 2025</w:t>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1,383,891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total grant date fair value of options vested was $0.2 million and $0.3 million during the three months ended September 30, 2025 and 2024, respectively, and $0.5 million and $0.9 million during the nine months ended September 30, 2025 and 2024,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 options were granted in the three and nine months ended September 30, 2025 or 2024, respectively.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was $0.2 million of total unrecognized stock-based compensation expense related to unvested options which is expected to be recognized over a weighted-average period of 0.45 years. Stock-based compensation cost for options capitalized within inventory at September 30, 2025 and 2024 was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2016 Employee Stock Purchase Plan</w:t>
      </w:r>
    </w:p>
    <w:p>
      <w:pPr>
        <w:pStyle w:val="TextBody"/>
        <w:bidi w:val="0"/>
        <w:spacing w:lineRule="auto" w:line="288" w:before="0" w:after="240"/>
        <w:jc w:val="left"/>
        <w:rPr/>
      </w:pPr>
      <w:r>
        <w:rPr>
          <w:rFonts w:ascii="Times New Roman;serif" w:hAnsi="Times New Roman;serif"/>
          <w:b w:val="false"/>
          <w:color w:val="000000"/>
          <w:sz w:val="20"/>
        </w:rPr>
        <w:t>In January 2025, there was an increase of 220,596 shares reserved for issuance under the Company’s Employee Stock Purchase Plan (ESPP) pursuant to the terms of th</w:t>
      </w:r>
      <w:r>
        <w:rPr>
          <w:rFonts w:ascii="Times New Roman;serif" w:hAnsi="Times New Roman;serif"/>
          <w:b w:val="false"/>
          <w:color w:val="000000"/>
          <w:sz w:val="20"/>
          <w:shd w:fill="FFFFFF" w:val="clear"/>
        </w:rPr>
        <w:t xml:space="preserve">e ESPP. The Company had 1,191,215 shares available for future issuance under the ESPP as of September 30, 2025. </w:t>
      </w:r>
      <w:r>
        <w:rPr>
          <w:rFonts w:ascii="Times New Roman;serif" w:hAnsi="Times New Roman;serif"/>
          <w:b w:val="false"/>
          <w:color w:val="000000"/>
          <w:sz w:val="20"/>
        </w:rPr>
        <w:t>Employees did not purchase any shares during the three months ended September 30, 2025 and 2024, respectively. Employees purchased 61,181 shares for $254,000 during the nine months ended September 30, 2025. Employees purchased 37,696 shares for $241,000 during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units (RSUs) activity for the nine months ended September 30, 2025:</w:t>
      </w:r>
    </w:p>
    <w:tbl>
      <w:tblPr>
        <w:tblW w:w="5441" w:type="dxa"/>
        <w:jc w:val="center"/>
        <w:tblInd w:w="0" w:type="dxa"/>
        <w:tblLayout w:type="fixed"/>
        <w:tblCellMar>
          <w:top w:w="28" w:type="dxa"/>
          <w:left w:w="28" w:type="dxa"/>
          <w:bottom w:w="28" w:type="dxa"/>
          <w:right w:w="28" w:type="dxa"/>
        </w:tblCellMar>
      </w:tblPr>
      <w:tblGrid>
        <w:gridCol w:w="939"/>
        <w:gridCol w:w="826"/>
        <w:gridCol w:w="830"/>
        <w:gridCol w:w="429"/>
        <w:gridCol w:w="429"/>
        <w:gridCol w:w="431"/>
        <w:gridCol w:w="109"/>
        <w:gridCol w:w="109"/>
        <w:gridCol w:w="109"/>
        <w:gridCol w:w="296"/>
        <w:gridCol w:w="717"/>
        <w:gridCol w:w="217"/>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RSUs Outstanding</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Restricted Stock</w:t>
              <w:br/>
              <w:t>Units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 Per</w:t>
              <w:br/>
              <w:t>Share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2024</w:t>
            </w:r>
          </w:p>
        </w:tc>
        <w:tc>
          <w:tcPr>
            <w:tcW w:w="12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Balance—September 30, 2025</w:t>
            </w:r>
          </w:p>
        </w:tc>
        <w:tc>
          <w:tcPr>
            <w:tcW w:w="12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fair value of RSUs is determined on the date of grant based on the market price of the Company’s common stock on that </w:t>
      </w:r>
      <w:r>
        <w:rPr>
          <w:rFonts w:ascii="Times New Roman;serif" w:hAnsi="Times New Roman;serif"/>
          <w:b w:val="false"/>
          <w:color w:val="000000"/>
          <w:sz w:val="20"/>
        </w:rPr>
        <w:t>date</w:t>
      </w:r>
      <w:r>
        <w:rPr>
          <w:rFonts w:ascii="Times New Roman;serif" w:hAnsi="Times New Roman;serif"/>
          <w:b w:val="false"/>
          <w:color w:val="000000"/>
          <w:sz w:val="20"/>
          <w:shd w:fill="FFFFFF" w:val="clear"/>
        </w:rPr>
        <w:t>.</w:t>
      </w:r>
    </w:p>
    <w:p>
      <w:pPr>
        <w:pStyle w:val="TextBody"/>
        <w:bidi w:val="0"/>
        <w:spacing w:lineRule="auto" w:line="288" w:before="0" w:after="240"/>
        <w:jc w:val="left"/>
        <w:rPr/>
      </w:pPr>
      <w:r>
        <w:rPr>
          <w:rFonts w:ascii="Times New Roman;serif" w:hAnsi="Times New Roman;serif"/>
          <w:b w:val="false"/>
          <w:color w:val="000000"/>
          <w:sz w:val="20"/>
        </w:rPr>
        <w:t xml:space="preserve">As of September 30, 2025, </w:t>
      </w:r>
      <w:r>
        <w:rPr>
          <w:rFonts w:ascii="Times New Roman;serif" w:hAnsi="Times New Roman;serif"/>
          <w:b w:val="false"/>
          <w:color w:val="000000"/>
          <w:sz w:val="20"/>
          <w:shd w:fill="FFFFFF" w:val="clear"/>
        </w:rPr>
        <w:t xml:space="preserve">there was $8.2 million of unrecognized stock-based compensation expense related to RSUs to be recognized over a weighted-average period of 2.7 years. Stock-based compensation cost related to RSUs capitalized within inventory at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7. Significant Agreements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GLOBALFOUNDRIES, Inc. Joint Development Agreement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Since October 17, 2014, the Company has participated in a joint development agreement (JDA) with GLOBALFOUNDRIES Inc. (GLOBALFOUNDRIES), a semiconductor foundry, for the joint development of Spin-transfer Torque MRAM (STT-MRAM), technology to produce a family of discrete and embedded MRAM technologies. The term of the JDA is until the completion, termination, or expiration of the last statement of work entered into pursuant to the JDA. The JDA was extended on December 31, 2019, to include a new phase of support for 12nm MRAM development.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current JDA extension terms, each party licenses its relevant intellectual property to the other party. For certain jointly developed works, the parties have agreed to follow an invention allocation procedure to determine ownership. In addition, GLOBALFOUNDRIES possesses the exclusive right to manufacture the Company’s discrete and embedded STT-MRAM devices developed pursuant to the JDA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JDA to named competitors of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GLOBALFOUNDRIES manufactures, sells, or transfers to customers wafers containing production quantified STT-MRAM devices that utilize certain design information, GLOBALFOUNDRIES will be required to pay the Company a royalty.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Net Income (Loss) Per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calculated by dividing the net income (loss) by the weighted-average number of shares of common stock outstanding for the period less shares subject to repurchase, without consideration of potentially dilutive securities. Diluted earnings per share is calculated using the treasury stock method by dividing net income (loss) by the 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earnings per share as their inclusion would have an antidilutive effect.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computation of basic and diluted net loss per share attributable to common stockholders (in thousands, except share and per share amounts):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Basic and diluted EPS</w:t>
      </w:r>
    </w:p>
    <w:tbl>
      <w:tblPr>
        <w:tblW w:w="10205" w:type="dxa"/>
        <w:jc w:val="center"/>
        <w:tblInd w:w="0" w:type="dxa"/>
        <w:tblLayout w:type="fixed"/>
        <w:tblCellMar>
          <w:top w:w="28" w:type="dxa"/>
          <w:left w:w="28" w:type="dxa"/>
          <w:bottom w:w="28" w:type="dxa"/>
          <w:right w:w="28" w:type="dxa"/>
        </w:tblCellMar>
      </w:tblPr>
      <w:tblGrid>
        <w:gridCol w:w="1730"/>
        <w:gridCol w:w="1437"/>
        <w:gridCol w:w="1444"/>
        <w:gridCol w:w="270"/>
        <w:gridCol w:w="655"/>
        <w:gridCol w:w="133"/>
        <w:gridCol w:w="133"/>
        <w:gridCol w:w="133"/>
        <w:gridCol w:w="133"/>
        <w:gridCol w:w="270"/>
        <w:gridCol w:w="765"/>
        <w:gridCol w:w="133"/>
        <w:gridCol w:w="109"/>
        <w:gridCol w:w="109"/>
        <w:gridCol w:w="109"/>
        <w:gridCol w:w="247"/>
        <w:gridCol w:w="786"/>
        <w:gridCol w:w="123"/>
        <w:gridCol w:w="123"/>
        <w:gridCol w:w="123"/>
        <w:gridCol w:w="123"/>
        <w:gridCol w:w="247"/>
        <w:gridCol w:w="685"/>
        <w:gridCol w:w="185"/>
      </w:tblGrid>
      <w:tr>
        <w:trPr/>
        <w:tc>
          <w:tcPr>
            <w:tcW w:w="173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5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diluted</w:t>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22,669,872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21,767,380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22,456,079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21,529,738</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diluted</w:t>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23,147,119</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21,985,175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22,456,079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21,529,738</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 basic</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 diluted</w:t>
            </w:r>
          </w:p>
        </w:tc>
        <w:tc>
          <w:tcPr>
            <w:tcW w:w="2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representing 0.9 million and 2.2 million stock options and RSUs that were outstanding during the three months ended September 30, 2025, and 2024, respectively, and 1.5 million and 1.9 million stock options and RSUs outstanding during the nine months ended September 30, 2025 and 2024, respectively, were excluded from the computation of diluted earnings per common share during these periods as their inclusion would have an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288" w:before="0" w:after="240"/>
        <w:jc w:val="left"/>
        <w:rPr/>
      </w:pPr>
      <w:r>
        <w:rPr>
          <w:rFonts w:ascii="Times New Roman;serif" w:hAnsi="Times New Roman;serif"/>
          <w:b w:val="false"/>
          <w:i/>
          <w:color w:val="000000"/>
          <w:sz w:val="20"/>
        </w:rPr>
        <w:t xml:space="preserve">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t>
      </w:r>
      <w:r>
        <w:rPr>
          <w:rFonts w:ascii="Times New Roman;serif" w:hAnsi="Times New Roman;serif"/>
          <w:b w:val="false"/>
          <w:i/>
          <w:color w:val="000000"/>
          <w:sz w:val="20"/>
          <w:shd w:fill="FFFFFF" w:val="clear"/>
        </w:rPr>
        <w:t xml:space="preserve">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r>
        <w:rPr>
          <w:rFonts w:ascii="Times New Roman;serif" w:hAnsi="Times New Roman;serif"/>
          <w:b w:val="false"/>
          <w:i/>
          <w:color w:val="000000"/>
          <w:sz w:val="20"/>
        </w:rPr>
        <w:t>We caution investors that our business and financial performance are subject to substantial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sell our products directly and through our established distribution channels to industry-leading OEMs and ODMs.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Key Metrics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net income, a non-GAAP financial measure, and design wins. We define Adjusted net income as net income adjusted for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i/>
          <w:color w:val="000000"/>
          <w:sz w:val="20"/>
        </w:rPr>
        <w:t>Adjusted net income</w:t>
      </w:r>
      <w:r>
        <w:rPr>
          <w:rFonts w:ascii="Times New Roman;serif" w:hAnsi="Times New Roman;serif"/>
          <w:b w:val="false"/>
          <w:color w:val="000000"/>
          <w:sz w:val="20"/>
        </w:rPr>
        <w:t>. Our management and board of directors use Adjusted net income to assess and evaluate our overall performance and financial trends, inform the annual budgeting process, and guide both short-term and long-term operational and strategic planning. As such, we believe Adjusted net income provides meaningful insight for investors into our financial performance, consistent with how our management team and board view and analyze our results. Adjusted net income is a non-GAAP financial measure and should be considered alongside, but not as a replacement for or superior to, net income as reported in accordance with GAAP. The following table provides a reconciliation of net income, the most directly comparable GAAP measure, to Adjusted net income for the periods presented:</w:t>
      </w:r>
    </w:p>
    <w:tbl>
      <w:tblPr>
        <w:tblW w:w="9398" w:type="dxa"/>
        <w:jc w:val="center"/>
        <w:tblInd w:w="0" w:type="dxa"/>
        <w:tblLayout w:type="fixed"/>
        <w:tblCellMar>
          <w:top w:w="28" w:type="dxa"/>
          <w:left w:w="28" w:type="dxa"/>
          <w:bottom w:w="28" w:type="dxa"/>
          <w:right w:w="28" w:type="dxa"/>
        </w:tblCellMar>
      </w:tblPr>
      <w:tblGrid>
        <w:gridCol w:w="1342"/>
        <w:gridCol w:w="1177"/>
        <w:gridCol w:w="1186"/>
        <w:gridCol w:w="257"/>
        <w:gridCol w:w="752"/>
        <w:gridCol w:w="133"/>
        <w:gridCol w:w="133"/>
        <w:gridCol w:w="133"/>
        <w:gridCol w:w="133"/>
        <w:gridCol w:w="257"/>
        <w:gridCol w:w="752"/>
        <w:gridCol w:w="133"/>
        <w:gridCol w:w="109"/>
        <w:gridCol w:w="109"/>
        <w:gridCol w:w="109"/>
        <w:gridCol w:w="244"/>
        <w:gridCol w:w="800"/>
        <w:gridCol w:w="126"/>
        <w:gridCol w:w="126"/>
        <w:gridCol w:w="126"/>
        <w:gridCol w:w="126"/>
        <w:gridCol w:w="244"/>
        <w:gridCol w:w="713"/>
        <w:gridCol w:w="178"/>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Income (Loss) reconciliation:</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(Loss)</w:t>
            </w:r>
          </w:p>
        </w:tc>
        <w:tc>
          <w:tcPr>
            <w:tcW w:w="2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3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3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7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indicated:</w:t>
      </w:r>
    </w:p>
    <w:tbl>
      <w:tblPr>
        <w:tblW w:w="9846" w:type="dxa"/>
        <w:jc w:val="left"/>
        <w:tblInd w:w="0" w:type="dxa"/>
        <w:tblLayout w:type="fixed"/>
        <w:tblCellMar>
          <w:top w:w="28" w:type="dxa"/>
          <w:left w:w="28" w:type="dxa"/>
          <w:bottom w:w="28" w:type="dxa"/>
          <w:right w:w="28" w:type="dxa"/>
        </w:tblCellMar>
      </w:tblPr>
      <w:tblGrid>
        <w:gridCol w:w="1564"/>
        <w:gridCol w:w="1375"/>
        <w:gridCol w:w="1381"/>
        <w:gridCol w:w="211"/>
        <w:gridCol w:w="721"/>
        <w:gridCol w:w="109"/>
        <w:gridCol w:w="109"/>
        <w:gridCol w:w="109"/>
        <w:gridCol w:w="109"/>
        <w:gridCol w:w="211"/>
        <w:gridCol w:w="721"/>
        <w:gridCol w:w="109"/>
        <w:gridCol w:w="109"/>
        <w:gridCol w:w="109"/>
        <w:gridCol w:w="109"/>
        <w:gridCol w:w="236"/>
        <w:gridCol w:w="230"/>
        <w:gridCol w:w="454"/>
        <w:gridCol w:w="183"/>
        <w:gridCol w:w="183"/>
        <w:gridCol w:w="183"/>
        <w:gridCol w:w="236"/>
        <w:gridCol w:w="230"/>
        <w:gridCol w:w="454"/>
        <w:gridCol w:w="117"/>
        <w:gridCol w:w="117"/>
        <w:gridCol w:w="167"/>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percentage of revenue)</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royalty, patent,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licensing, royalty, patent, and 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three months ended September 30, 2025 and 2024</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generated 86% and 84% of our revenue from products sold to distributors for the three months ended September 30, 2025 and 2024,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selling our products to our distributors, we maintain a direct selling relationship, for strategic purposes, with several key customer accounts. We have organized our sales team and representatives into three primary regions: North America; EMEA; and APAC. We recognize revenue by geography based on the region in which our customer is located and to which our products are sold, and not to where the end products in which they are assembled are shipped. Our revenue by region and by type of revenue for the periods indicated were as follows (in thousands):</w:t>
      </w:r>
    </w:p>
    <w:tbl>
      <w:tblPr>
        <w:tblW w:w="4032" w:type="dxa"/>
        <w:jc w:val="center"/>
        <w:tblInd w:w="0" w:type="dxa"/>
        <w:tblLayout w:type="fixed"/>
        <w:tblCellMar>
          <w:top w:w="28" w:type="dxa"/>
          <w:left w:w="28" w:type="dxa"/>
          <w:bottom w:w="28" w:type="dxa"/>
          <w:right w:w="28" w:type="dxa"/>
        </w:tblCellMar>
      </w:tblPr>
      <w:tblGrid>
        <w:gridCol w:w="470"/>
        <w:gridCol w:w="415"/>
        <w:gridCol w:w="420"/>
        <w:gridCol w:w="234"/>
        <w:gridCol w:w="802"/>
        <w:gridCol w:w="121"/>
        <w:gridCol w:w="121"/>
        <w:gridCol w:w="121"/>
        <w:gridCol w:w="121"/>
        <w:gridCol w:w="234"/>
        <w:gridCol w:w="802"/>
        <w:gridCol w:w="171"/>
      </w:tblGrid>
      <w:tr>
        <w:trPr/>
        <w:tc>
          <w:tcPr>
            <w:tcW w:w="4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7,923 </w:t>
            </w:r>
          </w:p>
        </w:tc>
        <w:tc>
          <w:tcPr>
            <w:tcW w:w="1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67" w:type="dxa"/>
        <w:jc w:val="center"/>
        <w:tblInd w:w="0" w:type="dxa"/>
        <w:tblLayout w:type="fixed"/>
        <w:tblCellMar>
          <w:top w:w="28" w:type="dxa"/>
          <w:left w:w="28" w:type="dxa"/>
          <w:bottom w:w="28" w:type="dxa"/>
          <w:right w:w="28" w:type="dxa"/>
        </w:tblCellMar>
      </w:tblPr>
      <w:tblGrid>
        <w:gridCol w:w="1357"/>
        <w:gridCol w:w="1193"/>
        <w:gridCol w:w="1199"/>
        <w:gridCol w:w="239"/>
        <w:gridCol w:w="817"/>
        <w:gridCol w:w="123"/>
        <w:gridCol w:w="123"/>
        <w:gridCol w:w="123"/>
        <w:gridCol w:w="123"/>
        <w:gridCol w:w="239"/>
        <w:gridCol w:w="817"/>
        <w:gridCol w:w="123"/>
        <w:gridCol w:w="109"/>
        <w:gridCol w:w="109"/>
        <w:gridCol w:w="109"/>
        <w:gridCol w:w="211"/>
        <w:gridCol w:w="616"/>
        <w:gridCol w:w="109"/>
        <w:gridCol w:w="109"/>
        <w:gridCol w:w="109"/>
        <w:gridCol w:w="109"/>
        <w:gridCol w:w="291"/>
        <w:gridCol w:w="294"/>
        <w:gridCol w:w="316"/>
      </w:tblGrid>
      <w:tr>
        <w:trPr/>
        <w:tc>
          <w:tcPr>
            <w:tcW w:w="13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royalty, patent, and other revenue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revenue increased by $2.0 million, or 16.3%, from $12.1 million during the three months ended September 30, 2024 to $14.1 million during the three months ended September 30, 2025. The increase was due to an increase in product sales of $2.2 million, and partially offset by a decrease of licensing, royalty, patent, and other revenue of $0.3 million.</w:t>
      </w:r>
    </w:p>
    <w:p>
      <w:pPr>
        <w:pStyle w:val="TextBody"/>
        <w:bidi w:val="0"/>
        <w:spacing w:lineRule="auto" w:line="288" w:before="0" w:after="240"/>
        <w:jc w:val="left"/>
        <w:rPr/>
      </w:pPr>
      <w:r>
        <w:rPr>
          <w:rFonts w:ascii="Times New Roman;serif" w:hAnsi="Times New Roman;serif"/>
          <w:b w:val="false"/>
          <w:color w:val="000000"/>
          <w:sz w:val="20"/>
        </w:rPr>
        <w:t xml:space="preserve">Licensing, royalty, patent, and other revenue is a highly variable revenue item characterized by a small number of transactions annually with revenue based on size and terms of each transaction. Licensing, royalty, patent, and other revenue decreased by $0.3 million, or 17.0% from $1.7 million during the three months ended September 30, 2024, to $1.4 million during the three months ended September 30, 2025.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was primarily due to the reduced pace of deliverables in our contractual agreements with customers for the development of RAD-Hard products, along with the conclusion of a contractual arrangement with a customer for the development of reliability models for strategic radiation hardened toggle MRAM, and partially offset by a new agreement for the development of an AI technology application.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 of Sales and Gross Margin</w:t>
      </w:r>
    </w:p>
    <w:tbl>
      <w:tblPr>
        <w:tblW w:w="9342" w:type="dxa"/>
        <w:jc w:val="center"/>
        <w:tblInd w:w="0" w:type="dxa"/>
        <w:tblLayout w:type="fixed"/>
        <w:tblCellMar>
          <w:top w:w="28" w:type="dxa"/>
          <w:left w:w="28" w:type="dxa"/>
          <w:bottom w:w="28" w:type="dxa"/>
          <w:right w:w="28" w:type="dxa"/>
        </w:tblCellMar>
      </w:tblPr>
      <w:tblGrid>
        <w:gridCol w:w="1564"/>
        <w:gridCol w:w="1374"/>
        <w:gridCol w:w="1381"/>
        <w:gridCol w:w="224"/>
        <w:gridCol w:w="655"/>
        <w:gridCol w:w="288"/>
        <w:gridCol w:w="116"/>
        <w:gridCol w:w="116"/>
        <w:gridCol w:w="116"/>
        <w:gridCol w:w="224"/>
        <w:gridCol w:w="655"/>
        <w:gridCol w:w="288"/>
        <w:gridCol w:w="109"/>
        <w:gridCol w:w="109"/>
        <w:gridCol w:w="109"/>
        <w:gridCol w:w="211"/>
        <w:gridCol w:w="466"/>
        <w:gridCol w:w="109"/>
        <w:gridCol w:w="109"/>
        <w:gridCol w:w="109"/>
        <w:gridCol w:w="109"/>
        <w:gridCol w:w="291"/>
        <w:gridCol w:w="294"/>
        <w:gridCol w:w="316"/>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licensing, royalty, patent, and other revenue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shd w:fill="FFFFFF" w:val="clear"/>
        </w:rPr>
        <w:t xml:space="preserve">Cost of product sales </w:t>
      </w:r>
      <w:r>
        <w:rPr>
          <w:rFonts w:ascii="Times New Roman;serif" w:hAnsi="Times New Roman;serif"/>
          <w:b w:val="false"/>
          <w:color w:val="000000"/>
          <w:sz w:val="20"/>
        </w:rPr>
        <w:t>increase</w:t>
      </w:r>
      <w:r>
        <w:rPr>
          <w:rFonts w:ascii="Times New Roman;serif" w:hAnsi="Times New Roman;serif"/>
          <w:b w:val="false"/>
          <w:color w:val="000000"/>
          <w:sz w:val="20"/>
          <w:shd w:fill="FFFFFF" w:val="clear"/>
        </w:rPr>
        <w:t xml:space="preserve">d by </w:t>
      </w:r>
      <w:r>
        <w:rPr>
          <w:rFonts w:ascii="Times New Roman;serif" w:hAnsi="Times New Roman;serif"/>
          <w:b w:val="false"/>
          <w:color w:val="000000"/>
          <w:sz w:val="20"/>
        </w:rPr>
        <w:t>$0.9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15.2%</w:t>
      </w:r>
      <w:r>
        <w:rPr>
          <w:rFonts w:ascii="Times New Roman;serif" w:hAnsi="Times New Roman;serif"/>
          <w:b w:val="false"/>
          <w:color w:val="000000"/>
          <w:sz w:val="20"/>
          <w:shd w:fill="FFFFFF" w:val="clear"/>
        </w:rPr>
        <w:t xml:space="preserve">, from </w:t>
      </w:r>
      <w:r>
        <w:rPr>
          <w:rFonts w:ascii="Times New Roman;serif" w:hAnsi="Times New Roman;serif"/>
          <w:b w:val="false"/>
          <w:color w:val="000000"/>
          <w:sz w:val="20"/>
        </w:rPr>
        <w:t>$5.8 million</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xml:space="preserve">, to </w:t>
      </w:r>
      <w:r>
        <w:rPr>
          <w:rFonts w:ascii="Times New Roman;serif" w:hAnsi="Times New Roman;serif"/>
          <w:b w:val="false"/>
          <w:color w:val="000000"/>
          <w:sz w:val="20"/>
        </w:rPr>
        <w:t>$6.6 million</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Cost of product sales relate primarily to costs of our toggle and STT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licensing, royalty, patent, and other revenue slightly decreased by $0.2 million, or 42.1% from $0.4 million during the three months ended September 30, 2024, to $0.2 million during the three months ended September 30, 2025. The decrease was primarily due to a decrease in licensing costs related to labor and materials associated with the progression of our RAD-Hard projects.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Gross margin increased from 49.2% during the three months ended September 30, 2024, to 51.3% during the three months ended September 30, 2025. Gross margin increased as a result of improved yields and improved fabrication facility ("Fab") utilization.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tbl>
      <w:tblPr>
        <w:tblW w:w="8450" w:type="dxa"/>
        <w:jc w:val="center"/>
        <w:tblInd w:w="0" w:type="dxa"/>
        <w:tblLayout w:type="fixed"/>
        <w:tblCellMar>
          <w:top w:w="28" w:type="dxa"/>
          <w:left w:w="28" w:type="dxa"/>
          <w:bottom w:w="28" w:type="dxa"/>
          <w:right w:w="28" w:type="dxa"/>
        </w:tblCellMar>
      </w:tblPr>
      <w:tblGrid>
        <w:gridCol w:w="1365"/>
        <w:gridCol w:w="1197"/>
        <w:gridCol w:w="1203"/>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03"/>
        <w:gridCol w:w="203"/>
        <w:gridCol w:w="316"/>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as a %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Research and development expenses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$0.2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5.9%</w:t>
      </w:r>
      <w:r>
        <w:rPr>
          <w:rFonts w:ascii="Times New Roman;serif" w:hAnsi="Times New Roman;serif"/>
          <w:b w:val="false"/>
          <w:color w:val="000000"/>
          <w:sz w:val="20"/>
          <w:shd w:fill="FFFFFF" w:val="clear"/>
        </w:rPr>
        <w:t xml:space="preserve">, from </w:t>
      </w:r>
      <w:r>
        <w:rPr>
          <w:rFonts w:ascii="Times New Roman;serif" w:hAnsi="Times New Roman;serif"/>
          <w:b w:val="false"/>
          <w:color w:val="000000"/>
          <w:sz w:val="20"/>
        </w:rPr>
        <w:t>$3.4 million</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xml:space="preserve">, to </w:t>
      </w:r>
      <w:r>
        <w:rPr>
          <w:rFonts w:ascii="Times New Roman;serif" w:hAnsi="Times New Roman;serif"/>
          <w:b w:val="false"/>
          <w:color w:val="000000"/>
          <w:sz w:val="20"/>
        </w:rPr>
        <w:t>$3.6 million</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Research and development expenses relate primarily to</w:t>
      </w:r>
      <w:r>
        <w:rPr>
          <w:color w:val="000000"/>
          <w:shd w:fill="FFFFFF" w:val="clear"/>
        </w:rPr>
        <w:t xml:space="preserve"> </w:t>
      </w:r>
      <w:r>
        <w:rPr>
          <w:rFonts w:ascii="Times New Roman;serif" w:hAnsi="Times New Roman;serif"/>
          <w:b w:val="false"/>
          <w:color w:val="000000"/>
          <w:sz w:val="20"/>
          <w:shd w:fill="FFFFFF" w:val="clear"/>
        </w:rPr>
        <w:t xml:space="preserve">the development and enhancement of our new Extended Serial Peripheral Interface (xSPI) family of STT-MRAM products, which offer high-performance, multiple I/O, SPI-compatibility and feature a high-speed, low pin count SPI compatible interface.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tbl>
      <w:tblPr>
        <w:tblW w:w="8609" w:type="dxa"/>
        <w:jc w:val="center"/>
        <w:tblInd w:w="0" w:type="dxa"/>
        <w:tblLayout w:type="fixed"/>
        <w:tblCellMar>
          <w:top w:w="28" w:type="dxa"/>
          <w:left w:w="28" w:type="dxa"/>
          <w:bottom w:w="28" w:type="dxa"/>
          <w:right w:w="28" w:type="dxa"/>
        </w:tblCellMar>
      </w:tblPr>
      <w:tblGrid>
        <w:gridCol w:w="1365"/>
        <w:gridCol w:w="1198"/>
        <w:gridCol w:w="1202"/>
        <w:gridCol w:w="224"/>
        <w:gridCol w:w="655"/>
        <w:gridCol w:w="288"/>
        <w:gridCol w:w="116"/>
        <w:gridCol w:w="116"/>
        <w:gridCol w:w="116"/>
        <w:gridCol w:w="224"/>
        <w:gridCol w:w="655"/>
        <w:gridCol w:w="288"/>
        <w:gridCol w:w="109"/>
        <w:gridCol w:w="109"/>
        <w:gridCol w:w="109"/>
        <w:gridCol w:w="211"/>
        <w:gridCol w:w="466"/>
        <w:gridCol w:w="109"/>
        <w:gridCol w:w="109"/>
        <w:gridCol w:w="109"/>
        <w:gridCol w:w="109"/>
        <w:gridCol w:w="203"/>
        <w:gridCol w:w="203"/>
        <w:gridCol w:w="316"/>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as a % of revenue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increased by $0.3 million, or 9.7%, from $3.4 million during the three months ended September 30, 2024, to $3.7 million during the three months ended September 30, 2025. The increase is primarily due to increases in professional service fees.</w:t>
      </w:r>
    </w:p>
    <w:tbl>
      <w:tblPr>
        <w:tblW w:w="8158" w:type="dxa"/>
        <w:jc w:val="center"/>
        <w:tblInd w:w="0" w:type="dxa"/>
        <w:tblLayout w:type="fixed"/>
        <w:tblCellMar>
          <w:top w:w="28" w:type="dxa"/>
          <w:left w:w="28" w:type="dxa"/>
          <w:bottom w:w="28" w:type="dxa"/>
          <w:right w:w="28" w:type="dxa"/>
        </w:tblCellMar>
      </w:tblPr>
      <w:tblGrid>
        <w:gridCol w:w="1160"/>
        <w:gridCol w:w="1021"/>
        <w:gridCol w:w="1028"/>
        <w:gridCol w:w="224"/>
        <w:gridCol w:w="655"/>
        <w:gridCol w:w="288"/>
        <w:gridCol w:w="116"/>
        <w:gridCol w:w="116"/>
        <w:gridCol w:w="116"/>
        <w:gridCol w:w="224"/>
        <w:gridCol w:w="655"/>
        <w:gridCol w:w="288"/>
        <w:gridCol w:w="109"/>
        <w:gridCol w:w="109"/>
        <w:gridCol w:w="109"/>
        <w:gridCol w:w="211"/>
        <w:gridCol w:w="466"/>
        <w:gridCol w:w="109"/>
        <w:gridCol w:w="109"/>
        <w:gridCol w:w="109"/>
        <w:gridCol w:w="109"/>
        <w:gridCol w:w="255"/>
        <w:gridCol w:w="256"/>
        <w:gridCol w:w="316"/>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as a % of revenue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Sales and Marketing Expenses</w:t>
      </w:r>
      <w:r>
        <w:rPr>
          <w:rFonts w:ascii="Times New Roman;serif" w:hAnsi="Times New Roman;serif"/>
          <w:b w:val="false"/>
          <w:color w:val="000000"/>
          <w:sz w:val="20"/>
        </w:rPr>
        <w:t xml:space="preserve">. Sales and marketing expenses increased by $0.2 million, or 12.0%, from $1.3 million during the three months ended September 30, 2024, to $1.5 million during the three months ended September 30, 2025. Sales and marketing expenses relate primarily to compensation costs and contract labor. </w:t>
      </w:r>
    </w:p>
    <w:tbl>
      <w:tblPr>
        <w:tblW w:w="6254" w:type="dxa"/>
        <w:jc w:val="center"/>
        <w:tblInd w:w="0" w:type="dxa"/>
        <w:tblLayout w:type="fixed"/>
        <w:tblCellMar>
          <w:top w:w="28" w:type="dxa"/>
          <w:left w:w="28" w:type="dxa"/>
          <w:bottom w:w="28" w:type="dxa"/>
          <w:right w:w="28" w:type="dxa"/>
        </w:tblCellMar>
      </w:tblPr>
      <w:tblGrid>
        <w:gridCol w:w="494"/>
        <w:gridCol w:w="433"/>
        <w:gridCol w:w="437"/>
        <w:gridCol w:w="298"/>
        <w:gridCol w:w="659"/>
        <w:gridCol w:w="154"/>
        <w:gridCol w:w="154"/>
        <w:gridCol w:w="154"/>
        <w:gridCol w:w="154"/>
        <w:gridCol w:w="298"/>
        <w:gridCol w:w="659"/>
        <w:gridCol w:w="154"/>
        <w:gridCol w:w="109"/>
        <w:gridCol w:w="109"/>
        <w:gridCol w:w="109"/>
        <w:gridCol w:w="211"/>
        <w:gridCol w:w="436"/>
        <w:gridCol w:w="109"/>
        <w:gridCol w:w="109"/>
        <w:gridCol w:w="109"/>
        <w:gridCol w:w="109"/>
        <w:gridCol w:w="239"/>
        <w:gridCol w:w="241"/>
        <w:gridCol w:w="316"/>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$31,000, or 6.7%, from $0.5 million interest income during the three months ended September 30, 2024, to $0.4 million interest income during the three months ended September 30, 2025. The decrease is primarily due to the decrease in interest rates.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tbl>
      <w:tblPr>
        <w:tblW w:w="6810" w:type="dxa"/>
        <w:jc w:val="center"/>
        <w:tblInd w:w="0" w:type="dxa"/>
        <w:tblLayout w:type="fixed"/>
        <w:tblCellMar>
          <w:top w:w="28" w:type="dxa"/>
          <w:left w:w="28" w:type="dxa"/>
          <w:bottom w:w="28" w:type="dxa"/>
          <w:right w:w="28" w:type="dxa"/>
        </w:tblCellMar>
      </w:tblPr>
      <w:tblGrid>
        <w:gridCol w:w="564"/>
        <w:gridCol w:w="497"/>
        <w:gridCol w:w="499"/>
        <w:gridCol w:w="257"/>
        <w:gridCol w:w="752"/>
        <w:gridCol w:w="133"/>
        <w:gridCol w:w="133"/>
        <w:gridCol w:w="133"/>
        <w:gridCol w:w="133"/>
        <w:gridCol w:w="257"/>
        <w:gridCol w:w="752"/>
        <w:gridCol w:w="133"/>
        <w:gridCol w:w="109"/>
        <w:gridCol w:w="109"/>
        <w:gridCol w:w="109"/>
        <w:gridCol w:w="211"/>
        <w:gridCol w:w="691"/>
        <w:gridCol w:w="109"/>
        <w:gridCol w:w="109"/>
        <w:gridCol w:w="109"/>
        <w:gridCol w:w="109"/>
        <w:gridCol w:w="293"/>
        <w:gridCol w:w="293"/>
        <w:gridCol w:w="316"/>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by $2.8 million, or 70.4%, from $3.9 million other expense during the three months ended September 30, 2024, to $1.2 million other income during the three months ended September 30, 2025. Other income relates primarily to other income recognized from a strategic award we received to develop a long-term plan to provide manufacturing services for aerospace and defense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tbl>
      <w:tblPr>
        <w:tblW w:w="9499" w:type="dxa"/>
        <w:jc w:val="center"/>
        <w:tblInd w:w="0" w:type="dxa"/>
        <w:tblLayout w:type="fixed"/>
        <w:tblCellMar>
          <w:top w:w="28" w:type="dxa"/>
          <w:left w:w="28" w:type="dxa"/>
          <w:bottom w:w="28" w:type="dxa"/>
          <w:right w:w="28" w:type="dxa"/>
        </w:tblCellMar>
      </w:tblPr>
      <w:tblGrid>
        <w:gridCol w:w="1564"/>
        <w:gridCol w:w="1375"/>
        <w:gridCol w:w="1381"/>
        <w:gridCol w:w="211"/>
        <w:gridCol w:w="721"/>
        <w:gridCol w:w="109"/>
        <w:gridCol w:w="109"/>
        <w:gridCol w:w="109"/>
        <w:gridCol w:w="109"/>
        <w:gridCol w:w="211"/>
        <w:gridCol w:w="721"/>
        <w:gridCol w:w="109"/>
        <w:gridCol w:w="109"/>
        <w:gridCol w:w="109"/>
        <w:gridCol w:w="109"/>
        <w:gridCol w:w="232"/>
        <w:gridCol w:w="234"/>
        <w:gridCol w:w="448"/>
        <w:gridCol w:w="180"/>
        <w:gridCol w:w="180"/>
        <w:gridCol w:w="180"/>
        <w:gridCol w:w="232"/>
        <w:gridCol w:w="234"/>
        <w:gridCol w:w="523"/>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percentage of revenue)</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royalty, patent,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licensing, royalty, patent, and 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4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2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4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4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2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4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2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2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nine months ended September 30, 2025 and 2024</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generated 71% and 80% of our revenue from products sold to distributors for the nine months ended September 30, 2025 and 2024,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revenue by region and by type of revenue for the periods indicated were as follows (in thousands).</w:t>
      </w:r>
    </w:p>
    <w:tbl>
      <w:tblPr>
        <w:tblW w:w="3987" w:type="dxa"/>
        <w:jc w:val="center"/>
        <w:tblInd w:w="0" w:type="dxa"/>
        <w:tblLayout w:type="fixed"/>
        <w:tblCellMar>
          <w:top w:w="28" w:type="dxa"/>
          <w:left w:w="28" w:type="dxa"/>
          <w:bottom w:w="28" w:type="dxa"/>
          <w:right w:w="28" w:type="dxa"/>
        </w:tblCellMar>
      </w:tblPr>
      <w:tblGrid>
        <w:gridCol w:w="470"/>
        <w:gridCol w:w="415"/>
        <w:gridCol w:w="420"/>
        <w:gridCol w:w="230"/>
        <w:gridCol w:w="789"/>
        <w:gridCol w:w="119"/>
        <w:gridCol w:w="119"/>
        <w:gridCol w:w="119"/>
        <w:gridCol w:w="119"/>
        <w:gridCol w:w="230"/>
        <w:gridCol w:w="789"/>
        <w:gridCol w:w="168"/>
      </w:tblGrid>
      <w:tr>
        <w:trPr/>
        <w:tc>
          <w:tcPr>
            <w:tcW w:w="4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24,412 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21,163 </w:t>
            </w:r>
          </w:p>
        </w:tc>
        <w:tc>
          <w:tcPr>
            <w:tcW w:w="16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40,399 </w:t>
            </w:r>
          </w:p>
        </w:tc>
        <w:tc>
          <w:tcPr>
            <w:tcW w:w="1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37,159 </w:t>
            </w:r>
          </w:p>
        </w:tc>
        <w:tc>
          <w:tcPr>
            <w:tcW w:w="16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03" w:type="dxa"/>
        <w:jc w:val="center"/>
        <w:tblInd w:w="0" w:type="dxa"/>
        <w:tblLayout w:type="fixed"/>
        <w:tblCellMar>
          <w:top w:w="28" w:type="dxa"/>
          <w:left w:w="28" w:type="dxa"/>
          <w:bottom w:w="28" w:type="dxa"/>
          <w:right w:w="28" w:type="dxa"/>
        </w:tblCellMar>
      </w:tblPr>
      <w:tblGrid>
        <w:gridCol w:w="1357"/>
        <w:gridCol w:w="1193"/>
        <w:gridCol w:w="1199"/>
        <w:gridCol w:w="231"/>
        <w:gridCol w:w="790"/>
        <w:gridCol w:w="119"/>
        <w:gridCol w:w="119"/>
        <w:gridCol w:w="119"/>
        <w:gridCol w:w="119"/>
        <w:gridCol w:w="231"/>
        <w:gridCol w:w="790"/>
        <w:gridCol w:w="119"/>
        <w:gridCol w:w="109"/>
        <w:gridCol w:w="109"/>
        <w:gridCol w:w="109"/>
        <w:gridCol w:w="211"/>
        <w:gridCol w:w="616"/>
        <w:gridCol w:w="109"/>
        <w:gridCol w:w="109"/>
        <w:gridCol w:w="109"/>
        <w:gridCol w:w="109"/>
        <w:gridCol w:w="255"/>
        <w:gridCol w:w="256"/>
        <w:gridCol w:w="316"/>
      </w:tblGrid>
      <w:tr>
        <w:trPr/>
        <w:tc>
          <w:tcPr>
            <w:tcW w:w="13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royalty, patent, and other revenue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revenue increased by $3.2 million, or 8.7%, from $37.2 million during the nine months ended September 30, 2024 to $40.4 million during the nine months ended September 30, 2025. The increase was due to increase in product sales revenue of $3.6 million.</w:t>
      </w:r>
    </w:p>
    <w:p>
      <w:pPr>
        <w:pStyle w:val="TextBody"/>
        <w:bidi w:val="0"/>
        <w:spacing w:lineRule="auto" w:line="288" w:before="0" w:after="240"/>
        <w:jc w:val="left"/>
        <w:rPr/>
      </w:pPr>
      <w:r>
        <w:rPr>
          <w:rFonts w:ascii="Times New Roman;serif" w:hAnsi="Times New Roman;serif"/>
          <w:b w:val="false"/>
          <w:color w:val="000000"/>
          <w:sz w:val="20"/>
        </w:rPr>
        <w:t xml:space="preserve">Licensing, royalty, patent, and other revenue decreased by $0.4 million, or 6.3% from $6.0 million during the nine months ended September 30, 2024, to $5.6 million during the nine months ended September 30, 2025.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decrease </w:t>
      </w:r>
      <w:r>
        <w:rPr>
          <w:rFonts w:ascii="Times New Roman;serif" w:hAnsi="Times New Roman;serif"/>
          <w:b w:val="false"/>
          <w:color w:val="000000"/>
          <w:sz w:val="20"/>
          <w:shd w:fill="FFFFFF" w:val="clear"/>
        </w:rPr>
        <w:t>was primarily due to the conclusion of a contractual arrangement with a customer for the development of reliability models for strategic radiation hardened toggle MRAM, and by the reduced pace of deliverables in our contractual agreements with customers for the development of RAD-Hard products a new agreement for the development of an AI technology application.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 of Sales and Gross Margin</w:t>
      </w:r>
    </w:p>
    <w:tbl>
      <w:tblPr>
        <w:tblW w:w="9469" w:type="dxa"/>
        <w:jc w:val="center"/>
        <w:tblInd w:w="0" w:type="dxa"/>
        <w:tblLayout w:type="fixed"/>
        <w:tblCellMar>
          <w:top w:w="28" w:type="dxa"/>
          <w:left w:w="28" w:type="dxa"/>
          <w:bottom w:w="28" w:type="dxa"/>
          <w:right w:w="28" w:type="dxa"/>
        </w:tblCellMar>
      </w:tblPr>
      <w:tblGrid>
        <w:gridCol w:w="1564"/>
        <w:gridCol w:w="1374"/>
        <w:gridCol w:w="1381"/>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316"/>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licensing, royalty, patent,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shd w:fill="FFFFFF" w:val="clear"/>
        </w:rPr>
        <w:t xml:space="preserve">Cost of product sales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$1.8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10.8%</w:t>
      </w:r>
      <w:r>
        <w:rPr>
          <w:rFonts w:ascii="Times New Roman;serif" w:hAnsi="Times New Roman;serif"/>
          <w:b w:val="false"/>
          <w:color w:val="000000"/>
          <w:sz w:val="20"/>
          <w:shd w:fill="FFFFFF" w:val="clear"/>
        </w:rPr>
        <w:t xml:space="preserve">, from </w:t>
      </w:r>
      <w:r>
        <w:rPr>
          <w:rFonts w:ascii="Times New Roman;serif" w:hAnsi="Times New Roman;serif"/>
          <w:b w:val="false"/>
          <w:color w:val="000000"/>
          <w:sz w:val="20"/>
        </w:rPr>
        <w:t>$17.0 million</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xml:space="preserve">, to </w:t>
      </w:r>
      <w:r>
        <w:rPr>
          <w:rFonts w:ascii="Times New Roman;serif" w:hAnsi="Times New Roman;serif"/>
          <w:b w:val="false"/>
          <w:color w:val="000000"/>
          <w:sz w:val="20"/>
        </w:rPr>
        <w:t>$18.8 million</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Cost of product sales relate primarily to costs of our toggle and STT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licensing, royalty, patent, and other revenue remained consistent at $0.8 million during the nine months ended September 30, 2024 and 2025,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Gross margin decreased from 52.0% during the nine months ended September 30, 2024, to 51.3% during the nine months ended September 30, 2025. Gross margin decreased as a result of a decrease in other revenue.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tbl>
      <w:tblPr>
        <w:tblW w:w="8660" w:type="dxa"/>
        <w:jc w:val="center"/>
        <w:tblInd w:w="0" w:type="dxa"/>
        <w:tblLayout w:type="fixed"/>
        <w:tblCellMar>
          <w:top w:w="28" w:type="dxa"/>
          <w:left w:w="28" w:type="dxa"/>
          <w:bottom w:w="28" w:type="dxa"/>
          <w:right w:w="28" w:type="dxa"/>
        </w:tblCellMar>
      </w:tblPr>
      <w:tblGrid>
        <w:gridCol w:w="1365"/>
        <w:gridCol w:w="1197"/>
        <w:gridCol w:w="1203"/>
        <w:gridCol w:w="211"/>
        <w:gridCol w:w="721"/>
        <w:gridCol w:w="271"/>
        <w:gridCol w:w="109"/>
        <w:gridCol w:w="109"/>
        <w:gridCol w:w="109"/>
        <w:gridCol w:w="211"/>
        <w:gridCol w:w="721"/>
        <w:gridCol w:w="271"/>
        <w:gridCol w:w="109"/>
        <w:gridCol w:w="109"/>
        <w:gridCol w:w="109"/>
        <w:gridCol w:w="211"/>
        <w:gridCol w:w="466"/>
        <w:gridCol w:w="109"/>
        <w:gridCol w:w="109"/>
        <w:gridCol w:w="109"/>
        <w:gridCol w:w="109"/>
        <w:gridCol w:w="203"/>
        <w:gridCol w:w="203"/>
        <w:gridCol w:w="316"/>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as a %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Research and Development Expenses</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Research and development expenses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$0.3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2.5%</w:t>
      </w:r>
      <w:r>
        <w:rPr>
          <w:rFonts w:ascii="Times New Roman;serif" w:hAnsi="Times New Roman;serif"/>
          <w:b w:val="false"/>
          <w:color w:val="000000"/>
          <w:sz w:val="20"/>
          <w:shd w:fill="FFFFFF" w:val="clear"/>
        </w:rPr>
        <w:t xml:space="preserve">, from </w:t>
      </w:r>
      <w:r>
        <w:rPr>
          <w:rFonts w:ascii="Times New Roman;serif" w:hAnsi="Times New Roman;serif"/>
          <w:b w:val="false"/>
          <w:color w:val="000000"/>
          <w:sz w:val="20"/>
        </w:rPr>
        <w:t>$10.3 million</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to $</w:t>
      </w:r>
      <w:r>
        <w:rPr>
          <w:rFonts w:ascii="Times New Roman;serif" w:hAnsi="Times New Roman;serif"/>
          <w:b w:val="false"/>
          <w:color w:val="000000"/>
          <w:sz w:val="20"/>
        </w:rPr>
        <w:t>10.5 million</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Research and development expenses relate primarily to</w:t>
      </w:r>
      <w:r>
        <w:rPr>
          <w:color w:val="000000"/>
          <w:shd w:fill="FFFFFF" w:val="clear"/>
        </w:rPr>
        <w:t xml:space="preserve"> </w:t>
      </w:r>
      <w:r>
        <w:rPr>
          <w:rFonts w:ascii="Times New Roman;serif" w:hAnsi="Times New Roman;serif"/>
          <w:b w:val="false"/>
          <w:color w:val="000000"/>
          <w:sz w:val="20"/>
          <w:shd w:fill="FFFFFF" w:val="clear"/>
        </w:rPr>
        <w:t>the development and enhancement of our new Extended Serial Peripheral Interface (xSPI) family of STT-MRAM products, which offer high-performance, multiple I/O, SPI-compatibility and feature a high-speed, low pin count SPI compatible interface.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tbl>
      <w:tblPr>
        <w:tblW w:w="8660" w:type="dxa"/>
        <w:jc w:val="center"/>
        <w:tblInd w:w="0" w:type="dxa"/>
        <w:tblLayout w:type="fixed"/>
        <w:tblCellMar>
          <w:top w:w="28" w:type="dxa"/>
          <w:left w:w="28" w:type="dxa"/>
          <w:bottom w:w="28" w:type="dxa"/>
          <w:right w:w="28" w:type="dxa"/>
        </w:tblCellMar>
      </w:tblPr>
      <w:tblGrid>
        <w:gridCol w:w="1365"/>
        <w:gridCol w:w="1198"/>
        <w:gridCol w:w="1202"/>
        <w:gridCol w:w="211"/>
        <w:gridCol w:w="721"/>
        <w:gridCol w:w="271"/>
        <w:gridCol w:w="109"/>
        <w:gridCol w:w="109"/>
        <w:gridCol w:w="109"/>
        <w:gridCol w:w="211"/>
        <w:gridCol w:w="721"/>
        <w:gridCol w:w="271"/>
        <w:gridCol w:w="109"/>
        <w:gridCol w:w="109"/>
        <w:gridCol w:w="109"/>
        <w:gridCol w:w="211"/>
        <w:gridCol w:w="466"/>
        <w:gridCol w:w="109"/>
        <w:gridCol w:w="109"/>
        <w:gridCol w:w="109"/>
        <w:gridCol w:w="109"/>
        <w:gridCol w:w="203"/>
        <w:gridCol w:w="203"/>
        <w:gridCol w:w="316"/>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as a %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increased by $0.5 million, or 4.9%, from $10.7 million during the nine months ended September 30, 2024, to $11.2 million during the nine months ended September 30, 2025. The increase is primarily due to one-time professional service fees.</w:t>
      </w:r>
    </w:p>
    <w:tbl>
      <w:tblPr>
        <w:tblW w:w="8112" w:type="dxa"/>
        <w:jc w:val="center"/>
        <w:tblInd w:w="0" w:type="dxa"/>
        <w:tblLayout w:type="fixed"/>
        <w:tblCellMar>
          <w:top w:w="28" w:type="dxa"/>
          <w:left w:w="28" w:type="dxa"/>
          <w:bottom w:w="28" w:type="dxa"/>
          <w:right w:w="28" w:type="dxa"/>
        </w:tblCellMar>
      </w:tblPr>
      <w:tblGrid>
        <w:gridCol w:w="1160"/>
        <w:gridCol w:w="1021"/>
        <w:gridCol w:w="1028"/>
        <w:gridCol w:w="220"/>
        <w:gridCol w:w="644"/>
        <w:gridCol w:w="283"/>
        <w:gridCol w:w="114"/>
        <w:gridCol w:w="114"/>
        <w:gridCol w:w="114"/>
        <w:gridCol w:w="220"/>
        <w:gridCol w:w="644"/>
        <w:gridCol w:w="283"/>
        <w:gridCol w:w="109"/>
        <w:gridCol w:w="109"/>
        <w:gridCol w:w="109"/>
        <w:gridCol w:w="211"/>
        <w:gridCol w:w="466"/>
        <w:gridCol w:w="109"/>
        <w:gridCol w:w="109"/>
        <w:gridCol w:w="109"/>
        <w:gridCol w:w="109"/>
        <w:gridCol w:w="255"/>
        <w:gridCol w:w="256"/>
        <w:gridCol w:w="316"/>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as a % of revenue</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Sales and Marketing Expenses</w:t>
      </w:r>
      <w:r>
        <w:rPr>
          <w:rFonts w:ascii="Times New Roman;serif" w:hAnsi="Times New Roman;serif"/>
          <w:b w:val="false"/>
          <w:color w:val="000000"/>
          <w:sz w:val="20"/>
        </w:rPr>
        <w:t xml:space="preserve">. Sales and marketing expenses increased by $0.5 million, or 13.3%, from $4.0 million during the nine months ended September 30, 2024, to $4.5 million during the nine months ended September 30, 2025. Sales and marketing expenses relate primarily to compensation costs and contract labor. </w:t>
      </w:r>
    </w:p>
    <w:tbl>
      <w:tblPr>
        <w:tblW w:w="6204" w:type="dxa"/>
        <w:jc w:val="center"/>
        <w:tblInd w:w="0" w:type="dxa"/>
        <w:tblLayout w:type="fixed"/>
        <w:tblCellMar>
          <w:top w:w="28" w:type="dxa"/>
          <w:left w:w="28" w:type="dxa"/>
          <w:bottom w:w="28" w:type="dxa"/>
          <w:right w:w="28" w:type="dxa"/>
        </w:tblCellMar>
      </w:tblPr>
      <w:tblGrid>
        <w:gridCol w:w="494"/>
        <w:gridCol w:w="433"/>
        <w:gridCol w:w="437"/>
        <w:gridCol w:w="253"/>
        <w:gridCol w:w="739"/>
        <w:gridCol w:w="130"/>
        <w:gridCol w:w="130"/>
        <w:gridCol w:w="130"/>
        <w:gridCol w:w="130"/>
        <w:gridCol w:w="253"/>
        <w:gridCol w:w="739"/>
        <w:gridCol w:w="130"/>
        <w:gridCol w:w="109"/>
        <w:gridCol w:w="109"/>
        <w:gridCol w:w="109"/>
        <w:gridCol w:w="211"/>
        <w:gridCol w:w="436"/>
        <w:gridCol w:w="109"/>
        <w:gridCol w:w="109"/>
        <w:gridCol w:w="109"/>
        <w:gridCol w:w="109"/>
        <w:gridCol w:w="239"/>
        <w:gridCol w:w="241"/>
        <w:gridCol w:w="316"/>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pPr>
      <w:r>
        <w:rPr>
          <w:rFonts w:ascii="Times New Roman;serif" w:hAnsi="Times New Roman;serif"/>
          <w:b w:val="false"/>
          <w:color w:val="000000"/>
          <w:sz w:val="20"/>
        </w:rPr>
        <w:t>Interest incom</w:t>
      </w:r>
      <w:r>
        <w:rPr>
          <w:rFonts w:ascii="Times New Roman;serif" w:hAnsi="Times New Roman;serif"/>
          <w:b w:val="false"/>
          <w:color w:val="000000"/>
          <w:sz w:val="20"/>
          <w:shd w:fill="FFFFFF" w:val="clear"/>
        </w:rPr>
        <w:t xml:space="preserve">e remained consistent at $1.3 million during the nine months ended September 30, 2024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respectively.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tbl>
      <w:tblPr>
        <w:tblW w:w="6761" w:type="dxa"/>
        <w:jc w:val="center"/>
        <w:tblInd w:w="0" w:type="dxa"/>
        <w:tblLayout w:type="fixed"/>
        <w:tblCellMar>
          <w:top w:w="28" w:type="dxa"/>
          <w:left w:w="28" w:type="dxa"/>
          <w:bottom w:w="28" w:type="dxa"/>
          <w:right w:w="28" w:type="dxa"/>
        </w:tblCellMar>
      </w:tblPr>
      <w:tblGrid>
        <w:gridCol w:w="564"/>
        <w:gridCol w:w="497"/>
        <w:gridCol w:w="499"/>
        <w:gridCol w:w="253"/>
        <w:gridCol w:w="739"/>
        <w:gridCol w:w="130"/>
        <w:gridCol w:w="130"/>
        <w:gridCol w:w="130"/>
        <w:gridCol w:w="130"/>
        <w:gridCol w:w="253"/>
        <w:gridCol w:w="739"/>
        <w:gridCol w:w="130"/>
        <w:gridCol w:w="109"/>
        <w:gridCol w:w="109"/>
        <w:gridCol w:w="109"/>
        <w:gridCol w:w="211"/>
        <w:gridCol w:w="691"/>
        <w:gridCol w:w="109"/>
        <w:gridCol w:w="109"/>
        <w:gridCol w:w="109"/>
        <w:gridCol w:w="109"/>
        <w:gridCol w:w="293"/>
        <w:gridCol w:w="293"/>
        <w:gridCol w:w="316"/>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pPr>
      <w:r>
        <w:rPr>
          <w:rFonts w:ascii="Times New Roman;serif" w:hAnsi="Times New Roman;serif"/>
          <w:b w:val="false"/>
          <w:color w:val="000000"/>
          <w:sz w:val="20"/>
        </w:rPr>
        <w:t xml:space="preserve">Other income, net decreased by $1.5 million, or 38.0%, from $3.9 million other expense during the nine months ended September 30, 2024, to $2.4 million other income during the nine months ended September 30, 2025. </w:t>
      </w:r>
      <w:r>
        <w:rPr>
          <w:rFonts w:ascii="Times New Roman;serif" w:hAnsi="Times New Roman;serif"/>
          <w:b w:val="false"/>
          <w:color w:val="000000"/>
          <w:sz w:val="20"/>
          <w:shd w:fill="FFFFFF" w:val="clear"/>
        </w:rPr>
        <w:t>Other income relates primarily to income recognized from a strategic award we received to develop a long-term plan to provide manufacturing services for aerospace and defense industries.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$45.3 million of cash and cash equivalents, compared to $42.1 million as of December 31, 2024. We believe our cash and cash equivalents are sufficient to meet our anticipated capital requirements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next 12 months. Our long-term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 (in thousands):</w:t>
      </w:r>
    </w:p>
    <w:tbl>
      <w:tblPr>
        <w:tblW w:w="5861" w:type="dxa"/>
        <w:jc w:val="center"/>
        <w:tblInd w:w="0" w:type="dxa"/>
        <w:tblLayout w:type="fixed"/>
        <w:tblCellMar>
          <w:top w:w="28" w:type="dxa"/>
          <w:left w:w="28" w:type="dxa"/>
          <w:bottom w:w="28" w:type="dxa"/>
          <w:right w:w="28" w:type="dxa"/>
        </w:tblCellMar>
      </w:tblPr>
      <w:tblGrid>
        <w:gridCol w:w="1150"/>
        <w:gridCol w:w="1013"/>
        <w:gridCol w:w="1016"/>
        <w:gridCol w:w="252"/>
        <w:gridCol w:w="737"/>
        <w:gridCol w:w="130"/>
        <w:gridCol w:w="130"/>
        <w:gridCol w:w="130"/>
        <w:gridCol w:w="130"/>
        <w:gridCol w:w="252"/>
        <w:gridCol w:w="737"/>
        <w:gridCol w:w="18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cash provided by operating activities was </w:t>
      </w:r>
      <w:r>
        <w:rPr>
          <w:rFonts w:ascii="Times New Roman;serif" w:hAnsi="Times New Roman;serif"/>
          <w:b w:val="false"/>
          <w:color w:val="000000"/>
          <w:sz w:val="20"/>
        </w:rPr>
        <w:t>$7.3 million</w:t>
      </w:r>
      <w:r>
        <w:rPr>
          <w:rFonts w:ascii="Times New Roman;serif" w:hAnsi="Times New Roman;serif"/>
          <w:b w:val="false"/>
          <w:color w:val="000000"/>
          <w:sz w:val="20"/>
          <w:shd w:fill="FFFFFF" w:val="clear"/>
        </w:rPr>
        <w:t xml:space="preserve">, which consisted of net loss of </w:t>
      </w:r>
      <w:r>
        <w:rPr>
          <w:rFonts w:ascii="Times New Roman;serif" w:hAnsi="Times New Roman;serif"/>
          <w:b w:val="false"/>
          <w:color w:val="000000"/>
          <w:sz w:val="20"/>
        </w:rPr>
        <w:t>$1.8 million</w:t>
      </w:r>
      <w:r>
        <w:rPr>
          <w:rFonts w:ascii="Times New Roman;serif" w:hAnsi="Times New Roman;serif"/>
          <w:b w:val="false"/>
          <w:color w:val="000000"/>
          <w:sz w:val="20"/>
          <w:shd w:fill="FFFFFF" w:val="clear"/>
        </w:rPr>
        <w:t xml:space="preserve">, non-cash charges of </w:t>
      </w:r>
      <w:r>
        <w:rPr>
          <w:rFonts w:ascii="Times New Roman;serif" w:hAnsi="Times New Roman;serif"/>
          <w:b w:val="false"/>
          <w:color w:val="000000"/>
          <w:sz w:val="20"/>
        </w:rPr>
        <w:t xml:space="preserve">$6.9 million </w:t>
      </w:r>
      <w:r>
        <w:rPr>
          <w:rFonts w:ascii="Times New Roman;serif" w:hAnsi="Times New Roman;serif"/>
          <w:b w:val="false"/>
          <w:color w:val="000000"/>
          <w:sz w:val="20"/>
          <w:shd w:fill="FFFFFF" w:val="clear"/>
        </w:rPr>
        <w:t xml:space="preserve">and changes of net operating assets and liabilities of </w:t>
      </w:r>
      <w:r>
        <w:rPr>
          <w:rFonts w:ascii="Times New Roman;serif" w:hAnsi="Times New Roman;serif"/>
          <w:b w:val="false"/>
          <w:color w:val="000000"/>
          <w:sz w:val="20"/>
        </w:rPr>
        <w:t>$2.2 million</w:t>
      </w:r>
      <w:r>
        <w:rPr>
          <w:rFonts w:ascii="Times New Roman;serif" w:hAnsi="Times New Roman;serif"/>
          <w:b w:val="false"/>
          <w:color w:val="000000"/>
          <w:sz w:val="20"/>
          <w:shd w:fill="FFFFFF" w:val="clear"/>
        </w:rPr>
        <w:t xml:space="preserve">. The non-cash charges consisted of stock-based compensation of </w:t>
      </w:r>
      <w:r>
        <w:rPr>
          <w:rFonts w:ascii="Times New Roman;serif" w:hAnsi="Times New Roman;serif"/>
          <w:b w:val="false"/>
          <w:color w:val="000000"/>
          <w:sz w:val="20"/>
        </w:rPr>
        <w:t>$4.4 million</w:t>
      </w:r>
      <w:r>
        <w:rPr>
          <w:color w:val="000000"/>
          <w:shd w:fill="FFFFFF" w:val="clear"/>
        </w:rPr>
        <w:t xml:space="preserve"> </w:t>
      </w:r>
      <w:r>
        <w:rPr>
          <w:rFonts w:ascii="Times New Roman;serif" w:hAnsi="Times New Roman;serif"/>
          <w:b w:val="false"/>
          <w:color w:val="000000"/>
          <w:sz w:val="20"/>
          <w:shd w:fill="FFFFFF" w:val="clear"/>
        </w:rPr>
        <w:t xml:space="preserve">and depreciation and amortization of </w:t>
      </w:r>
      <w:r>
        <w:rPr>
          <w:rFonts w:ascii="Times New Roman;serif" w:hAnsi="Times New Roman;serif"/>
          <w:b w:val="false"/>
          <w:color w:val="000000"/>
          <w:sz w:val="20"/>
        </w:rPr>
        <w:t>$2.6 million</w:t>
      </w:r>
      <w:r>
        <w:rPr>
          <w:rFonts w:ascii="Times New Roman;serif" w:hAnsi="Times New Roman;serif"/>
          <w:b w:val="false"/>
          <w:color w:val="000000"/>
          <w:sz w:val="20"/>
          <w:shd w:fill="FFFFFF" w:val="clear"/>
        </w:rPr>
        <w:t xml:space="preserve">. The change in our net operating assets and liabilities was primarily due to </w:t>
      </w:r>
      <w:r>
        <w:rPr>
          <w:rFonts w:ascii="Times New Roman;serif" w:hAnsi="Times New Roman;serif"/>
          <w:b w:val="false"/>
          <w:color w:val="000000"/>
          <w:sz w:val="20"/>
        </w:rPr>
        <w:t>a decrease in accounts receivable of $3.0 million, an increase in deferred revenue of $0.9 million, an increase in accrued liabilities of $0.5 million, an increase in contract obligation of $0.5 million, a decrease in prepaid and other current assets of $0.4 million, an increase in long-term income tax liability of $0.1 million, offset by an increase in inventory of $2.7 million and a decrease in accounts payable of $0.6 million.</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xml:space="preserve">, cash provided by operating activities was </w:t>
      </w:r>
      <w:r>
        <w:rPr>
          <w:rFonts w:ascii="Times New Roman;serif" w:hAnsi="Times New Roman;serif"/>
          <w:b w:val="false"/>
          <w:color w:val="000000"/>
          <w:sz w:val="20"/>
        </w:rPr>
        <w:t>$3.3 million</w:t>
      </w:r>
      <w:r>
        <w:rPr>
          <w:rFonts w:ascii="Times New Roman;serif" w:hAnsi="Times New Roman;serif"/>
          <w:b w:val="false"/>
          <w:color w:val="000000"/>
          <w:sz w:val="20"/>
          <w:shd w:fill="FFFFFF" w:val="clear"/>
        </w:rPr>
        <w:t xml:space="preserve">, which consisted of net loss of </w:t>
      </w:r>
      <w:r>
        <w:rPr>
          <w:rFonts w:ascii="Times New Roman;serif" w:hAnsi="Times New Roman;serif"/>
          <w:b w:val="false"/>
          <w:color w:val="000000"/>
          <w:sz w:val="20"/>
        </w:rPr>
        <w:t>$0.4 million</w:t>
      </w:r>
      <w:r>
        <w:rPr>
          <w:rFonts w:ascii="Times New Roman;serif" w:hAnsi="Times New Roman;serif"/>
          <w:b w:val="false"/>
          <w:color w:val="000000"/>
          <w:sz w:val="20"/>
          <w:shd w:fill="FFFFFF" w:val="clear"/>
        </w:rPr>
        <w:t>, non-cash charges of $</w:t>
      </w:r>
      <w:r>
        <w:rPr>
          <w:rFonts w:ascii="Times New Roman;serif" w:hAnsi="Times New Roman;serif"/>
          <w:b w:val="false"/>
          <w:color w:val="000000"/>
          <w:sz w:val="20"/>
        </w:rPr>
        <w:t>6.3 million</w:t>
      </w:r>
      <w:r>
        <w:rPr>
          <w:color w:val="000000"/>
          <w:shd w:fill="FFFFFF" w:val="clear"/>
        </w:rPr>
        <w:t xml:space="preserve"> </w:t>
      </w:r>
      <w:r>
        <w:rPr>
          <w:rFonts w:ascii="Times New Roman;serif" w:hAnsi="Times New Roman;serif"/>
          <w:b w:val="false"/>
          <w:color w:val="000000"/>
          <w:sz w:val="20"/>
          <w:shd w:fill="FFFFFF" w:val="clear"/>
        </w:rPr>
        <w:t xml:space="preserve">and changes of net operating assets and liabilities of </w:t>
      </w:r>
      <w:r>
        <w:rPr>
          <w:rFonts w:ascii="Times New Roman;serif" w:hAnsi="Times New Roman;serif"/>
          <w:b w:val="false"/>
          <w:color w:val="000000"/>
          <w:sz w:val="20"/>
        </w:rPr>
        <w:t>$2.6 million</w:t>
      </w:r>
      <w:r>
        <w:rPr>
          <w:rFonts w:ascii="Times New Roman;serif" w:hAnsi="Times New Roman;serif"/>
          <w:b w:val="false"/>
          <w:color w:val="000000"/>
          <w:sz w:val="20"/>
          <w:shd w:fill="FFFFFF" w:val="clear"/>
        </w:rPr>
        <w:t xml:space="preserve">. The non-cash charges primarily consisted of stock-based compensation of </w:t>
      </w:r>
      <w:r>
        <w:rPr>
          <w:rFonts w:ascii="Times New Roman;serif" w:hAnsi="Times New Roman;serif"/>
          <w:b w:val="false"/>
          <w:color w:val="000000"/>
          <w:sz w:val="20"/>
        </w:rPr>
        <w:t>$5.1 million</w:t>
      </w:r>
      <w:r>
        <w:rPr>
          <w:rFonts w:ascii="Times New Roman;serif" w:hAnsi="Times New Roman;serif"/>
          <w:b w:val="false"/>
          <w:color w:val="000000"/>
          <w:sz w:val="20"/>
          <w:shd w:fill="FFFFFF" w:val="clear"/>
        </w:rPr>
        <w:t xml:space="preserve">, depreciation and amortization of </w:t>
      </w:r>
      <w:r>
        <w:rPr>
          <w:rFonts w:ascii="Times New Roman;serif" w:hAnsi="Times New Roman;serif"/>
          <w:b w:val="false"/>
          <w:color w:val="000000"/>
          <w:sz w:val="20"/>
        </w:rPr>
        <w:t>$1.2 million</w:t>
      </w:r>
      <w:r>
        <w:rPr>
          <w:rFonts w:ascii="Times New Roman;serif" w:hAnsi="Times New Roman;serif"/>
          <w:b w:val="false"/>
          <w:color w:val="000000"/>
          <w:sz w:val="20"/>
          <w:shd w:fill="FFFFFF" w:val="clear"/>
        </w:rPr>
        <w:t xml:space="preserve">. The change in our net operating assets and liabilities was primarily due to an increase in accounts payable of </w:t>
      </w:r>
      <w:r>
        <w:rPr>
          <w:rFonts w:ascii="Times New Roman;serif" w:hAnsi="Times New Roman;serif"/>
          <w:b w:val="false"/>
          <w:color w:val="000000"/>
          <w:sz w:val="20"/>
        </w:rPr>
        <w:t>$0.2 million</w:t>
      </w:r>
      <w:r>
        <w:rPr>
          <w:rFonts w:ascii="Times New Roman;serif" w:hAnsi="Times New Roman;serif"/>
          <w:b w:val="false"/>
          <w:color w:val="000000"/>
          <w:sz w:val="20"/>
          <w:shd w:fill="FFFFFF" w:val="clear"/>
        </w:rPr>
        <w:t xml:space="preserve">, an increase in contract obligations of </w:t>
      </w:r>
      <w:r>
        <w:rPr>
          <w:rFonts w:ascii="Times New Roman;serif" w:hAnsi="Times New Roman;serif"/>
          <w:b w:val="false"/>
          <w:color w:val="000000"/>
          <w:sz w:val="20"/>
        </w:rPr>
        <w:t>$3.0 million</w:t>
      </w:r>
      <w:r>
        <w:rPr>
          <w:rFonts w:ascii="Times New Roman;serif" w:hAnsi="Times New Roman;serif"/>
          <w:b w:val="false"/>
          <w:color w:val="000000"/>
          <w:sz w:val="20"/>
          <w:shd w:fill="FFFFFF" w:val="clear"/>
        </w:rPr>
        <w:t xml:space="preserve">, an increase in prepaid and other current assets of </w:t>
      </w:r>
      <w:r>
        <w:rPr>
          <w:rFonts w:ascii="Times New Roman;serif" w:hAnsi="Times New Roman;serif"/>
          <w:b w:val="false"/>
          <w:color w:val="000000"/>
          <w:sz w:val="20"/>
        </w:rPr>
        <w:t>$3.6 million</w:t>
      </w:r>
      <w:r>
        <w:rPr>
          <w:rFonts w:ascii="Times New Roman;serif" w:hAnsi="Times New Roman;serif"/>
          <w:b w:val="false"/>
          <w:color w:val="000000"/>
          <w:sz w:val="20"/>
          <w:shd w:fill="FFFFFF" w:val="clear"/>
        </w:rPr>
        <w:t xml:space="preserve">, a decrease in accounts receivable of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 xml:space="preserve">due to timing of cash receipts for outstanding balances, and a decrease in accrued liabilities of </w:t>
      </w:r>
      <w:r>
        <w:rPr>
          <w:rFonts w:ascii="Times New Roman;serif" w:hAnsi="Times New Roman;serif"/>
          <w:b w:val="false"/>
          <w:color w:val="000000"/>
          <w:sz w:val="20"/>
        </w:rPr>
        <w:t>$2.2 million</w:t>
      </w:r>
      <w:r>
        <w:rPr>
          <w:rFonts w:ascii="Times New Roman;serif" w:hAnsi="Times New Roman;serif"/>
          <w:b w:val="false"/>
          <w:color w:val="000000"/>
          <w:sz w:val="20"/>
          <w:shd w:fill="FFFFFF" w:val="clear"/>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during the nine months ended September 30, 2025 was $4.7 million due to $3.2 million of purchases of manufacturing equipment and $1.5 million in purchases of intangible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during the nine months ended September 30, 2024 was $1.3 million, reflecting purchases of manufacturing equipment.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 during the nine months ended September 30, 2025 was $0.6 million, primarily due to proceeds from the exercise of employee stock options and purchase of shares under our employee stock purchase plan offset by a nominal amount in payments on finance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 during the nine months ended September 30, 2024 was $0.7 million, consisting of proceeds from the exercise of employee stock options and purchase of shares under our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critical accounting policies and estimates described in the Annual Report on Form 10-K for the year ended December 31, 2024, filed with the SEC on February 27, 2025, that have had a material impact on our condensed financial statements and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required for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(CEO) and Chief Financial Officer (CFO), evaluated the effectiveness of the design and operation of our disclosure controls and procedures (as defined in Rules 13a-15(e) and 15d-15(e) under the Exchange Act), as of September 30, 2025, the end of the period covered by this Quarterly Report on Form 10-Q.</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Based on this evaluation, our CEO and CFO concluded that our disclosure controls and procedures were effective at the reasonable assurance level as of September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and nine months ended September 30, 2025 that materially affected, or are reasonably likely to materially affect, our internal control over financial reporting.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Inherent limitation on the effectiveness of internal control.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not party to any material legal proceedings at this time. From time to time, we may become involved in various legal proceedings that arise in the ordinary course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information set forth in this report, you should carefully consider the factors discussed in “Part I, Item 1A. Risk Factors” of our annual report on Form 10-K for our fiscal year ended December 31, 2024 and in “Part II, Item 1A. Risk Factors” of our quarterly report on Form 10-Q for the quarterly period ended March 31, 2025,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4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our directors and officers (as defined in Rule 16a-1(f) under the Exchange Act) adopted or terminated the contracts, instructions or written plans for the purchase or sale of our securities set forth in the table below.</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969"/>
        <w:gridCol w:w="783"/>
        <w:gridCol w:w="786"/>
        <w:gridCol w:w="369"/>
        <w:gridCol w:w="369"/>
        <w:gridCol w:w="373"/>
        <w:gridCol w:w="577"/>
        <w:gridCol w:w="577"/>
        <w:gridCol w:w="578"/>
        <w:gridCol w:w="522"/>
        <w:gridCol w:w="522"/>
        <w:gridCol w:w="523"/>
        <w:gridCol w:w="683"/>
        <w:gridCol w:w="683"/>
        <w:gridCol w:w="686"/>
        <w:gridCol w:w="351"/>
        <w:gridCol w:w="351"/>
        <w:gridCol w:w="503"/>
      </w:tblGrid>
      <w:tr>
        <w:trPr/>
        <w:tc>
          <w:tcPr>
            <w:tcW w:w="96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53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Type of </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Trading Arrangement</w:t>
            </w:r>
          </w:p>
        </w:tc>
        <w:tc>
          <w:tcPr>
            <w:tcW w:w="205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Action </w:t>
            </w:r>
          </w:p>
        </w:tc>
        <w:tc>
          <w:tcPr>
            <w:tcW w:w="17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Adoption/Termination Date</w:t>
            </w:r>
          </w:p>
        </w:tc>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Rule 10b5-1*</w:t>
            </w:r>
          </w:p>
        </w:tc>
        <w:tc>
          <w:tcPr>
            <w:tcW w:w="2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Total Shares of Common Stock to be Sold</w:t>
            </w:r>
          </w:p>
        </w:tc>
        <w:tc>
          <w:tcPr>
            <w:tcW w:w="12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Expiration Date</w:t>
            </w:r>
          </w:p>
        </w:tc>
      </w:tr>
      <w:tr>
        <w:trPr/>
        <w:tc>
          <w:tcPr>
            <w:tcW w:w="25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Sanjeev Aggarwal, Chief Executive Officer and Director</w:t>
            </w:r>
          </w:p>
        </w:tc>
        <w:tc>
          <w:tcPr>
            <w:tcW w:w="11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Termination</w:t>
            </w:r>
          </w:p>
        </w:tc>
        <w:tc>
          <w:tcPr>
            <w:tcW w:w="17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8/11/2025</w:t>
            </w:r>
          </w:p>
        </w:tc>
        <w:tc>
          <w:tcPr>
            <w:tcW w:w="15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20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Up to 100,000</w:t>
            </w:r>
          </w:p>
        </w:tc>
        <w:tc>
          <w:tcPr>
            <w:tcW w:w="1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1/9/2026</w:t>
            </w:r>
          </w:p>
        </w:tc>
      </w:tr>
      <w:tr>
        <w:trPr/>
        <w:tc>
          <w:tcPr>
            <w:tcW w:w="10205" w:type="dxa"/>
            <w:gridSpan w:val="18"/>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Contract, instruction or written plan intended to satisfy the affirmative defense conditions of Rule 10b5-1(c) under the Exchange Act.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80"/>
        <w:gridCol w:w="247"/>
        <w:gridCol w:w="248"/>
        <w:gridCol w:w="109"/>
        <w:gridCol w:w="109"/>
        <w:gridCol w:w="109"/>
        <w:gridCol w:w="1725"/>
        <w:gridCol w:w="1604"/>
        <w:gridCol w:w="1620"/>
        <w:gridCol w:w="109"/>
        <w:gridCol w:w="109"/>
        <w:gridCol w:w="109"/>
        <w:gridCol w:w="170"/>
        <w:gridCol w:w="170"/>
        <w:gridCol w:w="171"/>
        <w:gridCol w:w="117"/>
        <w:gridCol w:w="117"/>
        <w:gridCol w:w="117"/>
        <w:gridCol w:w="345"/>
        <w:gridCol w:w="200"/>
        <w:gridCol w:w="192"/>
        <w:gridCol w:w="117"/>
        <w:gridCol w:w="117"/>
        <w:gridCol w:w="117"/>
        <w:gridCol w:w="275"/>
        <w:gridCol w:w="275"/>
        <w:gridCol w:w="276"/>
        <w:gridCol w:w="109"/>
        <w:gridCol w:w="109"/>
        <w:gridCol w:w="109"/>
        <w:gridCol w:w="208"/>
        <w:gridCol w:w="208"/>
        <w:gridCol w:w="308"/>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 File No.</w:t>
            </w:r>
          </w:p>
        </w:tc>
        <w:tc>
          <w:tcPr>
            <w:tcW w:w="3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shd w:fill="FFFFFF" w:val="clear"/>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10/13/2016</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shd w:fill="FFFFFF" w:val="clear"/>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5/22/2019</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5/27/2020</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5/25/2023</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5/22/2019</w:t>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ram-20250930xex311.htm">
              <w:r>
                <w:rPr>
                  <w:rStyle w:val="InternetLink"/>
                  <w:rFonts w:ascii="Times New Roman;serif" w:hAnsi="Times New Roman;serif"/>
                  <w:b w:val="false"/>
                  <w:color w:val="0000FF"/>
                  <w:sz w:val="20"/>
                  <w:u w:val="single"/>
                </w:rPr>
                <w:t>Certification of Principal Executive Officer Pursuant to Rules 13a-14(a) and 15d-14(a)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ram-20250930xex312.htm">
              <w:r>
                <w:rPr>
                  <w:rStyle w:val="InternetLink"/>
                  <w:rFonts w:ascii="Times New Roman;serif" w:hAnsi="Times New Roman;serif"/>
                  <w:b w:val="false"/>
                  <w:color w:val="0000FF"/>
                  <w:sz w:val="20"/>
                  <w:u w:val="single"/>
                </w:rPr>
                <w:t>Certification of Principal Financial Officer Pursuant to Rules 13a-14(a) and 15d-14(a)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ram-20250930xex321.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e4329226ff624693a83d953827d95d50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2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743" w:type="dxa"/>
        <w:jc w:val="left"/>
        <w:tblInd w:w="0" w:type="dxa"/>
        <w:tblLayout w:type="fixed"/>
        <w:tblCellMar>
          <w:top w:w="28" w:type="dxa"/>
          <w:left w:w="28" w:type="dxa"/>
          <w:bottom w:w="28" w:type="dxa"/>
          <w:right w:w="28" w:type="dxa"/>
        </w:tblCellMar>
      </w:tblPr>
      <w:tblGrid>
        <w:gridCol w:w="759"/>
        <w:gridCol w:w="668"/>
        <w:gridCol w:w="672"/>
        <w:gridCol w:w="375"/>
        <w:gridCol w:w="375"/>
        <w:gridCol w:w="375"/>
        <w:gridCol w:w="733"/>
        <w:gridCol w:w="733"/>
        <w:gridCol w:w="105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Everspin Technologies,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Sanjeev Aggarwal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Sanjeev Aggarwal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Cooper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Cooper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Sanjeev Aggarwal,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10-Q of Everspin Technologies,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2847" w:type="dxa"/>
        <w:jc w:val="center"/>
        <w:tblInd w:w="0" w:type="dxa"/>
        <w:tblLayout w:type="fixed"/>
        <w:tblCellMar>
          <w:top w:w="28" w:type="dxa"/>
          <w:left w:w="28" w:type="dxa"/>
          <w:bottom w:w="28" w:type="dxa"/>
          <w:right w:w="28" w:type="dxa"/>
        </w:tblCellMar>
      </w:tblPr>
      <w:tblGrid>
        <w:gridCol w:w="124"/>
        <w:gridCol w:w="109"/>
        <w:gridCol w:w="109"/>
        <w:gridCol w:w="732"/>
        <w:gridCol w:w="732"/>
        <w:gridCol w:w="10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Sanjeev Aggarwal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Sanjeev Aggarwal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William Cooper,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10-Q of Everspin Technologies,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2862" w:type="dxa"/>
        <w:jc w:val="center"/>
        <w:tblInd w:w="0" w:type="dxa"/>
        <w:tblLayout w:type="fixed"/>
        <w:tblCellMar>
          <w:top w:w="28" w:type="dxa"/>
          <w:left w:w="28" w:type="dxa"/>
          <w:bottom w:w="28" w:type="dxa"/>
          <w:right w:w="28" w:type="dxa"/>
        </w:tblCellMar>
      </w:tblPr>
      <w:tblGrid>
        <w:gridCol w:w="124"/>
        <w:gridCol w:w="109"/>
        <w:gridCol w:w="109"/>
        <w:gridCol w:w="738"/>
        <w:gridCol w:w="738"/>
        <w:gridCol w:w="1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William Cooper, Chief Financial Officer of the Company, each hereby certifies that, to the best of his knowledge:</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September 30, 2025, to which this Certification is attached as Exhibit 32.1 (the “Periodic Report”), fully complies with the requirements of Section 13(a) or Section 15(d) of the Exchange Act; and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2861" w:type="dxa"/>
        <w:jc w:val="left"/>
        <w:tblInd w:w="0" w:type="dxa"/>
        <w:tblLayout w:type="fixed"/>
        <w:tblCellMar>
          <w:top w:w="28" w:type="dxa"/>
          <w:left w:w="28" w:type="dxa"/>
          <w:bottom w:w="28" w:type="dxa"/>
          <w:right w:w="28" w:type="dxa"/>
        </w:tblCellMar>
      </w:tblPr>
      <w:tblGrid>
        <w:gridCol w:w="124"/>
        <w:gridCol w:w="109"/>
        <w:gridCol w:w="109"/>
        <w:gridCol w:w="736"/>
        <w:gridCol w:w="736"/>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Sanjeev Aggarwal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Sanjeev Aggarwal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8423/000119312516737688/d271840dex31.htm" TargetMode="External"/><Relationship Id="rId3" Type="http://schemas.openxmlformats.org/officeDocument/2006/relationships/hyperlink" Target="http://www.sec.gov/Archives/edgar/data/1438423/000119312519154165/d752899dex31.htm" TargetMode="External"/><Relationship Id="rId4" Type="http://schemas.openxmlformats.org/officeDocument/2006/relationships/hyperlink" Target="https://www.sec.gov/Archives/edgar/data/1438423/000119312520153247/d936625dex31.htm" TargetMode="External"/><Relationship Id="rId5" Type="http://schemas.openxmlformats.org/officeDocument/2006/relationships/hyperlink" Target="https://www.sec.gov/Archives/edgar/data/1438423/000110465923064640/tm2316966d1_ex3-1.htm" TargetMode="External"/><Relationship Id="rId6" Type="http://schemas.openxmlformats.org/officeDocument/2006/relationships/hyperlink" Target="https://www.sec.gov/Archives/edgar/data/1438423/000119312519154165/d752899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12369</Words>
  <Characters>69242</Characters>
  <CharactersWithSpaces>80150</CharactersWithSpaces>
  <Paragraphs>2230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