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246380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-232410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1"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64135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35"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92710</wp:posOffset>
            </wp:positionV>
            <wp:extent cx="156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215" w:lineRule="exact"/>
        <w:rPr>
          <w:sz w:val="24"/>
          <w:szCs w:val="24"/>
          <w:color w:val="auto"/>
        </w:rPr>
      </w:pPr>
    </w:p>
    <w:p>
      <w:pPr>
        <w:ind w:left="1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30" w:right="180" w:hanging="430"/>
        <w:spacing w:after="0" w:line="236" w:lineRule="auto"/>
        <w:tabs>
          <w:tab w:leader="none" w:pos="43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5"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31"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430" w:right="180" w:hanging="430"/>
        <w:spacing w:after="0" w:line="256" w:lineRule="auto"/>
        <w:tabs>
          <w:tab w:leader="none" w:pos="43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ind w:left="3270"/>
        <w:spacing w:after="0"/>
        <w:tabs>
          <w:tab w:leader="none" w:pos="621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3580765</wp:posOffset>
            </wp:positionH>
            <wp:positionV relativeFrom="paragraph">
              <wp:posOffset>-7620</wp:posOffset>
            </wp:positionV>
            <wp:extent cx="837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15"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63500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04" w:lineRule="exact"/>
        <w:rPr>
          <w:sz w:val="24"/>
          <w:szCs w:val="24"/>
          <w:color w:val="auto"/>
        </w:rPr>
      </w:pPr>
    </w:p>
    <w:p>
      <w:pPr>
        <w:jc w:val="center"/>
        <w:ind w:right="10"/>
        <w:spacing w:after="0"/>
        <w:rPr>
          <w:sz w:val="20"/>
          <w:szCs w:val="20"/>
          <w:color w:val="auto"/>
        </w:rPr>
      </w:pPr>
      <w:r>
        <w:rPr>
          <w:rFonts w:ascii="Arial" w:cs="Arial" w:eastAsia="Arial" w:hAnsi="Arial"/>
          <w:sz w:val="43"/>
          <w:szCs w:val="43"/>
          <w:b w:val="1"/>
          <w:bCs w:val="1"/>
          <w:color w:val="auto"/>
        </w:rPr>
        <w:t>Everspin Technologies, Inc.</w:t>
      </w:r>
    </w:p>
    <w:p>
      <w:pPr>
        <w:spacing w:after="0" w:line="50"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47625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6" w:lineRule="exact"/>
        <w:rPr>
          <w:sz w:val="24"/>
          <w:szCs w:val="24"/>
          <w:color w:val="auto"/>
        </w:rPr>
      </w:pPr>
    </w:p>
    <w:tbl>
      <w:tblPr>
        <w:tblLayout w:type="fixed"/>
        <w:tblInd w:w="1230" w:type="dxa"/>
        <w:tblCellMar>
          <w:top w:w="0" w:type="dxa"/>
          <w:left w:w="0" w:type="dxa"/>
          <w:bottom w:w="0" w:type="dxa"/>
          <w:right w:w="0" w:type="dxa"/>
        </w:tblCellMar>
      </w:tblPr>
      <w:tr>
        <w:trPr>
          <w:trHeight w:val="216"/>
        </w:trPr>
        <w:tc>
          <w:tcPr>
            <w:tcW w:w="41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3"/>
              </w:rPr>
              <w:t>Delaware</w:t>
            </w:r>
          </w:p>
        </w:tc>
        <w:tc>
          <w:tcPr>
            <w:tcW w:w="3040" w:type="dxa"/>
            <w:vAlign w:val="bottom"/>
          </w:tcPr>
          <w:p>
            <w:pPr>
              <w:jc w:val="center"/>
              <w:ind w:left="1530"/>
              <w:spacing w:after="0"/>
              <w:rPr>
                <w:sz w:val="20"/>
                <w:szCs w:val="20"/>
                <w:color w:val="auto"/>
              </w:rPr>
            </w:pPr>
            <w:r>
              <w:rPr>
                <w:rFonts w:ascii="Arial" w:cs="Arial" w:eastAsia="Arial" w:hAnsi="Arial"/>
                <w:sz w:val="18"/>
                <w:szCs w:val="18"/>
                <w:b w:val="1"/>
                <w:bCs w:val="1"/>
                <w:color w:val="auto"/>
                <w:w w:val="89"/>
              </w:rPr>
              <w:t>26-2640654</w:t>
            </w:r>
          </w:p>
        </w:tc>
      </w:tr>
      <w:tr>
        <w:trPr>
          <w:trHeight w:val="216"/>
        </w:trPr>
        <w:tc>
          <w:tcPr>
            <w:tcW w:w="41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1"/>
              </w:rPr>
              <w:t>(State or other jurisdiction</w:t>
            </w:r>
          </w:p>
        </w:tc>
        <w:tc>
          <w:tcPr>
            <w:tcW w:w="3040" w:type="dxa"/>
            <w:vAlign w:val="bottom"/>
          </w:tcPr>
          <w:p>
            <w:pPr>
              <w:jc w:val="center"/>
              <w:ind w:left="15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1"/>
              </w:rPr>
              <w:t>of incorporation or organization)</w:t>
            </w:r>
          </w:p>
        </w:tc>
        <w:tc>
          <w:tcPr>
            <w:tcW w:w="3040" w:type="dxa"/>
            <w:vAlign w:val="bottom"/>
          </w:tcPr>
          <w:p>
            <w:pPr>
              <w:jc w:val="center"/>
              <w:ind w:left="153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03"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5670 W. Chandler Boulevard, Suite 130</w:t>
      </w:r>
    </w:p>
    <w:p>
      <w:pPr>
        <w:spacing w:after="0" w:line="27"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Chandler, Arizona 85226</w:t>
      </w:r>
    </w:p>
    <w:p>
      <w:pPr>
        <w:spacing w:after="0" w:line="9"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112" w:lineRule="exact"/>
        <w:rPr>
          <w:sz w:val="24"/>
          <w:szCs w:val="24"/>
          <w:color w:val="auto"/>
        </w:rPr>
      </w:pPr>
    </w:p>
    <w:p>
      <w:pPr>
        <w:ind w:left="2550"/>
        <w:spacing w:after="0"/>
        <w:rPr>
          <w:sz w:val="20"/>
          <w:szCs w:val="20"/>
          <w:color w:val="auto"/>
        </w:rPr>
      </w:pPr>
      <w:r>
        <w:rPr>
          <w:rFonts w:ascii="Arial" w:cs="Arial" w:eastAsia="Arial" w:hAnsi="Arial"/>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85725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9" w:lineRule="exact"/>
        <w:rPr>
          <w:sz w:val="24"/>
          <w:szCs w:val="24"/>
          <w:color w:val="auto"/>
        </w:rPr>
      </w:pPr>
    </w:p>
    <w:p>
      <w:pPr>
        <w:ind w:left="1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34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Title of each class</w:t>
            </w:r>
          </w:p>
        </w:tc>
        <w:tc>
          <w:tcPr>
            <w:tcW w:w="34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Trading Symbol(s)</w:t>
            </w:r>
          </w:p>
        </w:tc>
        <w:tc>
          <w:tcPr>
            <w:tcW w:w="34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2"/>
              </w:rPr>
              <w:t>Name of each exchange on which registered</w:t>
            </w:r>
          </w:p>
        </w:tc>
      </w:tr>
      <w:tr>
        <w:trPr>
          <w:trHeight w:val="210"/>
        </w:trPr>
        <w:tc>
          <w:tcPr>
            <w:tcW w:w="34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Common Stock, par value $0.0001</w:t>
            </w:r>
          </w:p>
        </w:tc>
        <w:tc>
          <w:tcPr>
            <w:tcW w:w="3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MRAM</w:t>
            </w:r>
          </w:p>
        </w:tc>
        <w:tc>
          <w:tcPr>
            <w:tcW w:w="3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Nasdaq Stock Market LLC</w:t>
            </w:r>
          </w:p>
        </w:tc>
      </w:tr>
    </w:tbl>
    <w:p>
      <w:pPr>
        <w:spacing w:after="0" w:line="107" w:lineRule="exact"/>
        <w:rPr>
          <w:sz w:val="24"/>
          <w:szCs w:val="24"/>
          <w:color w:val="auto"/>
        </w:rPr>
      </w:pPr>
    </w:p>
    <w:p>
      <w:pPr>
        <w:jc w:val="both"/>
        <w:ind w:left="10" w:right="6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1" w:lineRule="exact"/>
        <w:rPr>
          <w:sz w:val="24"/>
          <w:szCs w:val="24"/>
          <w:color w:val="auto"/>
        </w:rPr>
      </w:pPr>
    </w:p>
    <w:p>
      <w:pPr>
        <w:ind w:left="10" w:right="22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1" w:lineRule="exact"/>
        <w:rPr>
          <w:sz w:val="24"/>
          <w:szCs w:val="24"/>
          <w:color w:val="auto"/>
        </w:rPr>
      </w:pPr>
    </w:p>
    <w:p>
      <w:pPr>
        <w:ind w:left="10" w:right="18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0" w:type="dxa"/>
        <w:tblCellMar>
          <w:top w:w="0" w:type="dxa"/>
          <w:left w:w="0" w:type="dxa"/>
          <w:bottom w:w="0" w:type="dxa"/>
          <w:right w:w="0" w:type="dxa"/>
        </w:tblCellMar>
      </w:tblPr>
      <w:tr>
        <w:trPr>
          <w:trHeight w:val="178"/>
        </w:trPr>
        <w:tc>
          <w:tcPr>
            <w:tcW w:w="1680" w:type="dxa"/>
            <w:vAlign w:val="bottom"/>
          </w:tcPr>
          <w:p>
            <w:pPr>
              <w:spacing w:after="0" w:line="178" w:lineRule="exact"/>
              <w:rPr>
                <w:sz w:val="20"/>
                <w:szCs w:val="20"/>
                <w:color w:val="auto"/>
              </w:rPr>
            </w:pPr>
            <w:r>
              <w:rPr>
                <w:rFonts w:ascii="Arial" w:cs="Arial" w:eastAsia="Arial" w:hAnsi="Arial"/>
                <w:sz w:val="18"/>
                <w:szCs w:val="18"/>
                <w:color w:val="auto"/>
                <w:w w:val="93"/>
              </w:rPr>
              <w:t>Large accelerated filer</w:t>
            </w:r>
          </w:p>
        </w:tc>
        <w:tc>
          <w:tcPr>
            <w:tcW w:w="2880" w:type="dxa"/>
            <w:vAlign w:val="bottom"/>
          </w:tcPr>
          <w:p>
            <w:pPr>
              <w:ind w:left="60"/>
              <w:spacing w:after="0" w:line="178"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line="178" w:lineRule="exact"/>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78"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w w:val="99"/>
              </w:rPr>
              <w:t>Non-accelerated filer</w:t>
            </w:r>
          </w:p>
        </w:tc>
        <w:tc>
          <w:tcPr>
            <w:tcW w:w="2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920" w:type="dxa"/>
            <w:vAlign w:val="bottom"/>
          </w:tcPr>
          <w:p>
            <w:pPr>
              <w:ind w:left="264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7"/>
        </w:trPr>
        <w:tc>
          <w:tcPr>
            <w:tcW w:w="9480" w:type="dxa"/>
            <w:vAlign w:val="bottom"/>
            <w:gridSpan w:val="3"/>
          </w:tcPr>
          <w:p>
            <w:pPr>
              <w:spacing w:after="0"/>
              <w:rPr>
                <w:sz w:val="20"/>
                <w:szCs w:val="20"/>
                <w:color w:val="auto"/>
              </w:rPr>
            </w:pPr>
            <w:r>
              <w:rPr>
                <w:rFonts w:ascii="Arial" w:cs="Arial" w:eastAsia="Arial" w:hAnsi="Arial"/>
                <w:sz w:val="18"/>
                <w:szCs w:val="18"/>
                <w:color w:val="auto"/>
                <w:w w:val="92"/>
              </w:rPr>
              <w:t>If an emerging growth company, indicate by check mark if the registrant has elected not to use the extended transition period for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9480" w:type="dxa"/>
            <w:vAlign w:val="bottom"/>
            <w:gridSpan w:val="3"/>
          </w:tcPr>
          <w:p>
            <w:pPr>
              <w:spacing w:after="0"/>
              <w:rPr>
                <w:sz w:val="20"/>
                <w:szCs w:val="20"/>
                <w:color w:val="auto"/>
              </w:rPr>
            </w:pPr>
            <w:r>
              <w:rPr>
                <w:rFonts w:ascii="Arial" w:cs="Arial" w:eastAsia="Arial" w:hAnsi="Arial"/>
                <w:sz w:val="18"/>
                <w:szCs w:val="18"/>
                <w:color w:val="auto"/>
                <w:w w:val="97"/>
              </w:rPr>
              <w:t>complying with any new or revised financial accounting standards provided pursuant to Section 13(a) of the Exchange Act.</w:t>
            </w:r>
          </w:p>
        </w:tc>
        <w:tc>
          <w:tcPr>
            <w:tcW w:w="740" w:type="dxa"/>
            <w:vAlign w:val="bottom"/>
          </w:tcPr>
          <w:p>
            <w:pPr>
              <w:spacing w:after="0"/>
              <w:rPr>
                <w:sz w:val="20"/>
                <w:szCs w:val="20"/>
                <w:color w:val="auto"/>
              </w:rPr>
            </w:pPr>
          </w:p>
        </w:tc>
      </w:tr>
      <w:tr>
        <w:trPr>
          <w:trHeight w:val="393"/>
        </w:trPr>
        <w:tc>
          <w:tcPr>
            <w:tcW w:w="9480" w:type="dxa"/>
            <w:vAlign w:val="bottom"/>
            <w:gridSpan w:val="3"/>
          </w:tcPr>
          <w:p>
            <w:pPr>
              <w:spacing w:after="0" w:line="207" w:lineRule="exact"/>
              <w:rPr>
                <w:sz w:val="20"/>
                <w:szCs w:val="20"/>
                <w:color w:val="auto"/>
              </w:rPr>
            </w:pPr>
            <w:r>
              <w:rPr>
                <w:rFonts w:ascii="Arial" w:cs="Arial" w:eastAsia="Arial" w:hAnsi="Arial"/>
                <w:sz w:val="18"/>
                <w:szCs w:val="18"/>
                <w:color w:val="auto"/>
                <w:w w:val="93"/>
              </w:rPr>
              <w:t xml:space="preserve">Indicate by check mark whether the Registrant is a shell company (as defined in Rule 12b-2 of the Exchange Act).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c>
          <w:tcPr>
            <w:tcW w:w="7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39" w:lineRule="exact"/>
        <w:rPr>
          <w:sz w:val="24"/>
          <w:szCs w:val="24"/>
          <w:color w:val="auto"/>
        </w:rPr>
      </w:pPr>
    </w:p>
    <w:p>
      <w:pPr>
        <w:ind w:left="10"/>
        <w:spacing w:after="0"/>
        <w:rPr>
          <w:sz w:val="20"/>
          <w:szCs w:val="20"/>
          <w:color w:val="auto"/>
        </w:rPr>
      </w:pPr>
      <w:r>
        <w:rPr>
          <w:rFonts w:ascii="Arial" w:cs="Arial" w:eastAsia="Arial" w:hAnsi="Arial"/>
          <w:sz w:val="18"/>
          <w:szCs w:val="18"/>
          <w:color w:val="auto"/>
        </w:rPr>
        <w:t>The number of shares of the Registrant’s Common Stock outstanding as of October 31, 2023, was 21,023,438.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606425</wp:posOffset>
            </wp:positionV>
            <wp:extent cx="6497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92075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74930</wp:posOffset>
            </wp:positionV>
            <wp:extent cx="64979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50"/>
          </w:cols>
          <w:pgMar w:left="830" w:top="665" w:right="819" w:bottom="1440" w:gutter="0" w:footer="0" w:header="0"/>
        </w:sectPr>
      </w:pPr>
    </w:p>
    <w:bookmarkStart w:id="1" w:name="page2"/>
    <w:bookmarkEnd w:id="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340" w:type="dxa"/>
            <w:vAlign w:val="bottom"/>
            <w:gridSpan w:val="14"/>
            <w:vMerge w:val="restart"/>
          </w:tcPr>
          <w:p>
            <w:pPr>
              <w:jc w:val="center"/>
              <w:ind w:right="2180"/>
              <w:spacing w:after="0"/>
              <w:rPr>
                <w:sz w:val="20"/>
                <w:szCs w:val="20"/>
                <w:color w:val="auto"/>
              </w:rPr>
            </w:pPr>
            <w:r>
              <w:rPr>
                <w:rFonts w:ascii="Arial" w:cs="Arial" w:eastAsia="Arial" w:hAnsi="Arial"/>
                <w:sz w:val="18"/>
                <w:szCs w:val="18"/>
                <w:b w:val="1"/>
                <w:bCs w:val="1"/>
                <w:color w:val="0000EE"/>
              </w:rPr>
              <w:t>PART I—FINANCIAL INFORMATION</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340" w:type="dxa"/>
            <w:vAlign w:val="bottom"/>
            <w:gridSpan w:val="14"/>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1.</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9"/>
              </w:rPr>
              <w:t>Financial Statements</w:t>
            </w:r>
          </w:p>
        </w:tc>
        <w:tc>
          <w:tcPr>
            <w:tcW w:w="640" w:type="dxa"/>
            <w:vAlign w:val="bottom"/>
            <w:gridSpan w:val="2"/>
          </w:tcPr>
          <w:p>
            <w:pPr>
              <w:spacing w:after="0"/>
              <w:rPr>
                <w:sz w:val="18"/>
                <w:szCs w:val="18"/>
                <w:color w:val="auto"/>
              </w:rPr>
            </w:pPr>
          </w:p>
        </w:tc>
        <w:tc>
          <w:tcPr>
            <w:tcW w:w="3160" w:type="dxa"/>
            <w:vAlign w:val="bottom"/>
            <w:tcBorders>
              <w:top w:val="single" w:sz="8" w:color="0000EE"/>
            </w:tcBorders>
            <w:gridSpan w:val="9"/>
          </w:tcPr>
          <w:p>
            <w:pPr>
              <w:spacing w:after="0"/>
              <w:rPr>
                <w:sz w:val="18"/>
                <w:szCs w:val="18"/>
                <w:color w:val="auto"/>
              </w:rPr>
            </w:pPr>
          </w:p>
        </w:tc>
        <w:tc>
          <w:tcPr>
            <w:tcW w:w="2180" w:type="dxa"/>
            <w:vAlign w:val="bottom"/>
            <w:gridSpan w:val="5"/>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22"/>
          </w:tcPr>
          <w:p>
            <w:pPr>
              <w:spacing w:after="0"/>
              <w:rPr>
                <w:sz w:val="20"/>
                <w:szCs w:val="20"/>
                <w:color w:val="auto"/>
              </w:rPr>
            </w:pPr>
            <w:r>
              <w:rPr>
                <w:rFonts w:ascii="Arial" w:cs="Arial" w:eastAsia="Arial" w:hAnsi="Arial"/>
                <w:sz w:val="18"/>
                <w:szCs w:val="18"/>
                <w:color w:val="0000EE"/>
                <w:w w:val="97"/>
              </w:rPr>
              <w:t>Condensed Balance Sheets as of September 30, 2023 (unaudited) and December 31, 2022</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22"/>
          </w:tcPr>
          <w:p>
            <w:pPr>
              <w:spacing w:after="0"/>
              <w:rPr>
                <w:sz w:val="20"/>
                <w:szCs w:val="20"/>
                <w:color w:val="auto"/>
              </w:rPr>
            </w:pPr>
            <w:r>
              <w:rPr>
                <w:rFonts w:ascii="Arial" w:cs="Arial" w:eastAsia="Arial" w:hAnsi="Arial"/>
                <w:sz w:val="18"/>
                <w:szCs w:val="18"/>
                <w:color w:val="0000EE"/>
                <w:w w:val="89"/>
              </w:rPr>
              <w:t>Condensed Statements of Income and Comprehensive Income for the three and nine months ended</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82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September 30, 2023 and 2022 (unaudited)</w:t>
            </w:r>
          </w:p>
        </w:tc>
        <w:tc>
          <w:tcPr>
            <w:tcW w:w="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22"/>
          </w:tcPr>
          <w:p>
            <w:pPr>
              <w:spacing w:after="0"/>
              <w:rPr>
                <w:sz w:val="20"/>
                <w:szCs w:val="20"/>
                <w:color w:val="auto"/>
              </w:rPr>
            </w:pPr>
            <w:r>
              <w:rPr>
                <w:rFonts w:ascii="Arial" w:cs="Arial" w:eastAsia="Arial" w:hAnsi="Arial"/>
                <w:sz w:val="18"/>
                <w:szCs w:val="18"/>
                <w:color w:val="0000EE"/>
                <w:w w:val="89"/>
              </w:rPr>
              <w:t>Condensed Statements of Stockholders’ Equity for the three and nine months ended September 30,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82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2023 and 2022 (unaudited)</w:t>
            </w:r>
          </w:p>
        </w:tc>
        <w:tc>
          <w:tcPr>
            <w:tcW w:w="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8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87"/>
              </w:rPr>
              <w:t>Condensed Statements of Cash Flows for the nine months ended September 30, 2023 and 2022</w:t>
            </w:r>
          </w:p>
        </w:tc>
        <w:tc>
          <w:tcPr>
            <w:tcW w:w="34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(unaudited)</w:t>
            </w:r>
          </w:p>
        </w:tc>
        <w:tc>
          <w:tcPr>
            <w:tcW w:w="6120" w:type="dxa"/>
            <w:vAlign w:val="bottom"/>
            <w:gridSpan w:val="17"/>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22"/>
          </w:tcPr>
          <w:p>
            <w:pPr>
              <w:spacing w:after="0"/>
              <w:rPr>
                <w:sz w:val="20"/>
                <w:szCs w:val="20"/>
                <w:color w:val="auto"/>
              </w:rPr>
            </w:pPr>
            <w:r>
              <w:rPr>
                <w:rFonts w:ascii="Arial" w:cs="Arial" w:eastAsia="Arial" w:hAnsi="Arial"/>
                <w:sz w:val="18"/>
                <w:szCs w:val="18"/>
                <w:color w:val="0000EE"/>
              </w:rPr>
              <w:t>Notes to Condensed Financial Statements (unaudited)</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0000EE"/>
                <w:w w:val="90"/>
              </w:rPr>
              <w:t>Item 2.</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4"/>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5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0"/>
              </w:rPr>
              <w:t>Item 3.</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2080" w:type="dxa"/>
            <w:vAlign w:val="bottom"/>
            <w:tcBorders>
              <w:top w:val="single" w:sz="8" w:color="0000EE"/>
            </w:tcBorders>
            <w:gridSpan w:val="3"/>
          </w:tcPr>
          <w:p>
            <w:pPr>
              <w:spacing w:after="0"/>
              <w:rPr>
                <w:sz w:val="18"/>
                <w:szCs w:val="18"/>
                <w:color w:val="auto"/>
              </w:rPr>
            </w:pPr>
          </w:p>
        </w:tc>
        <w:tc>
          <w:tcPr>
            <w:tcW w:w="1040" w:type="dxa"/>
            <w:vAlign w:val="bottom"/>
            <w:gridSpan w:val="4"/>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800" w:type="dxa"/>
            <w:vAlign w:val="bottom"/>
            <w:gridSpan w:val="3"/>
          </w:tcPr>
          <w:p>
            <w:pPr>
              <w:spacing w:after="0"/>
              <w:rPr>
                <w:sz w:val="20"/>
                <w:szCs w:val="20"/>
                <w:color w:val="auto"/>
              </w:rPr>
            </w:pPr>
            <w:r>
              <w:rPr>
                <w:rFonts w:ascii="Arial" w:cs="Arial" w:eastAsia="Arial" w:hAnsi="Arial"/>
                <w:sz w:val="18"/>
                <w:szCs w:val="18"/>
                <w:color w:val="0000EE"/>
              </w:rPr>
              <w:t>Item 4.</w:t>
            </w:r>
          </w:p>
        </w:tc>
        <w:tc>
          <w:tcPr>
            <w:tcW w:w="7660" w:type="dxa"/>
            <w:vAlign w:val="bottom"/>
            <w:gridSpan w:val="25"/>
          </w:tcPr>
          <w:p>
            <w:pPr>
              <w:ind w:left="160"/>
              <w:spacing w:after="0"/>
              <w:rPr>
                <w:sz w:val="20"/>
                <w:szCs w:val="20"/>
                <w:color w:val="auto"/>
              </w:rPr>
            </w:pPr>
            <w:r>
              <w:rPr>
                <w:rFonts w:ascii="Arial" w:cs="Arial" w:eastAsia="Arial" w:hAnsi="Arial"/>
                <w:sz w:val="18"/>
                <w:szCs w:val="18"/>
                <w:color w:val="0000EE"/>
              </w:rPr>
              <w:t>Controls and Procedures</w:t>
            </w: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Borders>
              <w:bottom w:val="single" w:sz="8" w:color="0000EE"/>
            </w:tcBorders>
            <w:gridSpan w:val="7"/>
          </w:tcPr>
          <w:p>
            <w:pPr>
              <w:jc w:val="center"/>
              <w:spacing w:after="0"/>
              <w:rPr>
                <w:sz w:val="20"/>
                <w:szCs w:val="20"/>
                <w:color w:val="auto"/>
              </w:rPr>
            </w:pPr>
            <w:r>
              <w:rPr>
                <w:rFonts w:ascii="Arial" w:cs="Arial" w:eastAsia="Arial" w:hAnsi="Arial"/>
                <w:sz w:val="18"/>
                <w:szCs w:val="18"/>
                <w:b w:val="1"/>
                <w:bCs w:val="1"/>
                <w:color w:val="0000EE"/>
              </w:rPr>
              <w:t>PART II—OTHER INFORMATION</w:t>
            </w:r>
          </w:p>
        </w:tc>
        <w:tc>
          <w:tcPr>
            <w:tcW w:w="232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0000EE"/>
                <w:w w:val="90"/>
              </w:rPr>
              <w:t>Item 1.</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4"/>
          </w:tcPr>
          <w:p>
            <w:pPr>
              <w:spacing w:after="0"/>
              <w:rPr>
                <w:sz w:val="20"/>
                <w:szCs w:val="20"/>
                <w:color w:val="auto"/>
              </w:rPr>
            </w:pPr>
            <w:r>
              <w:rPr>
                <w:rFonts w:ascii="Arial" w:cs="Arial" w:eastAsia="Arial" w:hAnsi="Arial"/>
                <w:sz w:val="18"/>
                <w:szCs w:val="18"/>
                <w:color w:val="0000EE"/>
              </w:rPr>
              <w:t>Legal Proceedings</w:t>
            </w: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1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gridSpan w:val="3"/>
          </w:tcPr>
          <w:p>
            <w:pPr>
              <w:spacing w:after="0"/>
              <w:rPr>
                <w:sz w:val="20"/>
                <w:szCs w:val="20"/>
                <w:color w:val="auto"/>
              </w:rPr>
            </w:pPr>
            <w:r>
              <w:rPr>
                <w:rFonts w:ascii="Arial" w:cs="Arial" w:eastAsia="Arial" w:hAnsi="Arial"/>
                <w:sz w:val="18"/>
                <w:szCs w:val="18"/>
                <w:color w:val="0000EE"/>
              </w:rPr>
              <w:t>Item 1A.</w:t>
            </w:r>
          </w:p>
        </w:tc>
        <w:tc>
          <w:tcPr>
            <w:tcW w:w="7660" w:type="dxa"/>
            <w:vAlign w:val="bottom"/>
            <w:gridSpan w:val="25"/>
          </w:tcPr>
          <w:p>
            <w:pPr>
              <w:ind w:left="160"/>
              <w:spacing w:after="0"/>
              <w:rPr>
                <w:sz w:val="20"/>
                <w:szCs w:val="20"/>
                <w:color w:val="auto"/>
              </w:rPr>
            </w:pPr>
            <w:r>
              <w:rPr>
                <w:rFonts w:ascii="Arial" w:cs="Arial" w:eastAsia="Arial" w:hAnsi="Arial"/>
                <w:sz w:val="18"/>
                <w:szCs w:val="18"/>
                <w:color w:val="0000EE"/>
              </w:rPr>
              <w:t>Risk Factors</w:t>
            </w: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1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9"/>
              </w:rPr>
              <w:t>Unregistered Sales of Equity Securities and Use of Proceeds</w:t>
            </w:r>
          </w:p>
        </w:tc>
        <w:tc>
          <w:tcPr>
            <w:tcW w:w="3140" w:type="dxa"/>
            <w:vAlign w:val="bottom"/>
            <w:gridSpan w:val="8"/>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3.</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0"/>
              </w:rPr>
              <w:t>Defaults Upon Senior Securities</w:t>
            </w:r>
          </w:p>
        </w:tc>
        <w:tc>
          <w:tcPr>
            <w:tcW w:w="5160" w:type="dxa"/>
            <w:vAlign w:val="bottom"/>
            <w:gridSpan w:val="12"/>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4.</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Mine Safety Disclosures</w:t>
            </w:r>
          </w:p>
        </w:tc>
        <w:tc>
          <w:tcPr>
            <w:tcW w:w="5720" w:type="dxa"/>
            <w:vAlign w:val="bottom"/>
            <w:gridSpan w:val="15"/>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0000EE"/>
                <w:w w:val="90"/>
              </w:rPr>
              <w:t>Item 5.</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4"/>
          </w:tcPr>
          <w:p>
            <w:pPr>
              <w:spacing w:after="0"/>
              <w:rPr>
                <w:sz w:val="20"/>
                <w:szCs w:val="20"/>
                <w:color w:val="auto"/>
              </w:rPr>
            </w:pPr>
            <w:r>
              <w:rPr>
                <w:rFonts w:ascii="Arial" w:cs="Arial" w:eastAsia="Arial" w:hAnsi="Arial"/>
                <w:sz w:val="18"/>
                <w:szCs w:val="18"/>
                <w:color w:val="0000EE"/>
              </w:rPr>
              <w:t>Other Information</w:t>
            </w: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0"/>
              </w:rPr>
              <w:t>Item 6.</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Exhibits</w:t>
            </w:r>
          </w:p>
        </w:tc>
        <w:tc>
          <w:tcPr>
            <w:tcW w:w="6160" w:type="dxa"/>
            <w:vAlign w:val="bottom"/>
            <w:gridSpan w:val="18"/>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6900" w:type="dxa"/>
            <w:vAlign w:val="bottom"/>
            <w:gridSpan w:val="2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EXHIBIT INDEX</w:t>
            </w:r>
          </w:p>
        </w:tc>
        <w:tc>
          <w:tcPr>
            <w:tcW w:w="7120" w:type="dxa"/>
            <w:vAlign w:val="bottom"/>
            <w:gridSpan w:val="22"/>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9"/>
        </w:trPr>
        <w:tc>
          <w:tcPr>
            <w:tcW w:w="8460" w:type="dxa"/>
            <w:vAlign w:val="bottom"/>
            <w:gridSpan w:val="28"/>
          </w:tcPr>
          <w:p>
            <w:pPr>
              <w:spacing w:after="0"/>
              <w:rPr>
                <w:sz w:val="20"/>
                <w:szCs w:val="20"/>
                <w:color w:val="auto"/>
              </w:rPr>
            </w:pPr>
            <w:r>
              <w:rPr>
                <w:rFonts w:ascii="Arial" w:cs="Arial" w:eastAsia="Arial" w:hAnsi="Arial"/>
                <w:sz w:val="18"/>
                <w:szCs w:val="18"/>
                <w:color w:val="0000EE"/>
              </w:rPr>
              <w:t>SIGNATURES</w:t>
            </w: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 w:right="119"/>
        <w:spacing w:after="0" w:line="293" w:lineRule="auto"/>
        <w:rPr>
          <w:sz w:val="20"/>
          <w:szCs w:val="20"/>
          <w:color w:val="auto"/>
        </w:rPr>
      </w:pPr>
      <w:r>
        <w:rPr>
          <w:rFonts w:ascii="Arial" w:cs="Arial" w:eastAsia="Arial" w:hAnsi="Arial"/>
          <w:sz w:val="16"/>
          <w:szCs w:val="16"/>
          <w:color w:val="auto"/>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3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26,795</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10,665</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r>
      <w:tr>
        <w:trPr>
          <w:trHeight w:val="209"/>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44,747</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3,883</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w:t>
            </w: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09"/>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62,996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55,333</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3,533</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2,594</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current portion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9"/>
        </w:trPr>
        <w:tc>
          <w:tcPr>
            <w:tcW w:w="63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10,875</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net of current portion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w:t>
            </w: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income tax liability</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r>
      <w:tr>
        <w:trPr>
          <w:trHeight w:val="210"/>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16,669</w:t>
            </w: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Commitments and contingencies (Note 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2"/>
        </w:trPr>
        <w:tc>
          <w:tcPr>
            <w:tcW w:w="6320" w:type="dxa"/>
            <w:vAlign w:val="bottom"/>
          </w:tcPr>
          <w:p>
            <w:pPr>
              <w:ind w:left="120"/>
              <w:spacing w:after="0" w:line="201" w:lineRule="exact"/>
              <w:rPr>
                <w:sz w:val="20"/>
                <w:szCs w:val="20"/>
                <w:color w:val="auto"/>
              </w:rPr>
            </w:pPr>
            <w:r>
              <w:rPr>
                <w:rFonts w:ascii="Arial" w:cs="Arial" w:eastAsia="Arial" w:hAnsi="Arial"/>
                <w:sz w:val="18"/>
                <w:szCs w:val="18"/>
                <w:color w:val="auto"/>
                <w:w w:val="90"/>
              </w:rPr>
              <w:t>Preferred stock, $0.0001 par value per share; 5,000,000 shares authorized; no shares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issued and outstanding as of September 30, 2023 and December 31, 2022,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6320" w:type="dxa"/>
            <w:vAlign w:val="bottom"/>
          </w:tcPr>
          <w:p>
            <w:pPr>
              <w:ind w:left="12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3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Common stock, $0.0001 par value per share; 100,000,000 shares authorized;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20,934,919 and 20,374,288 shares issued and outstanding as of September 30, 2023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December 31, 2022, respectively</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189,974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185,364</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(139,618)</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(146,702)</w:t>
            </w:r>
          </w:p>
        </w:tc>
      </w:tr>
      <w:tr>
        <w:trPr>
          <w:trHeight w:val="210"/>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50,358</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38,664</w:t>
            </w:r>
          </w:p>
        </w:tc>
      </w:tr>
      <w:tr>
        <w:trPr>
          <w:trHeight w:val="209"/>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62,996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55,333</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1500" w:right="2080"/>
        <w:spacing w:after="0" w:line="261" w:lineRule="auto"/>
        <w:rPr>
          <w:sz w:val="20"/>
          <w:szCs w:val="20"/>
          <w:color w:val="auto"/>
        </w:rPr>
      </w:pPr>
      <w:r>
        <w:rPr>
          <w:rFonts w:ascii="Arial" w:cs="Arial" w:eastAsia="Arial" w:hAnsi="Arial"/>
          <w:sz w:val="18"/>
          <w:szCs w:val="18"/>
          <w:b w:val="1"/>
          <w:bCs w:val="1"/>
          <w:color w:val="auto"/>
        </w:rPr>
        <w:t>EVERSPIN TECHNOLOGIES, INC. Condensed Statements of Income and Comprehensive Income (In thousands, except share and per share amounts) (Unaudited)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3"/>
              </w:rPr>
              <w:t>Three Months Ended September 30,</w:t>
            </w:r>
          </w:p>
        </w:tc>
        <w:tc>
          <w:tcPr>
            <w:tcW w:w="80" w:type="dxa"/>
            <w:vAlign w:val="bottom"/>
          </w:tcPr>
          <w:p>
            <w:pPr>
              <w:spacing w:after="0"/>
              <w:rPr>
                <w:sz w:val="14"/>
                <w:szCs w:val="14"/>
                <w:color w:val="auto"/>
              </w:rPr>
            </w:pPr>
          </w:p>
        </w:tc>
        <w:tc>
          <w:tcPr>
            <w:tcW w:w="228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3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40,465</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royalty, patent, and other revenue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44,295</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Cost of product 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5,920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17,667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92"/>
              </w:rPr>
              <w:t>Cost of licensing, royalty, patent, and other revenue</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cost of sales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18,417</w:t>
            </w: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25,878</w:t>
            </w:r>
          </w:p>
        </w:tc>
        <w:tc>
          <w:tcPr>
            <w:tcW w:w="0" w:type="dxa"/>
            <w:vAlign w:val="bottom"/>
          </w:tcPr>
          <w:p>
            <w:pPr>
              <w:spacing w:after="0"/>
              <w:rPr>
                <w:sz w:val="1"/>
                <w:szCs w:val="1"/>
                <w:color w:val="auto"/>
              </w:rPr>
            </w:pPr>
          </w:p>
        </w:tc>
      </w:tr>
      <w:tr>
        <w:trPr>
          <w:trHeight w:val="216"/>
        </w:trPr>
        <w:tc>
          <w:tcPr>
            <w:tcW w:w="3840" w:type="dxa"/>
            <w:vAlign w:val="bottom"/>
          </w:tcPr>
          <w:p>
            <w:pPr>
              <w:spacing w:after="0" w:line="216" w:lineRule="exact"/>
              <w:rPr>
                <w:sz w:val="20"/>
                <w:szCs w:val="20"/>
                <w:color w:val="auto"/>
              </w:rPr>
            </w:pPr>
            <w:r>
              <w:rPr>
                <w:rFonts w:ascii="Arial" w:cs="Arial" w:eastAsia="Arial" w:hAnsi="Arial"/>
                <w:sz w:val="17"/>
                <w:szCs w:val="17"/>
                <w:color w:val="auto"/>
              </w:rPr>
              <w:t>Operating expenses:</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216"/>
        </w:trPr>
        <w:tc>
          <w:tcPr>
            <w:tcW w:w="384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09"/>
        </w:trPr>
        <w:tc>
          <w:tcPr>
            <w:tcW w:w="3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20,203</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20"/>
                <w:szCs w:val="20"/>
                <w:color w:val="auto"/>
              </w:rPr>
            </w:pPr>
            <w:r>
              <w:rPr>
                <w:rFonts w:ascii="Arial" w:cs="Arial" w:eastAsia="Arial" w:hAnsi="Arial"/>
                <w:sz w:val="18"/>
                <w:szCs w:val="18"/>
                <w:color w:val="auto"/>
              </w:rPr>
              <w:t>Net income before income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and comprehensive income</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7,084</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per common share: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840" w:type="dxa"/>
            <w:vAlign w:val="bottom"/>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0.34</w:t>
            </w:r>
          </w:p>
        </w:tc>
        <w:tc>
          <w:tcPr>
            <w:tcW w:w="1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196"/>
        </w:trPr>
        <w:tc>
          <w:tcPr>
            <w:tcW w:w="384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Diluted</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line="195" w:lineRule="exact"/>
              <w:rPr>
                <w:sz w:val="20"/>
                <w:szCs w:val="20"/>
                <w:color w:val="auto"/>
              </w:rPr>
            </w:pPr>
            <w:r>
              <w:rPr>
                <w:rFonts w:ascii="Arial" w:cs="Arial" w:eastAsia="Arial" w:hAnsi="Arial"/>
                <w:sz w:val="18"/>
                <w:szCs w:val="18"/>
                <w:color w:val="auto"/>
              </w:rPr>
              <w:t>Weighted average shares of common stock</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20,848,558</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20,206,728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20,653,775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20,058,744</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21,828,789</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20,539,064</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21,276,904</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20,698,814</w:t>
            </w: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gridSpan w:val="5"/>
          </w:tcPr>
          <w:p>
            <w:pPr>
              <w:spacing w:after="0" w:line="216" w:lineRule="exact"/>
              <w:rPr>
                <w:sz w:val="20"/>
                <w:szCs w:val="20"/>
                <w:color w:val="auto"/>
              </w:rPr>
            </w:pPr>
            <w:r>
              <w:rPr>
                <w:rFonts w:ascii="Arial" w:cs="Arial" w:eastAsia="Arial" w:hAnsi="Arial"/>
                <w:sz w:val="25"/>
                <w:szCs w:val="25"/>
                <w:color w:val="auto"/>
                <w:vertAlign w:val="superscript"/>
              </w:rPr>
              <w:t>1</w:t>
            </w:r>
            <w:r>
              <w:rPr>
                <w:rFonts w:ascii="Arial" w:cs="Arial" w:eastAsia="Arial" w:hAnsi="Arial"/>
                <w:sz w:val="17"/>
                <w:szCs w:val="17"/>
                <w:color w:val="auto"/>
              </w:rPr>
              <w:t>Operating expenses include stock-based compensation as follows: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6"/>
        </w:trPr>
        <w:tc>
          <w:tcPr>
            <w:tcW w:w="384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0"/>
        </w:trPr>
        <w:tc>
          <w:tcPr>
            <w:tcW w:w="3840" w:type="dxa"/>
            <w:vAlign w:val="bottom"/>
          </w:tcPr>
          <w:p>
            <w:pPr>
              <w:ind w:left="220"/>
              <w:spacing w:after="0"/>
              <w:rPr>
                <w:sz w:val="20"/>
                <w:szCs w:val="20"/>
                <w:color w:val="auto"/>
              </w:rPr>
            </w:pPr>
            <w:r>
              <w:rPr>
                <w:rFonts w:ascii="Arial" w:cs="Arial" w:eastAsia="Arial" w:hAnsi="Arial"/>
                <w:sz w:val="18"/>
                <w:szCs w:val="18"/>
                <w:color w:val="auto"/>
              </w:rPr>
              <w:t>Total stock-based compensation</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Nine Months Ended September 30, 2023</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164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8"/>
              <w:spacing w:after="0" w:line="119"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14"/>
                <w:szCs w:val="14"/>
                <w:color w:val="auto"/>
              </w:rPr>
            </w:pPr>
          </w:p>
        </w:tc>
        <w:tc>
          <w:tcPr>
            <w:tcW w:w="1640" w:type="dxa"/>
            <w:vAlign w:val="bottom"/>
            <w:tcBorders>
              <w:bottom w:val="single" w:sz="8" w:color="auto"/>
            </w:tcBorders>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8"/>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86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8"/>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center"/>
              <w:ind w:right="8"/>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2022</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20,374,288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185,364</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(146,702)</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38,664</w:t>
            </w: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3,020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157,436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6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1,160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1,160</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761</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82"/>
        </w:trPr>
        <w:tc>
          <w:tcPr>
            <w:tcW w:w="38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Balance at March 31, 2023</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20,534,744</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186,537</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(145,941)</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40,598</w:t>
            </w:r>
          </w:p>
        </w:tc>
        <w:tc>
          <w:tcPr>
            <w:tcW w:w="0" w:type="dxa"/>
            <w:vAlign w:val="bottom"/>
          </w:tcPr>
          <w:p>
            <w:pPr>
              <w:spacing w:after="0"/>
              <w:rPr>
                <w:sz w:val="1"/>
                <w:szCs w:val="1"/>
                <w:color w:val="auto"/>
              </w:rPr>
            </w:pPr>
          </w:p>
        </w:tc>
      </w:tr>
      <w:tr>
        <w:trPr>
          <w:trHeight w:val="129"/>
        </w:trPr>
        <w:tc>
          <w:tcPr>
            <w:tcW w:w="3860" w:type="dxa"/>
            <w:vAlign w:val="bottom"/>
            <w:shd w:val="clear" w:color="auto" w:fill="CCEEFF"/>
          </w:tcPr>
          <w:p>
            <w:pPr>
              <w:ind w:left="220"/>
              <w:spacing w:after="0" w:line="129" w:lineRule="exact"/>
              <w:rPr>
                <w:sz w:val="20"/>
                <w:szCs w:val="20"/>
                <w:color w:val="auto"/>
              </w:rPr>
            </w:pPr>
            <w:r>
              <w:rPr>
                <w:rFonts w:ascii="Arial" w:cs="Arial" w:eastAsia="Arial" w:hAnsi="Arial"/>
                <w:sz w:val="14"/>
                <w:szCs w:val="14"/>
                <w:color w:val="auto"/>
              </w:rPr>
              <w:t>Exercise of stock options</w:t>
            </w: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36,353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172,325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w:t>
            </w:r>
          </w:p>
        </w:tc>
        <w:tc>
          <w:tcPr>
            <w:tcW w:w="0" w:type="dxa"/>
            <w:vAlign w:val="bottom"/>
          </w:tcPr>
          <w:p>
            <w:pPr>
              <w:spacing w:after="0"/>
              <w:rPr>
                <w:sz w:val="1"/>
                <w:szCs w:val="1"/>
                <w:color w:val="auto"/>
              </w:rPr>
            </w:pPr>
          </w:p>
        </w:tc>
      </w:tr>
      <w:tr>
        <w:trPr>
          <w:trHeight w:val="149"/>
        </w:trPr>
        <w:tc>
          <w:tcPr>
            <w:tcW w:w="386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3,885</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3,885</w:t>
            </w:r>
          </w:p>
        </w:tc>
        <w:tc>
          <w:tcPr>
            <w:tcW w:w="0" w:type="dxa"/>
            <w:vAlign w:val="bottom"/>
          </w:tcPr>
          <w:p>
            <w:pPr>
              <w:spacing w:after="0"/>
              <w:rPr>
                <w:sz w:val="1"/>
                <w:szCs w:val="1"/>
                <w:color w:val="auto"/>
              </w:rPr>
            </w:pPr>
          </w:p>
        </w:tc>
      </w:tr>
      <w:tr>
        <w:trPr>
          <w:trHeight w:val="142"/>
        </w:trPr>
        <w:tc>
          <w:tcPr>
            <w:tcW w:w="38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2023</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20,743,422</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188,126</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(142,056)</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46,072</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220"/>
              <w:spacing w:after="0"/>
              <w:rPr>
                <w:sz w:val="20"/>
                <w:szCs w:val="20"/>
                <w:color w:val="auto"/>
              </w:rPr>
            </w:pPr>
            <w:r>
              <w:rPr>
                <w:rFonts w:ascii="Arial" w:cs="Arial" w:eastAsia="Arial" w:hAnsi="Arial"/>
                <w:sz w:val="14"/>
                <w:szCs w:val="14"/>
                <w:color w:val="auto"/>
              </w:rPr>
              <w:t>Exercise of stock options</w:t>
            </w: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60" w:type="dxa"/>
            <w:vAlign w:val="bottom"/>
            <w:vMerge w:val="continue"/>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103,697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566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87,564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Arial" w:cs="Arial" w:eastAsia="Arial" w:hAnsi="Arial"/>
                <w:sz w:val="14"/>
                <w:szCs w:val="14"/>
                <w:color w:val="auto"/>
              </w:rPr>
              <w:t>Exercise of warrants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236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148"/>
        </w:trPr>
        <w:tc>
          <w:tcPr>
            <w:tcW w:w="386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2,438</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2,438</w:t>
            </w:r>
          </w:p>
        </w:tc>
        <w:tc>
          <w:tcPr>
            <w:tcW w:w="0" w:type="dxa"/>
            <w:vAlign w:val="bottom"/>
          </w:tcPr>
          <w:p>
            <w:pPr>
              <w:spacing w:after="0"/>
              <w:rPr>
                <w:sz w:val="1"/>
                <w:szCs w:val="1"/>
                <w:color w:val="auto"/>
              </w:rPr>
            </w:pPr>
          </w:p>
        </w:tc>
      </w:tr>
      <w:tr>
        <w:trPr>
          <w:trHeight w:val="142"/>
        </w:trPr>
        <w:tc>
          <w:tcPr>
            <w:tcW w:w="38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September 30, 2023</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20,934,919</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189,974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(139,618)</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50,358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8"/>
          </w:tcPr>
          <w:p>
            <w:pPr>
              <w:ind w:left="220"/>
              <w:spacing w:after="0"/>
              <w:rPr>
                <w:sz w:val="20"/>
                <w:szCs w:val="20"/>
                <w:color w:val="auto"/>
              </w:rPr>
            </w:pPr>
            <w:r>
              <w:rPr>
                <w:rFonts w:ascii="Arial" w:cs="Arial" w:eastAsia="Arial" w:hAnsi="Arial"/>
                <w:sz w:val="14"/>
                <w:szCs w:val="14"/>
                <w:b w:val="1"/>
                <w:bCs w:val="1"/>
                <w:color w:val="auto"/>
              </w:rPr>
              <w:t>Nine Months Ended September 30, 2022</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1640" w:type="dxa"/>
            <w:vAlign w:val="bottom"/>
            <w:gridSpan w:val="4"/>
            <w:vMerge w:val="restart"/>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28"/>
              <w:spacing w:after="0" w:line="119"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center"/>
              <w:ind w:right="8"/>
              <w:spacing w:after="0" w:line="11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14"/>
                <w:szCs w:val="14"/>
                <w:color w:val="auto"/>
              </w:rPr>
            </w:pPr>
          </w:p>
        </w:tc>
        <w:tc>
          <w:tcPr>
            <w:tcW w:w="1640" w:type="dxa"/>
            <w:vAlign w:val="bottom"/>
            <w:tcBorders>
              <w:bottom w:val="single" w:sz="8" w:color="auto"/>
            </w:tcBorders>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86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8"/>
              <w:spacing w:after="0" w:line="142" w:lineRule="exact"/>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center"/>
              <w:ind w:right="8"/>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2021</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19,858,460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180,067</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(152,831)</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27,238</w:t>
            </w: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15,830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96,496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6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1,935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1,935</w:t>
            </w:r>
          </w:p>
        </w:tc>
        <w:tc>
          <w:tcPr>
            <w:tcW w:w="0" w:type="dxa"/>
            <w:vAlign w:val="bottom"/>
          </w:tcPr>
          <w:p>
            <w:pPr>
              <w:spacing w:after="0"/>
              <w:rPr>
                <w:sz w:val="1"/>
                <w:szCs w:val="1"/>
                <w:color w:val="auto"/>
              </w:rPr>
            </w:pPr>
          </w:p>
        </w:tc>
      </w:tr>
      <w:tr>
        <w:trPr>
          <w:trHeight w:val="182"/>
        </w:trPr>
        <w:tc>
          <w:tcPr>
            <w:tcW w:w="38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Balance at March 31, 2022</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19,970,786</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180,960</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(150,896)</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30,066</w:t>
            </w:r>
          </w:p>
        </w:tc>
        <w:tc>
          <w:tcPr>
            <w:tcW w:w="0" w:type="dxa"/>
            <w:vAlign w:val="bottom"/>
          </w:tcPr>
          <w:p>
            <w:pPr>
              <w:spacing w:after="0"/>
              <w:rPr>
                <w:sz w:val="1"/>
                <w:szCs w:val="1"/>
                <w:color w:val="auto"/>
              </w:rPr>
            </w:pPr>
          </w:p>
        </w:tc>
      </w:tr>
      <w:tr>
        <w:trPr>
          <w:trHeight w:val="129"/>
        </w:trPr>
        <w:tc>
          <w:tcPr>
            <w:tcW w:w="3860" w:type="dxa"/>
            <w:vAlign w:val="bottom"/>
            <w:shd w:val="clear" w:color="auto" w:fill="CCEEFF"/>
          </w:tcPr>
          <w:p>
            <w:pPr>
              <w:ind w:left="220"/>
              <w:spacing w:after="0" w:line="129" w:lineRule="exact"/>
              <w:rPr>
                <w:sz w:val="20"/>
                <w:szCs w:val="20"/>
                <w:color w:val="auto"/>
              </w:rPr>
            </w:pPr>
            <w:r>
              <w:rPr>
                <w:rFonts w:ascii="Arial" w:cs="Arial" w:eastAsia="Arial" w:hAnsi="Arial"/>
                <w:sz w:val="14"/>
                <w:szCs w:val="14"/>
                <w:color w:val="auto"/>
              </w:rPr>
              <w:t>Exercise of stock options</w:t>
            </w: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18,131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148,603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149"/>
        </w:trPr>
        <w:tc>
          <w:tcPr>
            <w:tcW w:w="386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1,671</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1,671</w:t>
            </w:r>
          </w:p>
        </w:tc>
        <w:tc>
          <w:tcPr>
            <w:tcW w:w="0" w:type="dxa"/>
            <w:vAlign w:val="bottom"/>
          </w:tcPr>
          <w:p>
            <w:pPr>
              <w:spacing w:after="0"/>
              <w:rPr>
                <w:sz w:val="1"/>
                <w:szCs w:val="1"/>
                <w:color w:val="auto"/>
              </w:rPr>
            </w:pPr>
          </w:p>
        </w:tc>
      </w:tr>
      <w:tr>
        <w:trPr>
          <w:trHeight w:val="142"/>
        </w:trPr>
        <w:tc>
          <w:tcPr>
            <w:tcW w:w="38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2022</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20,137,520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182,488</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(149,225)</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33,265</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220"/>
              <w:spacing w:after="0"/>
              <w:rPr>
                <w:sz w:val="20"/>
                <w:szCs w:val="20"/>
                <w:color w:val="auto"/>
              </w:rPr>
            </w:pPr>
            <w:r>
              <w:rPr>
                <w:rFonts w:ascii="Arial" w:cs="Arial" w:eastAsia="Arial" w:hAnsi="Arial"/>
                <w:sz w:val="14"/>
                <w:szCs w:val="14"/>
                <w:color w:val="auto"/>
              </w:rPr>
              <w:t>Exercise of stock options</w:t>
            </w: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60" w:type="dxa"/>
            <w:vAlign w:val="bottom"/>
            <w:vMerge w:val="continue"/>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79,010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417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6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1,152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1,907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1,907</w:t>
            </w:r>
          </w:p>
        </w:tc>
        <w:tc>
          <w:tcPr>
            <w:tcW w:w="0" w:type="dxa"/>
            <w:vAlign w:val="bottom"/>
          </w:tcPr>
          <w:p>
            <w:pPr>
              <w:spacing w:after="0"/>
              <w:rPr>
                <w:sz w:val="1"/>
                <w:szCs w:val="1"/>
                <w:color w:val="auto"/>
              </w:rPr>
            </w:pPr>
          </w:p>
        </w:tc>
      </w:tr>
      <w:tr>
        <w:trPr>
          <w:trHeight w:val="142"/>
        </w:trPr>
        <w:tc>
          <w:tcPr>
            <w:tcW w:w="3860" w:type="dxa"/>
            <w:vAlign w:val="bottom"/>
          </w:tcPr>
          <w:p>
            <w:pPr>
              <w:spacing w:after="0" w:line="142" w:lineRule="exact"/>
              <w:rPr>
                <w:sz w:val="20"/>
                <w:szCs w:val="20"/>
                <w:color w:val="auto"/>
              </w:rPr>
            </w:pPr>
            <w:r>
              <w:rPr>
                <w:rFonts w:ascii="Arial" w:cs="Arial" w:eastAsia="Arial" w:hAnsi="Arial"/>
                <w:sz w:val="14"/>
                <w:szCs w:val="14"/>
                <w:color w:val="auto"/>
              </w:rPr>
              <w:t>Balance at September 30, 2022</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20,276,746</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184,057</w:t>
            </w:r>
          </w:p>
        </w:tc>
        <w:tc>
          <w:tcPr>
            <w:tcW w:w="1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(147,318)</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36,741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860" w:type="dxa"/>
            <w:vAlign w:val="bottom"/>
            <w:gridSpan w:val="7"/>
          </w:tcPr>
          <w:p>
            <w:pPr>
              <w:ind w:left="3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4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44"/>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8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operating activities</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800" w:type="dxa"/>
            <w:vAlign w:val="bottom"/>
          </w:tcPr>
          <w:p>
            <w:pPr>
              <w:jc w:val="right"/>
              <w:ind w:right="644"/>
              <w:spacing w:after="0" w:line="162" w:lineRule="exact"/>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7,084</w:t>
            </w:r>
          </w:p>
        </w:tc>
        <w:tc>
          <w:tcPr>
            <w:tcW w:w="240" w:type="dxa"/>
            <w:vAlign w:val="bottom"/>
          </w:tcPr>
          <w:p>
            <w:pPr>
              <w:spacing w:after="0"/>
              <w:rPr>
                <w:sz w:val="14"/>
                <w:szCs w:val="14"/>
                <w:color w:val="auto"/>
              </w:rPr>
            </w:pPr>
          </w:p>
        </w:tc>
        <w:tc>
          <w:tcPr>
            <w:tcW w:w="300" w:type="dxa"/>
            <w:vAlign w:val="bottom"/>
            <w:gridSpan w:val="2"/>
          </w:tcPr>
          <w:p>
            <w:pPr>
              <w:jc w:val="right"/>
              <w:ind w:right="171"/>
              <w:spacing w:after="0" w:line="162" w:lineRule="exact"/>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62" w:lineRule="exact"/>
              <w:rPr>
                <w:sz w:val="20"/>
                <w:szCs w:val="20"/>
                <w:color w:val="auto"/>
              </w:rPr>
            </w:pPr>
            <w:r>
              <w:rPr>
                <w:rFonts w:ascii="Arial" w:cs="Arial" w:eastAsia="Arial" w:hAnsi="Arial"/>
                <w:sz w:val="15"/>
                <w:szCs w:val="15"/>
                <w:color w:val="auto"/>
              </w:rPr>
              <w:t>5,513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income to net cash provided by operating activities:</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Arial" w:cs="Arial" w:eastAsia="Arial" w:hAnsi="Arial"/>
                <w:sz w:val="15"/>
                <w:szCs w:val="15"/>
                <w:color w:val="auto"/>
              </w:rPr>
              <w:t>Depreciation and amortization</w:t>
            </w:r>
          </w:p>
        </w:tc>
        <w:tc>
          <w:tcPr>
            <w:tcW w:w="8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905</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5"/>
                <w:szCs w:val="15"/>
                <w:color w:val="auto"/>
              </w:rPr>
              <w:t>704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Gain on sale of property and equipment</w:t>
            </w:r>
          </w:p>
        </w:tc>
        <w:tc>
          <w:tcPr>
            <w:tcW w:w="8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(15)</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Arial" w:cs="Arial" w:eastAsia="Arial" w:hAnsi="Arial"/>
                <w:sz w:val="15"/>
                <w:szCs w:val="15"/>
                <w:color w:val="auto"/>
              </w:rPr>
              <w:t>Stock-based compensation</w:t>
            </w:r>
          </w:p>
        </w:tc>
        <w:tc>
          <w:tcPr>
            <w:tcW w:w="8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3,700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5"/>
                <w:szCs w:val="15"/>
                <w:color w:val="auto"/>
              </w:rPr>
              <w:t>3,287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Loss on prepayment and termination of credit facility</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170</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Arial" w:cs="Arial" w:eastAsia="Arial" w:hAnsi="Arial"/>
                <w:sz w:val="15"/>
                <w:szCs w:val="15"/>
                <w:color w:val="auto"/>
              </w:rPr>
              <w:t>Non-cash warrant revaluation</w:t>
            </w:r>
          </w:p>
        </w:tc>
        <w:tc>
          <w:tcPr>
            <w:tcW w:w="800" w:type="dxa"/>
            <w:vAlign w:val="bottom"/>
          </w:tcPr>
          <w:p>
            <w:pPr>
              <w:spacing w:after="0"/>
              <w:rPr>
                <w:sz w:val="14"/>
                <w:szCs w:val="14"/>
                <w:color w:val="auto"/>
              </w:rPr>
            </w:pPr>
          </w:p>
        </w:tc>
        <w:tc>
          <w:tcPr>
            <w:tcW w:w="72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(25)</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5"/>
                <w:szCs w:val="15"/>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Non-cash interest expense</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26</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Accounts receivable</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577</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(4,357)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Arial" w:cs="Arial" w:eastAsia="Arial" w:hAnsi="Arial"/>
                <w:sz w:val="15"/>
                <w:szCs w:val="15"/>
                <w:color w:val="auto"/>
              </w:rPr>
              <w:t>Inventory</w:t>
            </w:r>
          </w:p>
        </w:tc>
        <w:tc>
          <w:tcPr>
            <w:tcW w:w="800" w:type="dxa"/>
            <w:vAlign w:val="bottom"/>
          </w:tcPr>
          <w:p>
            <w:pPr>
              <w:spacing w:after="0"/>
              <w:rPr>
                <w:sz w:val="14"/>
                <w:szCs w:val="14"/>
                <w:color w:val="auto"/>
              </w:rPr>
            </w:pPr>
          </w:p>
        </w:tc>
        <w:tc>
          <w:tcPr>
            <w:tcW w:w="72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w w:val="96"/>
              </w:rPr>
              <w:t>(1,954)</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5"/>
                <w:szCs w:val="15"/>
                <w:color w:val="auto"/>
              </w:rPr>
              <w:t>(1,466)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366</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Arial" w:cs="Arial" w:eastAsia="Arial" w:hAnsi="Arial"/>
                <w:sz w:val="15"/>
                <w:szCs w:val="15"/>
                <w:color w:val="auto"/>
              </w:rPr>
              <w:t>Other assets</w:t>
            </w:r>
          </w:p>
        </w:tc>
        <w:tc>
          <w:tcPr>
            <w:tcW w:w="800" w:type="dxa"/>
            <w:vAlign w:val="bottom"/>
          </w:tcPr>
          <w:p>
            <w:pPr>
              <w:spacing w:after="0"/>
              <w:rPr>
                <w:sz w:val="14"/>
                <w:szCs w:val="14"/>
                <w:color w:val="auto"/>
              </w:rPr>
            </w:pPr>
          </w:p>
        </w:tc>
        <w:tc>
          <w:tcPr>
            <w:tcW w:w="72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5"/>
                <w:szCs w:val="15"/>
                <w:color w:val="auto"/>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Accounts payable</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599</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Arial" w:cs="Arial" w:eastAsia="Arial" w:hAnsi="Arial"/>
                <w:sz w:val="15"/>
                <w:szCs w:val="15"/>
                <w:color w:val="auto"/>
              </w:rPr>
              <w:t>Accrued liabilities</w:t>
            </w:r>
          </w:p>
        </w:tc>
        <w:tc>
          <w:tcPr>
            <w:tcW w:w="800" w:type="dxa"/>
            <w:vAlign w:val="bottom"/>
          </w:tcPr>
          <w:p>
            <w:pPr>
              <w:spacing w:after="0"/>
              <w:rPr>
                <w:sz w:val="14"/>
                <w:szCs w:val="14"/>
                <w:color w:val="auto"/>
              </w:rPr>
            </w:pPr>
          </w:p>
        </w:tc>
        <w:tc>
          <w:tcPr>
            <w:tcW w:w="72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(54)</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5"/>
                <w:szCs w:val="15"/>
                <w:color w:val="auto"/>
              </w:rPr>
              <w:t>(1,138)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Deferred revenue</w:t>
            </w:r>
          </w:p>
        </w:tc>
        <w:tc>
          <w:tcPr>
            <w:tcW w:w="8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(311)</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Borders>
              <w:bottom w:val="single" w:sz="8" w:color="CCEEFF"/>
            </w:tcBorders>
          </w:tcPr>
          <w:p>
            <w:pPr>
              <w:ind w:left="120"/>
              <w:spacing w:after="0" w:line="162" w:lineRule="exact"/>
              <w:rPr>
                <w:sz w:val="20"/>
                <w:szCs w:val="20"/>
                <w:color w:val="auto"/>
              </w:rPr>
            </w:pPr>
            <w:r>
              <w:rPr>
                <w:rFonts w:ascii="Arial" w:cs="Arial" w:eastAsia="Arial" w:hAnsi="Arial"/>
                <w:sz w:val="15"/>
                <w:szCs w:val="15"/>
                <w:color w:val="auto"/>
              </w:rPr>
              <w:t>Lease liabilities</w:t>
            </w: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18</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80" w:type="dxa"/>
            <w:vAlign w:val="bottom"/>
            <w:shd w:val="clear" w:color="auto" w:fill="CCEEFF"/>
          </w:tcPr>
          <w:p>
            <w:pPr>
              <w:ind w:left="120"/>
              <w:spacing w:after="0" w:line="156" w:lineRule="exact"/>
              <w:rPr>
                <w:sz w:val="20"/>
                <w:szCs w:val="20"/>
                <w:color w:val="auto"/>
              </w:rPr>
            </w:pPr>
            <w:r>
              <w:rPr>
                <w:rFonts w:ascii="Arial" w:cs="Arial" w:eastAsia="Arial" w:hAnsi="Arial"/>
                <w:sz w:val="15"/>
                <w:szCs w:val="15"/>
                <w:color w:val="auto"/>
              </w:rPr>
              <w:t>Net cash provided by operating activities</w:t>
            </w:r>
          </w:p>
        </w:tc>
        <w:tc>
          <w:tcPr>
            <w:tcW w:w="8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1"/>
              </w:rPr>
              <w:t>11,086</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4,258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80" w:type="dxa"/>
            <w:vAlign w:val="bottom"/>
          </w:tcPr>
          <w:p>
            <w:pPr>
              <w:spacing w:after="0" w:line="156" w:lineRule="exact"/>
              <w:rPr>
                <w:sz w:val="20"/>
                <w:szCs w:val="20"/>
                <w:color w:val="auto"/>
              </w:rPr>
            </w:pPr>
            <w:r>
              <w:rPr>
                <w:rFonts w:ascii="Arial" w:cs="Arial" w:eastAsia="Arial" w:hAnsi="Arial"/>
                <w:sz w:val="15"/>
                <w:szCs w:val="15"/>
                <w:b w:val="1"/>
                <w:bCs w:val="1"/>
                <w:color w:val="auto"/>
              </w:rPr>
              <w:t>Cash flows from investing activities</w:t>
            </w: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Purchases of property and equipment</w:t>
            </w:r>
          </w:p>
        </w:tc>
        <w:tc>
          <w:tcPr>
            <w:tcW w:w="8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w w:val="96"/>
              </w:rPr>
              <w:t>(1,080)</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Proceeds received from sale of property and equipment</w:t>
            </w: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15</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80" w:type="dxa"/>
            <w:vAlign w:val="bottom"/>
            <w:shd w:val="clear" w:color="auto" w:fill="CCEEFF"/>
          </w:tcPr>
          <w:p>
            <w:pPr>
              <w:ind w:left="120"/>
              <w:spacing w:after="0" w:line="156" w:lineRule="exact"/>
              <w:rPr>
                <w:sz w:val="20"/>
                <w:szCs w:val="20"/>
                <w:color w:val="auto"/>
              </w:rPr>
            </w:pPr>
            <w:r>
              <w:rPr>
                <w:rFonts w:ascii="Arial" w:cs="Arial" w:eastAsia="Arial" w:hAnsi="Arial"/>
                <w:sz w:val="15"/>
                <w:szCs w:val="15"/>
                <w:color w:val="auto"/>
              </w:rPr>
              <w:t>Net cash used in investing activities</w:t>
            </w:r>
          </w:p>
        </w:tc>
        <w:tc>
          <w:tcPr>
            <w:tcW w:w="8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6"/>
              </w:rPr>
              <w:t>(1,065)</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(1,118)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80" w:type="dxa"/>
            <w:vAlign w:val="bottom"/>
          </w:tcPr>
          <w:p>
            <w:pPr>
              <w:spacing w:after="0" w:line="156" w:lineRule="exact"/>
              <w:rPr>
                <w:sz w:val="20"/>
                <w:szCs w:val="20"/>
                <w:color w:val="auto"/>
              </w:rPr>
            </w:pPr>
            <w:r>
              <w:rPr>
                <w:rFonts w:ascii="Arial" w:cs="Arial" w:eastAsia="Arial" w:hAnsi="Arial"/>
                <w:sz w:val="15"/>
                <w:szCs w:val="15"/>
                <w:b w:val="1"/>
                <w:bCs w:val="1"/>
                <w:color w:val="auto"/>
              </w:rPr>
              <w:t>Cash flows from financing activities</w:t>
            </w: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Payments on long-term debt</w:t>
            </w:r>
          </w:p>
        </w:tc>
        <w:tc>
          <w:tcPr>
            <w:tcW w:w="8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w w:val="96"/>
              </w:rPr>
              <w:t>(2,790)</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line="162" w:lineRule="exact"/>
              <w:rPr>
                <w:sz w:val="20"/>
                <w:szCs w:val="20"/>
                <w:color w:val="auto"/>
              </w:rPr>
            </w:pPr>
            <w:r>
              <w:rPr>
                <w:rFonts w:ascii="Arial" w:cs="Arial" w:eastAsia="Arial" w:hAnsi="Arial"/>
                <w:sz w:val="15"/>
                <w:szCs w:val="15"/>
                <w:color w:val="auto"/>
              </w:rPr>
              <w:t>Payments of debt issuance costs</w:t>
            </w:r>
          </w:p>
        </w:tc>
        <w:tc>
          <w:tcPr>
            <w:tcW w:w="800" w:type="dxa"/>
            <w:vAlign w:val="bottom"/>
          </w:tcPr>
          <w:p>
            <w:pPr>
              <w:spacing w:after="0"/>
              <w:rPr>
                <w:sz w:val="14"/>
                <w:szCs w:val="14"/>
                <w:color w:val="auto"/>
              </w:rPr>
            </w:pPr>
          </w:p>
        </w:tc>
        <w:tc>
          <w:tcPr>
            <w:tcW w:w="72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5"/>
                <w:szCs w:val="15"/>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w w:val="98"/>
              </w:rPr>
              <w:t>Proceeds from exercise of stock options and purchase of shares in employee stock purchase</w:t>
            </w: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080" w:type="dxa"/>
            <w:vAlign w:val="bottom"/>
            <w:shd w:val="clear" w:color="auto" w:fill="CCEEFF"/>
          </w:tcPr>
          <w:p>
            <w:pPr>
              <w:spacing w:after="0"/>
              <w:rPr>
                <w:sz w:val="20"/>
                <w:szCs w:val="20"/>
                <w:color w:val="auto"/>
              </w:rPr>
            </w:pPr>
            <w:r>
              <w:rPr>
                <w:rFonts w:ascii="Arial" w:cs="Arial" w:eastAsia="Arial" w:hAnsi="Arial"/>
                <w:sz w:val="15"/>
                <w:szCs w:val="15"/>
                <w:color w:val="auto"/>
              </w:rPr>
              <w:t>plan</w:t>
            </w:r>
          </w:p>
        </w:tc>
        <w:tc>
          <w:tcPr>
            <w:tcW w:w="8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908</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080" w:type="dxa"/>
            <w:vAlign w:val="bottom"/>
            <w:tcBorders>
              <w:bottom w:val="single" w:sz="8" w:color="CCEEFF"/>
            </w:tcBorders>
          </w:tcPr>
          <w:p>
            <w:pPr>
              <w:ind w:left="120"/>
              <w:spacing w:after="0" w:line="156" w:lineRule="exact"/>
              <w:rPr>
                <w:sz w:val="20"/>
                <w:szCs w:val="20"/>
                <w:color w:val="auto"/>
              </w:rPr>
            </w:pPr>
            <w:r>
              <w:rPr>
                <w:rFonts w:ascii="Arial" w:cs="Arial" w:eastAsia="Arial" w:hAnsi="Arial"/>
                <w:sz w:val="15"/>
                <w:szCs w:val="15"/>
                <w:color w:val="auto"/>
              </w:rPr>
              <w:t>Net cash used in financing activities</w:t>
            </w:r>
          </w:p>
        </w:tc>
        <w:tc>
          <w:tcPr>
            <w:tcW w:w="8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6"/>
              </w:rPr>
              <w:t>(1,882)</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(1,107)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Net increase in cash and cash equivalents</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8,139</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2,033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8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Cash and cash equivalents at beginning of period</w:t>
            </w: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91"/>
              </w:rPr>
              <w:t>26,795</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21,409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Cash and cash equivalents at end of period</w:t>
            </w:r>
          </w:p>
        </w:tc>
        <w:tc>
          <w:tcPr>
            <w:tcW w:w="800" w:type="dxa"/>
            <w:vAlign w:val="bottom"/>
            <w:tcBorders>
              <w:bottom w:val="single" w:sz="8" w:color="auto"/>
            </w:tcBorders>
            <w:shd w:val="clear" w:color="auto" w:fill="CCEEFF"/>
          </w:tcPr>
          <w:p>
            <w:pPr>
              <w:jc w:val="right"/>
              <w:ind w:right="644"/>
              <w:spacing w:after="0" w:line="156"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1"/>
              </w:rPr>
              <w:t>34,934</w:t>
            </w:r>
          </w:p>
        </w:tc>
        <w:tc>
          <w:tcPr>
            <w:tcW w:w="2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23,442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5"/>
                <w:szCs w:val="15"/>
                <w:b w:val="1"/>
                <w:bCs w:val="1"/>
                <w:color w:val="auto"/>
              </w:rPr>
              <w:t>Supplementary cash flow information:</w:t>
            </w: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Interest paid</w:t>
            </w:r>
          </w:p>
        </w:tc>
        <w:tc>
          <w:tcPr>
            <w:tcW w:w="800" w:type="dxa"/>
            <w:vAlign w:val="bottom"/>
            <w:shd w:val="clear" w:color="auto" w:fill="CCEEFF"/>
          </w:tcPr>
          <w:p>
            <w:pPr>
              <w:jc w:val="right"/>
              <w:ind w:right="644"/>
              <w:spacing w:after="0" w:line="162" w:lineRule="exact"/>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37</w:t>
            </w:r>
          </w:p>
        </w:tc>
        <w:tc>
          <w:tcPr>
            <w:tcW w:w="2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71"/>
              <w:spacing w:after="0" w:line="162" w:lineRule="exact"/>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Operating cash flows paid for operating leases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8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tcPr>
          <w:p>
            <w:pPr>
              <w:jc w:val="right"/>
              <w:ind w:right="644"/>
              <w:spacing w:after="0" w:line="143"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1,038</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978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08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Financing cash flows paid for finance leases</w:t>
            </w:r>
          </w:p>
        </w:tc>
        <w:tc>
          <w:tcPr>
            <w:tcW w:w="800" w:type="dxa"/>
            <w:vAlign w:val="bottom"/>
            <w:tcBorders>
              <w:bottom w:val="single" w:sz="8" w:color="auto"/>
            </w:tcBorders>
            <w:shd w:val="clear" w:color="auto" w:fill="CCEEFF"/>
          </w:tcPr>
          <w:p>
            <w:pPr>
              <w:jc w:val="right"/>
              <w:ind w:right="644"/>
              <w:spacing w:after="0" w:line="143"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9</w:t>
            </w:r>
          </w:p>
        </w:tc>
        <w:tc>
          <w:tcPr>
            <w:tcW w:w="2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5"/>
                <w:szCs w:val="15"/>
                <w:b w:val="1"/>
                <w:bCs w:val="1"/>
                <w:color w:val="auto"/>
              </w:rPr>
              <w:t>Non-cash investing and financing activities:</w:t>
            </w: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Right-of-use assets obtained in exchange for operating lease liabilities</w:t>
            </w:r>
          </w:p>
        </w:tc>
        <w:tc>
          <w:tcPr>
            <w:tcW w:w="800" w:type="dxa"/>
            <w:vAlign w:val="bottom"/>
            <w:shd w:val="clear" w:color="auto" w:fill="CCEEFF"/>
          </w:tcPr>
          <w:p>
            <w:pPr>
              <w:jc w:val="right"/>
              <w:ind w:right="644"/>
              <w:spacing w:after="0" w:line="162" w:lineRule="exact"/>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71"/>
              <w:spacing w:after="0" w:line="162" w:lineRule="exact"/>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6,837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Right-of-use assets obtained in exchange for finance lease liabilities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8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tcPr>
          <w:p>
            <w:pPr>
              <w:jc w:val="right"/>
              <w:ind w:right="644"/>
              <w:spacing w:after="0" w:line="143"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08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Purchases of property and equipment in accounts payable and accrued liabilities</w:t>
            </w:r>
          </w:p>
        </w:tc>
        <w:tc>
          <w:tcPr>
            <w:tcW w:w="800" w:type="dxa"/>
            <w:vAlign w:val="bottom"/>
            <w:tcBorders>
              <w:bottom w:val="single" w:sz="8" w:color="auto"/>
            </w:tcBorders>
            <w:shd w:val="clear" w:color="auto" w:fill="CCEEFF"/>
          </w:tcPr>
          <w:p>
            <w:pPr>
              <w:jc w:val="right"/>
              <w:ind w:right="644"/>
              <w:spacing w:after="0" w:line="143"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773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5"/>
                <w:szCs w:val="15"/>
                <w:color w:val="auto"/>
              </w:rPr>
              <w:t>Cashless exercise of warrants</w:t>
            </w: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80" w:type="dxa"/>
            <w:vAlign w:val="bottom"/>
            <w:vMerge w:val="continue"/>
          </w:tcPr>
          <w:p>
            <w:pPr>
              <w:spacing w:after="0"/>
              <w:rPr>
                <w:sz w:val="12"/>
                <w:szCs w:val="12"/>
                <w:color w:val="auto"/>
              </w:rPr>
            </w:pPr>
          </w:p>
        </w:tc>
        <w:tc>
          <w:tcPr>
            <w:tcW w:w="800" w:type="dxa"/>
            <w:vAlign w:val="bottom"/>
            <w:tcBorders>
              <w:top w:val="single" w:sz="8" w:color="auto"/>
              <w:bottom w:val="single" w:sz="8" w:color="auto"/>
            </w:tcBorders>
          </w:tcPr>
          <w:p>
            <w:pPr>
              <w:jc w:val="right"/>
              <w:ind w:right="644"/>
              <w:spacing w:after="0" w:line="143" w:lineRule="exact"/>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2</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left="40" w:right="99" w:firstLine="324"/>
        <w:spacing w:after="0" w:line="273" w:lineRule="auto"/>
        <w:rPr>
          <w:sz w:val="20"/>
          <w:szCs w:val="20"/>
          <w:color w:val="auto"/>
        </w:rPr>
      </w:pPr>
      <w:r>
        <w:rPr>
          <w:rFonts w:ascii="Arial" w:cs="Arial" w:eastAsia="Arial" w:hAnsi="Arial"/>
          <w:sz w:val="17"/>
          <w:szCs w:val="17"/>
          <w:color w:val="auto"/>
        </w:rPr>
        <w:t>Everspin Technologies, Inc. (the Company) was incorporated in Delaware on May 16, 2008. The Company’s magnetoresistive random-access memory (MRAM) solutions offer the persistence of non-volatile memory with the speed and endurance of random-access memory (RAM) and enable the protection of mission critical data particularly in the event of power interruption or failure. The Company’s MRAM solutions allow its customers in key markets, such as industrial, medical, automotive/transportation, aerospace and data center markets to design high performance, power efficient and reliable systems without the need for bulky batteries or capacitors.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40" w:right="119" w:firstLine="324"/>
        <w:spacing w:after="0" w:line="269" w:lineRule="auto"/>
        <w:rPr>
          <w:sz w:val="20"/>
          <w:szCs w:val="20"/>
          <w:color w:val="auto"/>
        </w:rPr>
      </w:pPr>
      <w:r>
        <w:rPr>
          <w:rFonts w:ascii="Arial" w:cs="Arial" w:eastAsia="Arial" w:hAnsi="Arial"/>
          <w:sz w:val="17"/>
          <w:szCs w:val="17"/>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2022,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and nine months ended September 30, 2023, are not necessarily indicative of the results to be expected for the year ending December 31, 2023 or for any other interim period or for any other future year.</w:t>
      </w:r>
    </w:p>
    <w:p>
      <w:pPr>
        <w:spacing w:after="0" w:line="182" w:lineRule="exact"/>
        <w:rPr>
          <w:sz w:val="20"/>
          <w:szCs w:val="20"/>
          <w:color w:val="auto"/>
        </w:rPr>
      </w:pPr>
    </w:p>
    <w:p>
      <w:pPr>
        <w:ind w:left="40" w:right="299" w:firstLine="324"/>
        <w:spacing w:after="0" w:line="263"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for the year ended December 31, 2022, included in the Company’s Annual Report on Form 10-K filed with the SEC.</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40" w:right="119" w:firstLine="324"/>
        <w:spacing w:after="0" w:line="291" w:lineRule="auto"/>
        <w:rPr>
          <w:sz w:val="20"/>
          <w:szCs w:val="20"/>
          <w:color w:val="auto"/>
        </w:rPr>
      </w:pPr>
      <w:r>
        <w:rPr>
          <w:rFonts w:ascii="Arial" w:cs="Arial" w:eastAsia="Arial" w:hAnsi="Arial"/>
          <w:sz w:val="16"/>
          <w:szCs w:val="16"/>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net realizable value of inventory, product return reserves, deferred tax assets and related valuation allowances, and stock-based compensation. The Company believes its estimates and assumptions are reasonable; however, actual results may differ from the Company’s estimates.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left="40" w:right="139" w:firstLine="324"/>
        <w:spacing w:after="0" w:line="293" w:lineRule="auto"/>
        <w:rPr>
          <w:sz w:val="20"/>
          <w:szCs w:val="20"/>
          <w:color w:val="auto"/>
        </w:rPr>
      </w:pPr>
      <w:r>
        <w:rPr>
          <w:rFonts w:ascii="Arial" w:cs="Arial" w:eastAsia="Arial" w:hAnsi="Arial"/>
          <w:sz w:val="16"/>
          <w:szCs w:val="16"/>
          <w:color w:val="auto"/>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and, as a result, the allowance is recorded against the balance of trade accounts receivable. In addition, the Company, from time to time, may establish an allowance for estimated price adjustments related to its distributor agreements. The Company estimates credits to distributors based on the historical rate of credits provided to distributors relative to sales and evaluation of current market conditions.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Accounts receivable, net consisted of the following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10,498</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product returns and price adjustments</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10"/>
        </w:trPr>
        <w:tc>
          <w:tcPr>
            <w:tcW w:w="51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10,088</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10,665</w:t>
            </w: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40" w:right="179" w:firstLine="324"/>
        <w:spacing w:after="0" w:line="286" w:lineRule="auto"/>
        <w:rPr>
          <w:sz w:val="20"/>
          <w:szCs w:val="20"/>
          <w:color w:val="auto"/>
        </w:rPr>
      </w:pPr>
      <w:r>
        <w:rPr>
          <w:rFonts w:ascii="Arial" w:cs="Arial" w:eastAsia="Arial" w:hAnsi="Arial"/>
          <w:sz w:val="17"/>
          <w:szCs w:val="17"/>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w:t>
      </w:r>
    </w:p>
    <w:p>
      <w:pPr>
        <w:spacing w:after="0" w:line="165"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Revenue</w:t>
            </w: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rPr>
              <w:t>Accounts Receivable, net</w:t>
            </w:r>
          </w:p>
        </w:tc>
      </w:tr>
      <w:tr>
        <w:trPr>
          <w:trHeight w:val="119"/>
        </w:trPr>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tcBorders>
              <w:top w:val="single" w:sz="8" w:color="auto"/>
            </w:tcBorders>
            <w:gridSpan w:val="4"/>
          </w:tcPr>
          <w:p>
            <w:pPr>
              <w:jc w:val="right"/>
              <w:ind w:right="210"/>
              <w:spacing w:after="0" w:line="119" w:lineRule="exact"/>
              <w:rPr>
                <w:sz w:val="20"/>
                <w:szCs w:val="20"/>
                <w:color w:val="auto"/>
              </w:rPr>
            </w:pPr>
            <w:r>
              <w:rPr>
                <w:rFonts w:ascii="Arial" w:cs="Arial" w:eastAsia="Arial" w:hAnsi="Arial"/>
                <w:sz w:val="13"/>
                <w:szCs w:val="13"/>
                <w:b w:val="1"/>
                <w:bCs w:val="1"/>
                <w:color w:val="auto"/>
              </w:rPr>
              <w:t>Three Months Ended</w:t>
            </w:r>
          </w:p>
        </w:tc>
        <w:tc>
          <w:tcPr>
            <w:tcW w:w="1480" w:type="dxa"/>
            <w:vAlign w:val="bottom"/>
            <w:tcBorders>
              <w:top w:val="single" w:sz="8" w:color="auto"/>
            </w:tcBorders>
            <w:gridSpan w:val="3"/>
          </w:tcPr>
          <w:p>
            <w:pPr>
              <w:jc w:val="right"/>
              <w:ind w:right="33"/>
              <w:spacing w:after="0" w:line="119" w:lineRule="exact"/>
              <w:rPr>
                <w:sz w:val="20"/>
                <w:szCs w:val="20"/>
                <w:color w:val="auto"/>
              </w:rPr>
            </w:pPr>
            <w:r>
              <w:rPr>
                <w:rFonts w:ascii="Arial" w:cs="Arial" w:eastAsia="Arial" w:hAnsi="Arial"/>
                <w:sz w:val="13"/>
                <w:szCs w:val="13"/>
                <w:b w:val="1"/>
                <w:bCs w:val="1"/>
                <w:color w:val="auto"/>
              </w:rPr>
              <w:t>Nine Months Ended</w:t>
            </w:r>
          </w:p>
        </w:tc>
        <w:tc>
          <w:tcPr>
            <w:tcW w:w="520" w:type="dxa"/>
            <w:vAlign w:val="bottom"/>
          </w:tcPr>
          <w:p>
            <w:pPr>
              <w:spacing w:after="0"/>
              <w:rPr>
                <w:sz w:val="10"/>
                <w:szCs w:val="10"/>
                <w:color w:val="auto"/>
              </w:rPr>
            </w:pPr>
          </w:p>
        </w:tc>
        <w:tc>
          <w:tcPr>
            <w:tcW w:w="2040" w:type="dxa"/>
            <w:vAlign w:val="bottom"/>
            <w:tcBorders>
              <w:top w:val="single" w:sz="8" w:color="auto"/>
            </w:tcBorders>
            <w:gridSpan w:val="3"/>
          </w:tcPr>
          <w:p>
            <w:pPr>
              <w:jc w:val="right"/>
              <w:ind w:right="775"/>
              <w:spacing w:after="0" w:line="119" w:lineRule="exact"/>
              <w:rPr>
                <w:sz w:val="20"/>
                <w:szCs w:val="20"/>
                <w:color w:val="auto"/>
              </w:rPr>
            </w:pPr>
            <w:r>
              <w:rPr>
                <w:rFonts w:ascii="Arial" w:cs="Arial" w:eastAsia="Arial" w:hAnsi="Arial"/>
                <w:sz w:val="13"/>
                <w:szCs w:val="13"/>
                <w:b w:val="1"/>
                <w:bCs w:val="1"/>
                <w:color w:val="auto"/>
              </w:rPr>
              <w:t>As of</w:t>
            </w:r>
          </w:p>
        </w:tc>
        <w:tc>
          <w:tcPr>
            <w:tcW w:w="360" w:type="dxa"/>
            <w:vAlign w:val="bottom"/>
          </w:tcPr>
          <w:p>
            <w:pPr>
              <w:spacing w:after="0"/>
              <w:rPr>
                <w:sz w:val="10"/>
                <w:szCs w:val="10"/>
                <w:color w:val="auto"/>
              </w:rPr>
            </w:pPr>
          </w:p>
        </w:tc>
      </w:tr>
      <w:tr>
        <w:trPr>
          <w:trHeight w:val="171"/>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4"/>
          </w:tcPr>
          <w:p>
            <w:pPr>
              <w:jc w:val="right"/>
              <w:ind w:right="430"/>
              <w:spacing w:after="0"/>
              <w:rPr>
                <w:sz w:val="20"/>
                <w:szCs w:val="20"/>
                <w:color w:val="auto"/>
              </w:rPr>
            </w:pPr>
            <w:r>
              <w:rPr>
                <w:rFonts w:ascii="Arial" w:cs="Arial" w:eastAsia="Arial" w:hAnsi="Arial"/>
                <w:sz w:val="14"/>
                <w:szCs w:val="14"/>
                <w:b w:val="1"/>
                <w:bCs w:val="1"/>
                <w:color w:val="auto"/>
              </w:rPr>
              <w:t>September 30,</w:t>
            </w:r>
          </w:p>
        </w:tc>
        <w:tc>
          <w:tcPr>
            <w:tcW w:w="2000" w:type="dxa"/>
            <w:vAlign w:val="bottom"/>
            <w:gridSpan w:val="4"/>
          </w:tcPr>
          <w:p>
            <w:pPr>
              <w:jc w:val="right"/>
              <w:ind w:right="75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September 30,</w:t>
            </w:r>
          </w:p>
        </w:tc>
        <w:tc>
          <w:tcPr>
            <w:tcW w:w="126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2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Customers</w:t>
            </w:r>
          </w:p>
        </w:tc>
        <w:tc>
          <w:tcPr>
            <w:tcW w:w="72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2"/>
                <w:szCs w:val="12"/>
                <w:color w:val="auto"/>
              </w:rPr>
            </w:pPr>
          </w:p>
        </w:tc>
        <w:tc>
          <w:tcPr>
            <w:tcW w:w="940" w:type="dxa"/>
            <w:vAlign w:val="bottom"/>
          </w:tcPr>
          <w:p>
            <w:pPr>
              <w:jc w:val="right"/>
              <w:ind w:right="238"/>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90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2"/>
                <w:szCs w:val="12"/>
                <w:color w:val="auto"/>
              </w:rPr>
            </w:pPr>
          </w:p>
        </w:tc>
      </w:tr>
      <w:tr>
        <w:trPr>
          <w:trHeight w:val="210"/>
        </w:trPr>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20" w:type="dxa"/>
            <w:vAlign w:val="bottom"/>
            <w:tcBorders>
              <w:top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16 %</w:t>
            </w:r>
          </w:p>
        </w:tc>
        <w:tc>
          <w:tcPr>
            <w:tcW w:w="1180" w:type="dxa"/>
            <w:vAlign w:val="bottom"/>
            <w:gridSpan w:val="2"/>
          </w:tcPr>
          <w:p>
            <w:pPr>
              <w:jc w:val="right"/>
              <w:ind w:right="270"/>
              <w:spacing w:after="0"/>
              <w:rPr>
                <w:sz w:val="20"/>
                <w:szCs w:val="20"/>
                <w:color w:val="auto"/>
              </w:rPr>
            </w:pPr>
            <w:r>
              <w:rPr>
                <w:rFonts w:ascii="Arial" w:cs="Arial" w:eastAsia="Arial" w:hAnsi="Arial"/>
                <w:sz w:val="18"/>
                <w:szCs w:val="18"/>
                <w:color w:val="auto"/>
              </w:rPr>
              <w:t>14 %</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14 %</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18 %</w:t>
            </w: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11 %</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E</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Customer F</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11 %</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16 %</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3030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7" w:lineRule="exact"/>
        <w:rPr>
          <w:sz w:val="20"/>
          <w:szCs w:val="20"/>
          <w:color w:val="auto"/>
        </w:rPr>
      </w:pPr>
    </w:p>
    <w:p>
      <w:pPr>
        <w:ind w:left="360" w:hanging="316"/>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40" w:right="79" w:firstLine="324"/>
        <w:spacing w:after="0" w:line="286" w:lineRule="auto"/>
        <w:rPr>
          <w:sz w:val="20"/>
          <w:szCs w:val="20"/>
          <w:color w:val="auto"/>
        </w:rPr>
      </w:pPr>
      <w:r>
        <w:rPr>
          <w:rFonts w:ascii="Arial" w:cs="Arial" w:eastAsia="Arial" w:hAnsi="Arial"/>
          <w:sz w:val="17"/>
          <w:szCs w:val="17"/>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360" w:right="419"/>
        <w:spacing w:after="0" w:line="277" w:lineRule="auto"/>
        <w:rPr>
          <w:sz w:val="20"/>
          <w:szCs w:val="20"/>
          <w:color w:val="auto"/>
        </w:rPr>
      </w:pPr>
      <w:r>
        <w:rPr>
          <w:rFonts w:ascii="Arial" w:cs="Arial" w:eastAsia="Arial" w:hAnsi="Arial"/>
          <w:sz w:val="18"/>
          <w:szCs w:val="18"/>
          <w:color w:val="auto"/>
        </w:rPr>
        <w:t>Level 2— Inputs, other than quoted prices for identical assets or liabilities in active markets, which are observable either directly or indirectly; and</w:t>
      </w:r>
    </w:p>
    <w:p>
      <w:pPr>
        <w:spacing w:after="0" w:line="170" w:lineRule="exact"/>
        <w:rPr>
          <w:sz w:val="20"/>
          <w:szCs w:val="20"/>
          <w:color w:val="auto"/>
        </w:rPr>
      </w:pPr>
    </w:p>
    <w:p>
      <w:pPr>
        <w:ind w:left="360" w:right="339"/>
        <w:spacing w:after="0" w:line="277" w:lineRule="auto"/>
        <w:rPr>
          <w:sz w:val="20"/>
          <w:szCs w:val="20"/>
          <w:color w:val="auto"/>
        </w:rPr>
      </w:pPr>
      <w:r>
        <w:rPr>
          <w:rFonts w:ascii="Arial" w:cs="Arial" w:eastAsia="Arial" w:hAnsi="Arial"/>
          <w:sz w:val="18"/>
          <w:szCs w:val="18"/>
          <w:color w:val="auto"/>
        </w:rPr>
        <w:t>Level 3— Unobservable inputs in which there is little or no market data requiring the reporting entity to develop its own assumptions.</w:t>
      </w:r>
    </w:p>
    <w:p>
      <w:pPr>
        <w:spacing w:after="0" w:line="170" w:lineRule="exact"/>
        <w:rPr>
          <w:sz w:val="20"/>
          <w:szCs w:val="20"/>
          <w:color w:val="auto"/>
        </w:rPr>
      </w:pPr>
    </w:p>
    <w:p>
      <w:pPr>
        <w:ind w:left="40" w:right="239" w:firstLine="324"/>
        <w:spacing w:after="0" w:line="273" w:lineRule="auto"/>
        <w:rPr>
          <w:sz w:val="20"/>
          <w:szCs w:val="20"/>
          <w:color w:val="auto"/>
        </w:rPr>
      </w:pPr>
      <w:r>
        <w:rPr>
          <w:rFonts w:ascii="Arial" w:cs="Arial" w:eastAsia="Arial" w:hAnsi="Arial"/>
          <w:sz w:val="17"/>
          <w:szCs w:val="17"/>
          <w:color w:val="auto"/>
        </w:rPr>
        <w:t>As of September 30, 2023, based on Level 2 inputs and the borrowing rates available to the Company for loans with similar terms and consideration of the Company’s credit risk, the carrying value of the Company’s variable interest rate debt, excluding unamortized debt issuance costs, approximates fair value. The Company’s financial instruments included Level 1 assets and a Level 3 liability. Level 1 assets included highly liquid money market funds that are included in cash equivalents. The Company’s Level 3 liability consisted of warrants issued in connection with the Company’s 2019 Credit Facility. These warrants were extinguished as of September 30, 2023.</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19" w:firstLine="324"/>
        <w:spacing w:after="0" w:line="277" w:lineRule="auto"/>
        <w:rPr>
          <w:sz w:val="20"/>
          <w:szCs w:val="20"/>
          <w:color w:val="auto"/>
        </w:rPr>
      </w:pPr>
      <w:r>
        <w:rPr>
          <w:rFonts w:ascii="Arial" w:cs="Arial" w:eastAsia="Arial" w:hAnsi="Arial"/>
          <w:sz w:val="18"/>
          <w:szCs w:val="18"/>
          <w:color w:val="auto"/>
        </w:rPr>
        <w:t>The following tables sets forth the fair value of the Company’s financial assets and liabilities measured at fair value on a recurring basis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Money market funds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34,939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34,939</w:t>
            </w:r>
          </w:p>
        </w:tc>
      </w:tr>
      <w:tr>
        <w:trPr>
          <w:trHeight w:val="210"/>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34,939</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574"/>
        </w:trPr>
        <w:tc>
          <w:tcPr>
            <w:tcW w:w="3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42"/>
        </w:trPr>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Money market funds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26,812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26,812</w:t>
            </w:r>
          </w:p>
        </w:tc>
      </w:tr>
      <w:tr>
        <w:trPr>
          <w:trHeight w:val="210"/>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26,812</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6"/>
        </w:trPr>
        <w:tc>
          <w:tcPr>
            <w:tcW w:w="3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Warrant liability</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80"/>
              <w:spacing w:after="0"/>
              <w:rPr>
                <w:sz w:val="20"/>
                <w:szCs w:val="20"/>
                <w:color w:val="auto"/>
              </w:rPr>
            </w:pPr>
            <w:r>
              <w:rPr>
                <w:rFonts w:ascii="Arial" w:cs="Arial" w:eastAsia="Arial" w:hAnsi="Arial"/>
                <w:sz w:val="18"/>
                <w:szCs w:val="18"/>
                <w:color w:val="auto"/>
                <w:w w:val="99"/>
              </w:rPr>
              <w:t>27</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9"/>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9"/>
              </w:rPr>
              <w:t>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Government Tax Credits, Incentives and Grants</w:t>
      </w:r>
    </w:p>
    <w:p>
      <w:pPr>
        <w:spacing w:after="0" w:line="229" w:lineRule="exact"/>
        <w:rPr>
          <w:sz w:val="20"/>
          <w:szCs w:val="20"/>
          <w:color w:val="auto"/>
        </w:rPr>
      </w:pPr>
    </w:p>
    <w:p>
      <w:pPr>
        <w:ind w:left="40" w:right="79" w:firstLine="324"/>
        <w:spacing w:after="0" w:line="254" w:lineRule="auto"/>
        <w:rPr>
          <w:sz w:val="20"/>
          <w:szCs w:val="20"/>
          <w:color w:val="auto"/>
        </w:rPr>
      </w:pPr>
      <w:r>
        <w:rPr>
          <w:rFonts w:ascii="Arial" w:cs="Arial" w:eastAsia="Arial" w:hAnsi="Arial"/>
          <w:sz w:val="18"/>
          <w:szCs w:val="18"/>
          <w:color w:val="auto"/>
        </w:rPr>
        <w:t>From time to time, the Company may receive government funding in the form of tax credits, operating-related grants, capital-related grants, or other incentives to support various business activities, including capital development, research and development, and other activities as defined by the relevant government agency awarding the tax credit, incentive, or grant. The amount received is typically based on the amount of qualifying costs incurred. The Company typically has to meet certain requirements to retain the government funding. The Company records operating-related grants and non-income related tax credits as other income in the condensed statements of income and comprehensive income when there is reasonable assurance that the grant will be received, and the Company will comply with the conditions specified in the grant agreement.</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Company received Employee Retention Tax Credit (“ERTC”) refunds from the United States Treasury totaling</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 million, relating to the payroll periods from October 1, 2020 through September 30, 2021. The amounts were received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pursuant to provisions within the Coronavirus Aid, Relief, and Economic Security Act (“CARES Act”), the Taxpayer</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Certainty and Disaster Tax Relief Act of 2020 enacted as part of the Consolidated Appropriations Act, 2021 (“Relief Act”),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American Rescue Plan Act of 2021 (“ARPA”) which provide tax relief and other stimulus measures, including the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ERTC. The ERTC program allows for employers to claim a refundable tax credit against a portion of the employer share of</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Social Security tax for qualified wages paid to employees from March 13, 2020 through September 30, 2021.</w:t>
      </w:r>
    </w:p>
    <w:p>
      <w:pPr>
        <w:spacing w:after="0" w:line="211"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The Company recognized the $2.0 million tax credit within other income (expense), net in the condensed statements of income and comprehensive income in the second quarter of 2023, which is when the amount was received and it was determined that those amounts were reasonably assured to be retained by the Company. The Company’s compliance with the program’s qualifications may be subject to audit through the year ended December 31, 2025, which is when the statute of limitation expires. The Company has received all expected ERTC refunds based on applications that have been submitted.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2016-13, </w:t>
      </w:r>
      <w:r>
        <w:rPr>
          <w:rFonts w:ascii="Arial" w:cs="Arial" w:eastAsia="Arial" w:hAnsi="Arial"/>
          <w:sz w:val="17"/>
          <w:szCs w:val="17"/>
          <w:i w:val="1"/>
          <w:iCs w:val="1"/>
          <w:color w:val="auto"/>
        </w:rPr>
        <w:t>Financial Instruments-Credit Losses (Topic 326): Measurement of Credit Losses on Financial Instruments</w:t>
      </w:r>
      <w:r>
        <w:rPr>
          <w:rFonts w:ascii="Arial" w:cs="Arial" w:eastAsia="Arial" w:hAnsi="Arial"/>
          <w:sz w:val="17"/>
          <w:szCs w:val="17"/>
          <w:color w:val="auto"/>
        </w:rPr>
        <w:t xml:space="preserve">, which amends the incurred loss impairment methodology in current GAAP with a methodology that reflects expected credit losses and requires consideration of a broader range of reasonable and supportable information to inform credit loss estimates. As the Company is a smaller reporting company, ASU 2016-13 is effective for the Company’s annual reporting periods, and interim periods within those years, beginning after December 15, 2022, and requires a cumulative effect adjustment to the balance sheet as of the beginning of the first reporting period in which the guidance is effective. In April 2019, the FASB issued ASU 2019-04, </w:t>
      </w:r>
      <w:r>
        <w:rPr>
          <w:rFonts w:ascii="Arial" w:cs="Arial" w:eastAsia="Arial" w:hAnsi="Arial"/>
          <w:sz w:val="17"/>
          <w:szCs w:val="17"/>
          <w:i w:val="1"/>
          <w:iCs w:val="1"/>
          <w:color w:val="auto"/>
        </w:rPr>
        <w:t>Codification Improvements Financial Instruments-Credit Losses (Topic 326)</w:t>
      </w:r>
      <w:r>
        <w:rPr>
          <w:rFonts w:ascii="Arial" w:cs="Arial" w:eastAsia="Arial" w:hAnsi="Arial"/>
          <w:sz w:val="17"/>
          <w:szCs w:val="17"/>
          <w:color w:val="auto"/>
        </w:rPr>
        <w:t>. ASU 2019-04 provides narrow-scope amendments to help apply ASU 2016-13, and is effective with the adoption of ASU 2016-13. The Company adopted ASU 2016-13 and ASU 2019-04 on January 1, 2023, and it did not have a material impact on its condensed financial statements.</w:t>
      </w:r>
    </w:p>
    <w:p>
      <w:pPr>
        <w:spacing w:after="0" w:line="182" w:lineRule="exact"/>
        <w:rPr>
          <w:sz w:val="20"/>
          <w:szCs w:val="20"/>
          <w:color w:val="auto"/>
        </w:rPr>
      </w:pPr>
    </w:p>
    <w:p>
      <w:pPr>
        <w:ind w:left="40" w:right="219" w:firstLine="324"/>
        <w:spacing w:after="0" w:line="277" w:lineRule="auto"/>
        <w:rPr>
          <w:sz w:val="20"/>
          <w:szCs w:val="20"/>
          <w:color w:val="auto"/>
        </w:rPr>
      </w:pPr>
      <w:r>
        <w:rPr>
          <w:rFonts w:ascii="Arial" w:cs="Arial" w:eastAsia="Arial" w:hAnsi="Arial"/>
          <w:sz w:val="18"/>
          <w:szCs w:val="18"/>
          <w:color w:val="212529"/>
        </w:rPr>
        <w:t xml:space="preserve">The Company </w:t>
      </w:r>
      <w:r>
        <w:rPr>
          <w:rFonts w:ascii="Arial" w:cs="Arial" w:eastAsia="Arial" w:hAnsi="Arial"/>
          <w:sz w:val="18"/>
          <w:szCs w:val="18"/>
          <w:color w:val="000000"/>
        </w:rPr>
        <w:t>reviewed</w:t>
      </w:r>
      <w:r>
        <w:rPr>
          <w:rFonts w:ascii="Arial" w:cs="Arial" w:eastAsia="Arial" w:hAnsi="Arial"/>
          <w:sz w:val="18"/>
          <w:szCs w:val="18"/>
          <w:color w:val="212529"/>
        </w:rPr>
        <w:t xml:space="preserve"> all other recently issued accounting pronouncements and concluded that they were either not applicable or not expected to have a significant impact to the condensed financial statements.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ind w:left="40" w:right="179" w:firstLine="324"/>
        <w:spacing w:after="0" w:line="263" w:lineRule="auto"/>
        <w:rPr>
          <w:sz w:val="20"/>
          <w:szCs w:val="20"/>
          <w:color w:val="auto"/>
        </w:rPr>
      </w:pPr>
      <w:r>
        <w:rPr>
          <w:rFonts w:ascii="Arial" w:cs="Arial" w:eastAsia="Arial" w:hAnsi="Arial"/>
          <w:sz w:val="18"/>
          <w:szCs w:val="18"/>
          <w:color w:val="auto"/>
        </w:rPr>
        <w:t>The Company sells products to its distributors, original design manufacturers (ODMs), and original equipment manufacturers (OEMs). The Company also recognizes revenue under licensing, royalty, patent, and other agreements with some customers.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Company’s revenues disaggregated by sales channel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3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5"/>
              </w:rPr>
              <w:t>Three Months Ended September 30,</w:t>
            </w:r>
          </w:p>
        </w:tc>
        <w:tc>
          <w:tcPr>
            <w:tcW w:w="140" w:type="dxa"/>
            <w:vAlign w:val="bottom"/>
          </w:tcPr>
          <w:p>
            <w:pPr>
              <w:spacing w:after="0"/>
              <w:rPr>
                <w:sz w:val="14"/>
                <w:szCs w:val="14"/>
                <w:color w:val="auto"/>
              </w:rPr>
            </w:pPr>
          </w:p>
        </w:tc>
        <w:tc>
          <w:tcPr>
            <w:tcW w:w="22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Distributor</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37,586</w:t>
            </w:r>
          </w:p>
        </w:tc>
      </w:tr>
      <w:tr>
        <w:trPr>
          <w:trHeight w:val="216"/>
        </w:trPr>
        <w:tc>
          <w:tcPr>
            <w:tcW w:w="20" w:type="dxa"/>
            <w:vAlign w:val="bottom"/>
          </w:tcPr>
          <w:p>
            <w:pPr>
              <w:spacing w:after="0"/>
              <w:rPr>
                <w:sz w:val="18"/>
                <w:szCs w:val="18"/>
                <w:color w:val="auto"/>
              </w:rPr>
            </w:pPr>
          </w:p>
        </w:tc>
        <w:tc>
          <w:tcPr>
            <w:tcW w:w="2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Non-distributor</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8,888</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w:t>
            </w:r>
          </w:p>
        </w:tc>
      </w:tr>
      <w:tr>
        <w:trPr>
          <w:trHeight w:val="210"/>
        </w:trPr>
        <w:tc>
          <w:tcPr>
            <w:tcW w:w="20" w:type="dxa"/>
            <w:vAlign w:val="bottom"/>
          </w:tcPr>
          <w:p>
            <w:pPr>
              <w:spacing w:after="0"/>
              <w:rPr>
                <w:sz w:val="18"/>
                <w:szCs w:val="18"/>
                <w:color w:val="auto"/>
              </w:rPr>
            </w:pPr>
          </w:p>
        </w:tc>
        <w:tc>
          <w:tcPr>
            <w:tcW w:w="2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16,466</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15,241</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47,059</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44,295</w:t>
            </w: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the Company’s revenues disaggregated by timing of recognition (in thousands):</w:t>
      </w:r>
    </w:p>
    <w:p>
      <w:pPr>
        <w:spacing w:after="0" w:line="174"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23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22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24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Point in time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41,582</w:t>
            </w:r>
          </w:p>
        </w:tc>
      </w:tr>
      <w:tr>
        <w:trPr>
          <w:trHeight w:val="216"/>
        </w:trPr>
        <w:tc>
          <w:tcPr>
            <w:tcW w:w="2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Over time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5,574</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w:t>
            </w:r>
          </w:p>
        </w:tc>
      </w:tr>
      <w:tr>
        <w:trPr>
          <w:trHeight w:val="209"/>
        </w:trPr>
        <w:tc>
          <w:tcPr>
            <w:tcW w:w="2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16,466</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15,241</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47,059</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44,295</w:t>
            </w:r>
          </w:p>
        </w:tc>
      </w:tr>
      <w:tr>
        <w:trPr>
          <w:trHeight w:val="20"/>
        </w:trPr>
        <w:tc>
          <w:tcPr>
            <w:tcW w:w="2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Company’s revenues disaggregated by type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30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310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88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2022</w:t>
            </w:r>
          </w:p>
        </w:tc>
        <w:tc>
          <w:tcPr>
            <w:tcW w:w="860" w:type="dxa"/>
            <w:vAlign w:val="bottom"/>
          </w:tcPr>
          <w:p>
            <w:pPr>
              <w:spacing w:after="0"/>
              <w:rPr>
                <w:sz w:val="12"/>
                <w:szCs w:val="12"/>
                <w:color w:val="auto"/>
              </w:rPr>
            </w:pPr>
          </w:p>
        </w:tc>
      </w:tr>
      <w:tr>
        <w:trPr>
          <w:trHeight w:val="210"/>
        </w:trPr>
        <w:tc>
          <w:tcPr>
            <w:tcW w:w="88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40,465</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Licensing</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4,710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1,398</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860" w:type="dxa"/>
            <w:vAlign w:val="bottom"/>
          </w:tcPr>
          <w:p>
            <w:pPr>
              <w:spacing w:after="0"/>
              <w:rPr>
                <w:sz w:val="18"/>
                <w:szCs w:val="18"/>
                <w:color w:val="auto"/>
              </w:rPr>
            </w:pPr>
          </w:p>
        </w:tc>
      </w:tr>
      <w:tr>
        <w:trPr>
          <w:trHeight w:val="210"/>
        </w:trPr>
        <w:tc>
          <w:tcPr>
            <w:tcW w:w="880" w:type="dxa"/>
            <w:vAlign w:val="bottom"/>
          </w:tcPr>
          <w:p>
            <w:pPr>
              <w:spacing w:after="0"/>
              <w:rPr>
                <w:sz w:val="18"/>
                <w:szCs w:val="18"/>
                <w:color w:val="auto"/>
              </w:rPr>
            </w:pPr>
          </w:p>
        </w:tc>
        <w:tc>
          <w:tcPr>
            <w:tcW w:w="2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16,466</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15,241</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47,059</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44,295</w:t>
            </w:r>
          </w:p>
        </w:tc>
        <w:tc>
          <w:tcPr>
            <w:tcW w:w="86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844"/>
        </w:trPr>
        <w:tc>
          <w:tcPr>
            <w:tcW w:w="8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47"/>
        </w:trPr>
        <w:tc>
          <w:tcPr>
            <w:tcW w:w="8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319" w:firstLine="324"/>
        <w:spacing w:after="0" w:line="279" w:lineRule="auto"/>
        <w:rPr>
          <w:sz w:val="20"/>
          <w:szCs w:val="20"/>
          <w:color w:val="auto"/>
        </w:rPr>
      </w:pPr>
      <w:r>
        <w:rPr>
          <w:rFonts w:ascii="Arial" w:cs="Arial" w:eastAsia="Arial" w:hAnsi="Arial"/>
          <w:sz w:val="17"/>
          <w:szCs w:val="17"/>
          <w:color w:val="auto"/>
        </w:rPr>
        <w:t>The Company recognizes revenue in three primary geographic regions: Asia-Pacific (APAC); North America; and Europe, Middle East and Africa (EMEA). The Company recognizes revenue by geography based on the region in which the Company’s products are sold, and not to where the end products in which they are assembled are shipped. The Company’s revenue by region for the periods indicated was as follows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3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222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4"/>
              </w:rPr>
              <w:t>Nine Months Ended September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w w:val="89"/>
              </w:rPr>
              <w:t>2023</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24,218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North America</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4,607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10,798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12,043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4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16,466</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15,241</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47,059</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3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Inventory</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0" w:type="dxa"/>
            <w:vAlign w:val="bottom"/>
            <w:gridSpan w:val="6"/>
          </w:tcPr>
          <w:p>
            <w:pPr>
              <w:ind w:left="320"/>
              <w:spacing w:after="0"/>
              <w:rPr>
                <w:sz w:val="20"/>
                <w:szCs w:val="20"/>
                <w:color w:val="auto"/>
              </w:rPr>
            </w:pPr>
            <w:r>
              <w:rPr>
                <w:rFonts w:ascii="Arial" w:cs="Arial" w:eastAsia="Arial" w:hAnsi="Arial"/>
                <w:sz w:val="18"/>
                <w:szCs w:val="18"/>
                <w:color w:val="auto"/>
              </w:rPr>
              <w:t>Inventory consisted of the following (in thousands):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6,104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Total inventory</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8,637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6,683</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40" w:type="dxa"/>
            <w:vAlign w:val="bottom"/>
            <w:gridSpan w:val="7"/>
          </w:tcPr>
          <w:p>
            <w:pPr>
              <w:jc w:val="right"/>
              <w:ind w:right="67"/>
              <w:spacing w:after="0"/>
              <w:rPr>
                <w:sz w:val="20"/>
                <w:szCs w:val="20"/>
                <w:color w:val="auto"/>
              </w:rPr>
            </w:pPr>
            <w:r>
              <w:rPr>
                <w:rFonts w:ascii="Arial" w:cs="Arial" w:eastAsia="Arial" w:hAnsi="Arial"/>
                <w:sz w:val="18"/>
                <w:szCs w:val="18"/>
                <w:color w:val="auto"/>
                <w:w w:val="99"/>
              </w:rPr>
              <w:t>Accrued liabilities consisted of the following (in thousands):</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Payroll-related expenses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Total accrued liabilities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3,479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3,533</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left="40" w:right="279" w:firstLine="324"/>
        <w:spacing w:after="0" w:line="286" w:lineRule="auto"/>
        <w:rPr>
          <w:sz w:val="20"/>
          <w:szCs w:val="20"/>
          <w:color w:val="auto"/>
        </w:rPr>
      </w:pPr>
      <w:r>
        <w:rPr>
          <w:rFonts w:ascii="Arial" w:cs="Arial" w:eastAsia="Arial" w:hAnsi="Arial"/>
          <w:sz w:val="17"/>
          <w:szCs w:val="17"/>
          <w:color w:val="auto"/>
        </w:rPr>
        <w:t>During the year ended December 31, 2021, the Company executed contractual arrangements with a customer for the development of a RAD-Hard product, consisting of a technology license, design license agreement, and development subcontract (RAD-Hard 1). The total arrangements are for $6.5 million in consideration.</w:t>
      </w:r>
    </w:p>
    <w:p>
      <w:pPr>
        <w:spacing w:after="0" w:line="125" w:lineRule="exact"/>
        <w:rPr>
          <w:sz w:val="20"/>
          <w:szCs w:val="20"/>
          <w:color w:val="auto"/>
        </w:rPr>
      </w:pPr>
    </w:p>
    <w:p>
      <w:pPr>
        <w:ind w:left="40" w:right="139" w:firstLine="324"/>
        <w:spacing w:after="0" w:line="291" w:lineRule="auto"/>
        <w:rPr>
          <w:sz w:val="20"/>
          <w:szCs w:val="20"/>
          <w:color w:val="auto"/>
        </w:rPr>
      </w:pPr>
      <w:r>
        <w:rPr>
          <w:rFonts w:ascii="Arial" w:cs="Arial" w:eastAsia="Arial" w:hAnsi="Arial"/>
          <w:sz w:val="16"/>
          <w:szCs w:val="16"/>
          <w:color w:val="auto"/>
        </w:rPr>
        <w:t>The Company concluded that these contractual arrangements represent one arrangement and evaluated its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interdependency between the licenses and the development subcontract. Accordingly, the Company determined the licenses were not distinct within the context of the contract and combined the license with other performance obligations. The total transaction price of $6.5 million was allocated to the single performance obligation.</w:t>
      </w:r>
    </w:p>
    <w:p>
      <w:pPr>
        <w:spacing w:after="0" w:line="139" w:lineRule="exact"/>
        <w:rPr>
          <w:sz w:val="20"/>
          <w:szCs w:val="20"/>
          <w:color w:val="auto"/>
        </w:rPr>
      </w:pPr>
    </w:p>
    <w:p>
      <w:pPr>
        <w:ind w:left="40" w:right="139" w:firstLine="324"/>
        <w:spacing w:after="0" w:line="257" w:lineRule="auto"/>
        <w:rPr>
          <w:sz w:val="20"/>
          <w:szCs w:val="20"/>
          <w:color w:val="auto"/>
        </w:rPr>
      </w:pPr>
      <w:r>
        <w:rPr>
          <w:rFonts w:ascii="Arial" w:cs="Arial" w:eastAsia="Arial" w:hAnsi="Arial"/>
          <w:sz w:val="18"/>
          <w:szCs w:val="18"/>
          <w:color w:val="auto"/>
        </w:rPr>
        <w:t>The Company recognizes revenue related to the performance obligations over time using the input method based on costs incurred to date relative to the total expected costs of the contract and began recognizing revenue in the second quarter of 2021 over the contract period. This method depicts performance under the contract and requires the Company to make estimates about the future costs expected to be incurred to perform under the contact, including labor and material costs.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39" w:firstLine="324"/>
        <w:spacing w:after="0" w:line="293" w:lineRule="auto"/>
        <w:rPr>
          <w:sz w:val="20"/>
          <w:szCs w:val="20"/>
          <w:color w:val="auto"/>
        </w:rPr>
      </w:pPr>
      <w:r>
        <w:rPr>
          <w:rFonts w:ascii="Arial" w:cs="Arial" w:eastAsia="Arial" w:hAnsi="Arial"/>
          <w:sz w:val="16"/>
          <w:szCs w:val="16"/>
          <w:color w:val="auto"/>
        </w:rPr>
        <w:t>As of September 30, 2023, the Company has billed $6.0 million for the performance under the RAD-Hard 1 contractual agreements. Under the input method of recognition, the Company has recognized $0.1 and $0.5 million in revenue for the three and nine months ended September 30, 2023, respectively, and $5.5 million in revenue since inception of the contractual agreements. As a result, the Company has recorded $0.5 million in deferred revenue as of September 30, 2023. The Company expects to recognize the remaining $1.0 million of the transaction price as services are performed throughout the contractual period and performance is expected to be complete in the year ended December 31, 2024.</w:t>
      </w:r>
    </w:p>
    <w:p>
      <w:pPr>
        <w:spacing w:after="0" w:line="164" w:lineRule="exact"/>
        <w:rPr>
          <w:sz w:val="20"/>
          <w:szCs w:val="20"/>
          <w:color w:val="auto"/>
        </w:rPr>
      </w:pPr>
    </w:p>
    <w:p>
      <w:pPr>
        <w:ind w:left="40" w:right="139" w:firstLine="324"/>
        <w:spacing w:after="0" w:line="286" w:lineRule="auto"/>
        <w:rPr>
          <w:sz w:val="20"/>
          <w:szCs w:val="20"/>
          <w:color w:val="auto"/>
        </w:rPr>
      </w:pPr>
      <w:r>
        <w:rPr>
          <w:rFonts w:ascii="Arial" w:cs="Arial" w:eastAsia="Arial" w:hAnsi="Arial"/>
          <w:sz w:val="16"/>
          <w:szCs w:val="16"/>
          <w:color w:val="auto"/>
        </w:rPr>
        <w:t>During the year ended December 31, 2022, the Company executed a contractual arrangement with a customer for the development of a strategic radiation hardened field programmable gate array product, consisting of a technology license to provide design and development services under the contractual agreement (RAD-Hard 2). The first amendment to the contractual agreement was entered into in September 2023. Under the original contractual arrangement, the arrangement was for $6.5 million in consideration and services to be performed through the year ended December 31, 2024. During the three month period ended September 30, 2023, the total arrangement was modified to adjust the consideration to which the Company expects to be entitled to be $6.2 million and modified the scope of services which are expected to be completed during the year ended December 31, 2023, subject to certain termination and extension provisions defined in the arrangement. The accounting for this contract follows the same revenue recognition as the RAD-Hard 1 contractual agreements. As of September 30, 2023, the Company has billed $4.5 million for the performance under the RAD-Hard 2 contractual agreement. Under the input method of recognition, the Company has recognized $1.8 million and $4.1 million in revenue for the three and nine months ended September 30, 2023, respectively, and $4.5 million in revenue since inception of the contractual agreement. As a result, the Company has not recorded a balance in deferred revenue from this contractual arrangement as of September 30, 2023.</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ind w:left="40" w:right="399" w:firstLine="324"/>
        <w:spacing w:after="0" w:line="263" w:lineRule="auto"/>
        <w:rPr>
          <w:sz w:val="20"/>
          <w:szCs w:val="20"/>
          <w:color w:val="auto"/>
        </w:rPr>
      </w:pPr>
      <w:r>
        <w:rPr>
          <w:rFonts w:ascii="Arial" w:cs="Arial" w:eastAsia="Arial" w:hAnsi="Arial"/>
          <w:sz w:val="18"/>
          <w:szCs w:val="18"/>
          <w:color w:val="auto"/>
        </w:rPr>
        <w:t>Operating leases consist primarily of office space expiring at various dates through 2029. Finance leases relate to a server lease expiring in January 2025. The Company’s lease agreements do not contain any material residual value guarantees or material restrictive covenants.</w:t>
      </w:r>
    </w:p>
    <w:p>
      <w:pPr>
        <w:spacing w:after="0" w:line="184"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The undiscounted future non-cancellable lease payments under the Company’s operating and finance leases were as follows (in thousands):</w:t>
      </w:r>
    </w:p>
    <w:p>
      <w:pPr>
        <w:spacing w:after="0" w:line="180"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5660" w:type="dxa"/>
            <w:vAlign w:val="bottom"/>
            <w:gridSpan w:val="2"/>
          </w:tcPr>
          <w:p>
            <w:pPr>
              <w:ind w:left="560"/>
              <w:spacing w:after="0"/>
              <w:rPr>
                <w:sz w:val="20"/>
                <w:szCs w:val="20"/>
                <w:color w:val="auto"/>
              </w:rPr>
            </w:pPr>
            <w:r>
              <w:rPr>
                <w:rFonts w:ascii="Arial" w:cs="Arial" w:eastAsia="Arial" w:hAnsi="Arial"/>
                <w:sz w:val="14"/>
                <w:szCs w:val="14"/>
                <w:b w:val="1"/>
                <w:bCs w:val="1"/>
                <w:color w:val="auto"/>
              </w:rPr>
              <w:t>As of September 30, 2023</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580" w:type="dxa"/>
            <w:vAlign w:val="bottom"/>
            <w:tcBorders>
              <w:right w:val="single" w:sz="8" w:color="CCEEFF"/>
            </w:tcBorders>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9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2024</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2026</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9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lease payments</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imputed interest</w:t>
            </w:r>
          </w:p>
        </w:tc>
        <w:tc>
          <w:tcPr>
            <w:tcW w:w="9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0"/>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lease liabilities</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current portion of lease liabilities</w:t>
            </w:r>
          </w:p>
        </w:tc>
        <w:tc>
          <w:tcPr>
            <w:tcW w:w="9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0"/>
        </w:trPr>
        <w:tc>
          <w:tcPr>
            <w:tcW w:w="580" w:type="dxa"/>
            <w:vAlign w:val="bottom"/>
            <w:tcBorders>
              <w:right w:val="single" w:sz="8" w:color="CCEEFF"/>
            </w:tcBorders>
          </w:tcPr>
          <w:p>
            <w:pPr>
              <w:spacing w:after="0"/>
              <w:rPr>
                <w:sz w:val="18"/>
                <w:szCs w:val="18"/>
                <w:color w:val="auto"/>
              </w:rPr>
            </w:pPr>
          </w:p>
        </w:tc>
        <w:tc>
          <w:tcPr>
            <w:tcW w:w="5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lease liabilities, net of current portion</w:t>
            </w:r>
          </w:p>
        </w:tc>
        <w:tc>
          <w:tcPr>
            <w:tcW w:w="9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8"/>
                <w:szCs w:val="18"/>
                <w:color w:val="auto"/>
                <w:w w:val="98"/>
              </w:rPr>
              <w:t>Other information related to the Company’s operating lease liabilities was as follows:</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0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960" w:type="dxa"/>
            <w:vAlign w:val="bottom"/>
          </w:tcPr>
          <w:p>
            <w:pPr>
              <w:ind w:left="420"/>
              <w:spacing w:after="0"/>
              <w:rPr>
                <w:sz w:val="20"/>
                <w:szCs w:val="20"/>
                <w:color w:val="auto"/>
              </w:rPr>
            </w:pPr>
            <w:r>
              <w:rPr>
                <w:rFonts w:ascii="Arial" w:cs="Arial" w:eastAsia="Arial" w:hAnsi="Arial"/>
                <w:sz w:val="18"/>
                <w:szCs w:val="18"/>
                <w:color w:val="auto"/>
                <w:w w:val="92"/>
              </w:rPr>
              <w:t>4.50 %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ind w:left="420"/>
              <w:spacing w:after="0"/>
              <w:rPr>
                <w:sz w:val="20"/>
                <w:szCs w:val="20"/>
                <w:color w:val="auto"/>
              </w:rPr>
            </w:pPr>
            <w:r>
              <w:rPr>
                <w:rFonts w:ascii="Arial" w:cs="Arial" w:eastAsia="Arial" w:hAnsi="Arial"/>
                <w:sz w:val="18"/>
                <w:szCs w:val="18"/>
                <w:color w:val="auto"/>
                <w:w w:val="89"/>
              </w:rPr>
              <w:t>4.50 %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information related to the Company’s finance lease liabilities was as follows:</w:t>
      </w:r>
    </w:p>
    <w:p>
      <w:pPr>
        <w:spacing w:after="0" w:line="298"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0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2.09</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960" w:type="dxa"/>
            <w:vAlign w:val="bottom"/>
          </w:tcPr>
          <w:p>
            <w:pPr>
              <w:ind w:left="420"/>
              <w:spacing w:after="0"/>
              <w:rPr>
                <w:sz w:val="20"/>
                <w:szCs w:val="20"/>
                <w:color w:val="auto"/>
              </w:rPr>
            </w:pPr>
            <w:r>
              <w:rPr>
                <w:rFonts w:ascii="Arial" w:cs="Arial" w:eastAsia="Arial" w:hAnsi="Arial"/>
                <w:sz w:val="18"/>
                <w:szCs w:val="18"/>
                <w:color w:val="auto"/>
                <w:w w:val="92"/>
              </w:rPr>
              <w:t>4.50 %</w:t>
            </w:r>
          </w:p>
        </w:tc>
        <w:tc>
          <w:tcPr>
            <w:tcW w:w="140" w:type="dxa"/>
            <w:vAlign w:val="bottom"/>
          </w:tcPr>
          <w:p>
            <w:pPr>
              <w:spacing w:after="0"/>
              <w:rPr>
                <w:sz w:val="20"/>
                <w:szCs w:val="20"/>
                <w:color w:val="auto"/>
              </w:rPr>
            </w:pPr>
          </w:p>
        </w:tc>
        <w:tc>
          <w:tcPr>
            <w:tcW w:w="940" w:type="dxa"/>
            <w:vAlign w:val="bottom"/>
          </w:tcPr>
          <w:p>
            <w:pPr>
              <w:ind w:left="420"/>
              <w:spacing w:after="0"/>
              <w:rPr>
                <w:sz w:val="20"/>
                <w:szCs w:val="20"/>
                <w:color w:val="auto"/>
              </w:rPr>
            </w:pPr>
            <w:r>
              <w:rPr>
                <w:rFonts w:ascii="Arial" w:cs="Arial" w:eastAsia="Arial" w:hAnsi="Arial"/>
                <w:sz w:val="18"/>
                <w:szCs w:val="18"/>
                <w:color w:val="auto"/>
                <w:w w:val="89"/>
              </w:rPr>
              <w:t>4.50 %</w:t>
            </w:r>
          </w:p>
        </w:tc>
      </w:tr>
    </w:tbl>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2019 Credit Facility</w:t>
      </w:r>
    </w:p>
    <w:p>
      <w:pPr>
        <w:spacing w:after="0" w:line="225" w:lineRule="exact"/>
        <w:rPr>
          <w:sz w:val="20"/>
          <w:szCs w:val="20"/>
          <w:color w:val="auto"/>
        </w:rPr>
      </w:pPr>
    </w:p>
    <w:p>
      <w:pPr>
        <w:ind w:left="40" w:right="59" w:firstLine="324"/>
        <w:spacing w:after="0" w:line="275" w:lineRule="auto"/>
        <w:rPr>
          <w:sz w:val="20"/>
          <w:szCs w:val="20"/>
          <w:color w:val="auto"/>
        </w:rPr>
      </w:pPr>
      <w:r>
        <w:rPr>
          <w:rFonts w:ascii="Arial" w:cs="Arial" w:eastAsia="Arial" w:hAnsi="Arial"/>
          <w:sz w:val="17"/>
          <w:szCs w:val="17"/>
          <w:color w:val="auto"/>
        </w:rPr>
        <w:t>In March 2023, the 2019 Credit Facility, consisting of the Company’s Term Loan and Line of Credit, was paid in full, and there was no outstanding balance as of September 30, 2023. The Company paid an early termination and prepayment fee of $170,000, which was recorded within other income (expense) within the condensed statements of income and comprehensive income for the nine months ended September 30, 2023. There were no payments or fees recorded related to the 2019 Credit Facility during the three months ended September 30, 2023.</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Company was in compliance with all covenants throughout the 2019 Credit Facility payoff date in March 2023.</w:t>
      </w:r>
    </w:p>
    <w:p>
      <w:pPr>
        <w:spacing w:after="0" w:line="237" w:lineRule="exact"/>
        <w:rPr>
          <w:sz w:val="20"/>
          <w:szCs w:val="20"/>
          <w:color w:val="auto"/>
        </w:rPr>
      </w:pPr>
    </w:p>
    <w:p>
      <w:pPr>
        <w:jc w:val="both"/>
        <w:ind w:left="40" w:right="79" w:firstLine="324"/>
        <w:spacing w:after="0" w:line="263" w:lineRule="auto"/>
        <w:rPr>
          <w:sz w:val="20"/>
          <w:szCs w:val="20"/>
          <w:color w:val="auto"/>
        </w:rPr>
      </w:pPr>
      <w:r>
        <w:rPr>
          <w:rFonts w:ascii="Arial" w:cs="Arial" w:eastAsia="Arial" w:hAnsi="Arial"/>
          <w:sz w:val="18"/>
          <w:szCs w:val="18"/>
          <w:color w:val="auto"/>
        </w:rPr>
        <w:t>The amortization of the debt issuance costs and accretion of the debt discount is included in interest expense within the condensed statements of income and comprehensive income and included in non-cash interest expense within the statement of cash flows.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Summary of Stock Option and Award Activity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stock option and award activity for the nine months ended September 30, 2023:</w:t>
      </w:r>
    </w:p>
    <w:p>
      <w:pPr>
        <w:spacing w:after="0" w:line="25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4"/>
                <w:szCs w:val="14"/>
                <w:b w:val="1"/>
                <w:bCs w:val="1"/>
                <w:color w:val="auto"/>
                <w:w w:val="94"/>
              </w:rPr>
              <w:t>Options Outstanding</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00" w:type="dxa"/>
            <w:vAlign w:val="bottom"/>
          </w:tcPr>
          <w:p>
            <w:pPr>
              <w:spacing w:after="0"/>
              <w:rPr>
                <w:sz w:val="10"/>
                <w:szCs w:val="10"/>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Options and</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Weighted-</w:t>
            </w: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Average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Exercise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Price Per</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Grant</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0"/>
        </w:trPr>
        <w:tc>
          <w:tcPr>
            <w:tcW w:w="2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689,472</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1,994,726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2600" w:type="dxa"/>
            <w:vAlign w:val="bottom"/>
          </w:tcPr>
          <w:p>
            <w:pPr>
              <w:ind w:left="100"/>
              <w:spacing w:after="0"/>
              <w:rPr>
                <w:sz w:val="20"/>
                <w:szCs w:val="20"/>
                <w:color w:val="auto"/>
              </w:rPr>
            </w:pPr>
            <w:r>
              <w:rPr>
                <w:rFonts w:ascii="Arial" w:cs="Arial" w:eastAsia="Arial" w:hAnsi="Arial"/>
                <w:sz w:val="18"/>
                <w:szCs w:val="18"/>
                <w:color w:val="auto"/>
              </w:rPr>
              <w:t>Authorized</w:t>
            </w:r>
          </w:p>
        </w:tc>
        <w:tc>
          <w:tcPr>
            <w:tcW w:w="800" w:type="dxa"/>
            <w:vAlign w:val="bottom"/>
          </w:tcPr>
          <w:p>
            <w:pPr>
              <w:jc w:val="right"/>
              <w:spacing w:after="0"/>
              <w:rPr>
                <w:sz w:val="20"/>
                <w:szCs w:val="20"/>
                <w:color w:val="auto"/>
              </w:rPr>
            </w:pPr>
            <w:r>
              <w:rPr>
                <w:rFonts w:ascii="Arial" w:cs="Arial" w:eastAsia="Arial" w:hAnsi="Arial"/>
                <w:sz w:val="18"/>
                <w:szCs w:val="18"/>
                <w:color w:val="auto"/>
              </w:rPr>
              <w:t>611,228</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RSUs granted</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(705,379)</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00"/>
              <w:spacing w:after="0"/>
              <w:rPr>
                <w:sz w:val="20"/>
                <w:szCs w:val="20"/>
                <w:color w:val="auto"/>
              </w:rPr>
            </w:pPr>
            <w:r>
              <w:rPr>
                <w:rFonts w:ascii="Arial" w:cs="Arial" w:eastAsia="Arial" w:hAnsi="Arial"/>
                <w:sz w:val="18"/>
                <w:szCs w:val="18"/>
                <w:color w:val="auto"/>
              </w:rPr>
              <w:t>RSUs cancelled/forfeited</w:t>
            </w:r>
          </w:p>
        </w:tc>
        <w:tc>
          <w:tcPr>
            <w:tcW w:w="800" w:type="dxa"/>
            <w:vAlign w:val="bottom"/>
          </w:tcPr>
          <w:p>
            <w:pPr>
              <w:jc w:val="right"/>
              <w:spacing w:after="0"/>
              <w:rPr>
                <w:sz w:val="20"/>
                <w:szCs w:val="20"/>
                <w:color w:val="auto"/>
              </w:rPr>
            </w:pPr>
            <w:r>
              <w:rPr>
                <w:rFonts w:ascii="Arial" w:cs="Arial" w:eastAsia="Arial" w:hAnsi="Arial"/>
                <w:sz w:val="18"/>
                <w:szCs w:val="18"/>
                <w:color w:val="auto"/>
              </w:rPr>
              <w:t>4,461</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Warrants exercised</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00"/>
              <w:spacing w:after="0"/>
              <w:rPr>
                <w:sz w:val="20"/>
                <w:szCs w:val="20"/>
                <w:color w:val="auto"/>
              </w:rPr>
            </w:pPr>
            <w:r>
              <w:rPr>
                <w:rFonts w:ascii="Arial" w:cs="Arial" w:eastAsia="Arial" w:hAnsi="Arial"/>
                <w:sz w:val="18"/>
                <w:szCs w:val="18"/>
                <w:color w:val="auto"/>
              </w:rPr>
              <w:t>Options granted</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(8,000)</w:t>
            </w:r>
          </w:p>
        </w:tc>
        <w:tc>
          <w:tcPr>
            <w:tcW w:w="820" w:type="dxa"/>
            <w:vAlign w:val="bottom"/>
          </w:tcPr>
          <w:p>
            <w:pPr>
              <w:jc w:val="right"/>
              <w:spacing w:after="0"/>
              <w:rPr>
                <w:sz w:val="20"/>
                <w:szCs w:val="20"/>
                <w:color w:val="auto"/>
              </w:rPr>
            </w:pPr>
            <w:r>
              <w:rPr>
                <w:rFonts w:ascii="Arial" w:cs="Arial" w:eastAsia="Arial" w:hAnsi="Arial"/>
                <w:sz w:val="18"/>
                <w:szCs w:val="18"/>
                <w:color w:val="auto"/>
              </w:rPr>
              <w:t>8,000</w:t>
            </w:r>
          </w:p>
        </w:tc>
        <w:tc>
          <w:tcPr>
            <w:tcW w:w="6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6.47</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Options exercised</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(143,070)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600" w:type="dxa"/>
            <w:vAlign w:val="bottom"/>
          </w:tcPr>
          <w:p>
            <w:pPr>
              <w:ind w:left="100"/>
              <w:spacing w:after="0"/>
              <w:rPr>
                <w:sz w:val="20"/>
                <w:szCs w:val="20"/>
                <w:color w:val="auto"/>
              </w:rPr>
            </w:pPr>
            <w:r>
              <w:rPr>
                <w:rFonts w:ascii="Arial" w:cs="Arial" w:eastAsia="Arial" w:hAnsi="Arial"/>
                <w:sz w:val="18"/>
                <w:szCs w:val="18"/>
                <w:color w:val="auto"/>
              </w:rPr>
              <w:t>Options cancelled/forfeited</w:t>
            </w:r>
          </w:p>
        </w:tc>
        <w:tc>
          <w:tcPr>
            <w:tcW w:w="800" w:type="dxa"/>
            <w:vAlign w:val="bottom"/>
          </w:tcPr>
          <w:p>
            <w:pPr>
              <w:jc w:val="right"/>
              <w:spacing w:after="0"/>
              <w:rPr>
                <w:sz w:val="20"/>
                <w:szCs w:val="20"/>
                <w:color w:val="auto"/>
              </w:rPr>
            </w:pPr>
            <w:r>
              <w:rPr>
                <w:rFonts w:ascii="Arial" w:cs="Arial" w:eastAsia="Arial" w:hAnsi="Arial"/>
                <w:sz w:val="18"/>
                <w:szCs w:val="18"/>
                <w:color w:val="auto"/>
              </w:rPr>
              <w:t>7,857</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(7,857)</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6.80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Balance—September 30, 2023</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599,403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1,851,799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7,231</w:t>
            </w: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line="195" w:lineRule="exact"/>
              <w:rPr>
                <w:sz w:val="20"/>
                <w:szCs w:val="20"/>
                <w:color w:val="auto"/>
              </w:rPr>
            </w:pPr>
            <w:r>
              <w:rPr>
                <w:rFonts w:ascii="Arial" w:cs="Arial" w:eastAsia="Arial" w:hAnsi="Arial"/>
                <w:sz w:val="18"/>
                <w:szCs w:val="18"/>
                <w:color w:val="auto"/>
              </w:rPr>
              <w:t>Options exercisable—</w:t>
            </w: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0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2"/>
              </w:rPr>
              <w:t>1,208,065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600" w:type="dxa"/>
            <w:vAlign w:val="bottom"/>
          </w:tcPr>
          <w:p>
            <w:pPr>
              <w:spacing w:after="0"/>
              <w:rPr>
                <w:sz w:val="20"/>
                <w:szCs w:val="20"/>
                <w:color w:val="auto"/>
              </w:rPr>
            </w:pPr>
            <w:r>
              <w:rPr>
                <w:rFonts w:ascii="Arial" w:cs="Arial" w:eastAsia="Arial" w:hAnsi="Arial"/>
                <w:sz w:val="18"/>
                <w:szCs w:val="18"/>
                <w:color w:val="auto"/>
              </w:rPr>
              <w:t>September 30, 2023</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5.67</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5,061</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firstLine="324"/>
        <w:spacing w:after="0" w:line="263" w:lineRule="auto"/>
        <w:rPr>
          <w:sz w:val="20"/>
          <w:szCs w:val="20"/>
          <w:color w:val="auto"/>
        </w:rPr>
      </w:pPr>
      <w:r>
        <w:rPr>
          <w:rFonts w:ascii="Arial" w:cs="Arial" w:eastAsia="Arial" w:hAnsi="Arial"/>
          <w:sz w:val="18"/>
          <w:szCs w:val="18"/>
          <w:color w:val="auto"/>
        </w:rPr>
        <w:t>The total grant date fair value of options vested was $0.4 million and $0.8 million during the three months ended September 30, 2023 and 2022, respectively, and $1.7 million and $2.6 million during the nine months ended September 30, 2023 and 2022, respectively.</w:t>
      </w:r>
    </w:p>
    <w:p>
      <w:pPr>
        <w:spacing w:after="0" w:line="184"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color w:val="auto"/>
        </w:rPr>
        <w:t>No options were granted during the three months ended September 30, 2023 or 2022, respectively. The weighted-average grant date fair value of options granted was $3.85 and $5.40 per share during the nine months ended September 30, 2023 and 2022, respectively.</w:t>
      </w:r>
    </w:p>
    <w:p>
      <w:pPr>
        <w:spacing w:after="0" w:line="184" w:lineRule="exact"/>
        <w:rPr>
          <w:sz w:val="20"/>
          <w:szCs w:val="20"/>
          <w:color w:val="auto"/>
        </w:rPr>
      </w:pPr>
    </w:p>
    <w:p>
      <w:pPr>
        <w:ind w:left="40" w:right="219" w:firstLine="324"/>
        <w:spacing w:after="0" w:line="286" w:lineRule="auto"/>
        <w:rPr>
          <w:sz w:val="20"/>
          <w:szCs w:val="20"/>
          <w:color w:val="auto"/>
        </w:rPr>
      </w:pPr>
      <w:r>
        <w:rPr>
          <w:rFonts w:ascii="Arial" w:cs="Arial" w:eastAsia="Arial" w:hAnsi="Arial"/>
          <w:sz w:val="17"/>
          <w:szCs w:val="17"/>
          <w:color w:val="auto"/>
        </w:rPr>
        <w:t>As of September 30, 2023, there was $2.8 million of total unrecognized stock-based compensation expense related to unvested options which is expected to be recognized over a weighted-average period of 1.8 years. Stock-based compensation cost for options capitalized within inventory at September 30, 2023 and 2022 was not material.</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225" w:lineRule="exact"/>
        <w:rPr>
          <w:sz w:val="20"/>
          <w:szCs w:val="20"/>
          <w:color w:val="auto"/>
        </w:rPr>
      </w:pPr>
    </w:p>
    <w:p>
      <w:pPr>
        <w:ind w:left="40" w:right="179" w:firstLine="324"/>
        <w:spacing w:after="0" w:line="255" w:lineRule="auto"/>
        <w:rPr>
          <w:sz w:val="20"/>
          <w:szCs w:val="20"/>
          <w:color w:val="auto"/>
        </w:rPr>
      </w:pPr>
      <w:r>
        <w:rPr>
          <w:rFonts w:ascii="Arial" w:cs="Arial" w:eastAsia="Arial" w:hAnsi="Arial"/>
          <w:sz w:val="18"/>
          <w:szCs w:val="18"/>
          <w:color w:val="auto"/>
        </w:rPr>
        <w:t>In January 2023, there was an increase of 203,742 shares reserved for issuance under the Company’s Employee Stock Purchase Plan (ESPP) pursuant to the terms of the ESPP. The Company had 936,985 shares available for future issuance under the Company’s ESPP as of September 30, 2023. Employees did not purchase any shares during the three months ended September 30, 2023 and 2022, respectively. Employees purchased 40,894 shares for $181,000 during the nine months ended September 30, 2023. Employees purchased 37,017 shares for $167,000 during the nine months ended September 30, 2022.</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restricted stock units (RSUs) activity for the nine months ended September 30, 2023:</w:t>
      </w:r>
    </w:p>
    <w:p>
      <w:pPr>
        <w:spacing w:after="0" w:line="25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08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4"/>
                <w:szCs w:val="14"/>
                <w:b w:val="1"/>
                <w:bCs w:val="1"/>
                <w:color w:val="auto"/>
              </w:rPr>
              <w:t>RSUs Outstanding</w:t>
            </w: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jc w:val="center"/>
              <w:ind w:right="19"/>
              <w:spacing w:after="0" w:line="119" w:lineRule="exact"/>
              <w:rPr>
                <w:sz w:val="20"/>
                <w:szCs w:val="20"/>
                <w:color w:val="auto"/>
              </w:rPr>
            </w:pPr>
            <w:r>
              <w:rPr>
                <w:rFonts w:ascii="Arial" w:cs="Arial" w:eastAsia="Arial" w:hAnsi="Arial"/>
                <w:sz w:val="13"/>
                <w:szCs w:val="13"/>
                <w:b w:val="1"/>
                <w:bCs w:val="1"/>
                <w:color w:val="auto"/>
                <w:w w:val="98"/>
              </w:rPr>
              <w:t>Weighted-</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Fair Value Per</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center"/>
              <w:ind w:right="19"/>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2022</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656,646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705,379</w:t>
            </w:r>
          </w:p>
        </w:tc>
        <w:tc>
          <w:tcPr>
            <w:tcW w:w="14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(376,431)</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Arial" w:cs="Arial" w:eastAsia="Arial" w:hAnsi="Arial"/>
                <w:sz w:val="18"/>
                <w:szCs w:val="18"/>
                <w:color w:val="auto"/>
              </w:rPr>
              <w:t>Cancelled/forfeited</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(4,461)</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Balance—September 30, 2023</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981,133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99" w:firstLine="324"/>
        <w:spacing w:after="0" w:line="277" w:lineRule="auto"/>
        <w:rPr>
          <w:sz w:val="20"/>
          <w:szCs w:val="20"/>
          <w:color w:val="auto"/>
        </w:rPr>
      </w:pPr>
      <w:r>
        <w:rPr>
          <w:rFonts w:ascii="Arial" w:cs="Arial" w:eastAsia="Arial" w:hAnsi="Arial"/>
          <w:sz w:val="18"/>
          <w:szCs w:val="18"/>
          <w:color w:val="auto"/>
        </w:rPr>
        <w:t>The fair value of RSUs is determined on the date of grant based on the market price of the Company’s common stock on that date.</w:t>
      </w:r>
    </w:p>
    <w:p>
      <w:pPr>
        <w:spacing w:after="0" w:line="170" w:lineRule="exact"/>
        <w:rPr>
          <w:sz w:val="20"/>
          <w:szCs w:val="20"/>
          <w:color w:val="auto"/>
        </w:rPr>
      </w:pPr>
    </w:p>
    <w:p>
      <w:pPr>
        <w:jc w:val="both"/>
        <w:ind w:left="40" w:right="119" w:firstLine="324"/>
        <w:spacing w:after="0" w:line="263" w:lineRule="auto"/>
        <w:rPr>
          <w:sz w:val="20"/>
          <w:szCs w:val="20"/>
          <w:color w:val="auto"/>
        </w:rPr>
      </w:pPr>
      <w:r>
        <w:rPr>
          <w:rFonts w:ascii="Arial" w:cs="Arial" w:eastAsia="Arial" w:hAnsi="Arial"/>
          <w:sz w:val="18"/>
          <w:szCs w:val="18"/>
          <w:color w:val="auto"/>
        </w:rPr>
        <w:t>As of September 30, 2023, there was $5.4 million of unrecognized stock-based compensation expense related to RSUs to be recognized over a weighted-average period of 1.9 years. Stock-based compensation cost related to RSU’s capitalized within inventory at September 30, 2023 and 2022 was not material.</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Significant Agreements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GLOBALFOUNDRIES, Inc. Joint Development Agreement</w:t>
      </w:r>
    </w:p>
    <w:p>
      <w:pPr>
        <w:spacing w:after="0" w:line="225" w:lineRule="exact"/>
        <w:rPr>
          <w:sz w:val="20"/>
          <w:szCs w:val="20"/>
          <w:color w:val="auto"/>
        </w:rPr>
      </w:pPr>
    </w:p>
    <w:p>
      <w:pPr>
        <w:ind w:left="40" w:right="119" w:firstLine="324"/>
        <w:spacing w:after="0" w:line="272" w:lineRule="auto"/>
        <w:rPr>
          <w:sz w:val="20"/>
          <w:szCs w:val="20"/>
          <w:color w:val="auto"/>
        </w:rPr>
      </w:pPr>
      <w:r>
        <w:rPr>
          <w:rFonts w:ascii="Arial" w:cs="Arial" w:eastAsia="Arial" w:hAnsi="Arial"/>
          <w:sz w:val="17"/>
          <w:szCs w:val="17"/>
          <w:color w:val="auto"/>
        </w:rPr>
        <w:t>Since October 17, 2014, the Company has participated in a joint development agreement (JDA) with GLOBALFOUNDRIES Inc. (GF), a semiconductor foundry, for the joint development of Spin-transfer Torque MRAM (STT-MRAM), technology to produce a family of discrete and embedded MRAM technologies. The term of the agreement is until the completion, termination, or expiration of the last statement of work entered into pursuant to the joint development agreement. The Company entered into a Statement of Work (SOW) and an Amendment to the SOW, under the JDA with GF effective August 2016 and June 2018, respectively. The agreement was extended on December 31, 2019 to include a new phase of support for 12nm MRAM development.</w:t>
      </w:r>
    </w:p>
    <w:p>
      <w:pPr>
        <w:spacing w:after="0" w:line="177" w:lineRule="exact"/>
        <w:rPr>
          <w:sz w:val="20"/>
          <w:szCs w:val="20"/>
          <w:color w:val="auto"/>
        </w:rPr>
      </w:pPr>
    </w:p>
    <w:p>
      <w:pPr>
        <w:ind w:left="40" w:right="59" w:firstLine="324"/>
        <w:spacing w:after="0" w:line="272" w:lineRule="auto"/>
        <w:rPr>
          <w:sz w:val="20"/>
          <w:szCs w:val="20"/>
          <w:color w:val="auto"/>
        </w:rPr>
      </w:pPr>
      <w:r>
        <w:rPr>
          <w:rFonts w:ascii="Arial" w:cs="Arial" w:eastAsia="Arial" w:hAnsi="Arial"/>
          <w:sz w:val="17"/>
          <w:szCs w:val="17"/>
          <w:color w:val="auto"/>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77"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Generally, unless otherwise specified in the agreement or a statement of work, the Company and GF share project costs, which do not include personnel or production qualification costs, under the JDA. If GF manufactures, sells or transfers to customers wafers containing production quantified STT-MRAM devices that utilize certain design information, GF will be required to pay the Company a royalty.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Net Income Per Common Share</w:t>
      </w:r>
    </w:p>
    <w:p>
      <w:pPr>
        <w:spacing w:after="0" w:line="229" w:lineRule="exact"/>
        <w:rPr>
          <w:sz w:val="20"/>
          <w:szCs w:val="20"/>
          <w:color w:val="auto"/>
        </w:rPr>
      </w:pPr>
    </w:p>
    <w:p>
      <w:pPr>
        <w:jc w:val="both"/>
        <w:ind w:left="40" w:right="59" w:firstLine="441"/>
        <w:spacing w:after="0" w:line="293" w:lineRule="auto"/>
        <w:rPr>
          <w:sz w:val="20"/>
          <w:szCs w:val="20"/>
          <w:color w:val="auto"/>
        </w:rPr>
      </w:pPr>
      <w:r>
        <w:rPr>
          <w:rFonts w:ascii="Arial" w:cs="Arial" w:eastAsia="Arial" w:hAnsi="Arial"/>
          <w:sz w:val="16"/>
          <w:szCs w:val="16"/>
          <w:color w:val="auto"/>
        </w:rPr>
        <w:t>Basic net income per common share is calculated by dividing the net income by the weighted-average number of shares of common stock outstanding for the period less shares subject to repurchase, without consideration of potentially dilutive securities. Diluted earnings per share is calculated using the treasury stock method by dividing net income by the total weighted average shares of common stock outstanding in addition to the potential impact of dilutive securities including restricted stock units, warrants, and options. In periods with a net loss, potentially dilutive securities are excluded from the Company’s calculation of earnings per share as their inclusion would have an antidilutive effect.</w:t>
      </w:r>
    </w:p>
    <w:p>
      <w:pPr>
        <w:spacing w:after="0" w:line="164"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following tables set forth the computation of basic and diluted net income per share attributable to common stockholders (in thousands, except share and per share amounts):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Basic EPS</w:t>
      </w:r>
    </w:p>
    <w:p>
      <w:pPr>
        <w:spacing w:after="0" w:line="230"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380" w:type="dxa"/>
            <w:vAlign w:val="bottom"/>
            <w:tcBorders>
              <w:bottom w:val="single" w:sz="8" w:color="auto"/>
            </w:tcBorders>
            <w:gridSpan w:val="5"/>
          </w:tcPr>
          <w:p>
            <w:pPr>
              <w:jc w:val="right"/>
              <w:ind w:right="13"/>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2300" w:type="dxa"/>
            <w:vAlign w:val="bottom"/>
            <w:tcBorders>
              <w:bottom w:val="single" w:sz="8" w:color="auto"/>
            </w:tcBorders>
            <w:gridSpan w:val="5"/>
          </w:tcPr>
          <w:p>
            <w:pPr>
              <w:jc w:val="right"/>
              <w:ind w:right="13"/>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3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3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23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Weighted-average shares of</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common stock outstanding,</w:t>
            </w:r>
          </w:p>
        </w:tc>
        <w:tc>
          <w:tcPr>
            <w:tcW w:w="16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20,848,558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20,206,728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20,653,775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20,058,744</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23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300" w:type="dxa"/>
            <w:vAlign w:val="bottom"/>
            <w:gridSpan w:val="2"/>
            <w:vMerge w:val="restart"/>
          </w:tcPr>
          <w:p>
            <w:pPr>
              <w:spacing w:after="0" w:line="191" w:lineRule="exact"/>
              <w:rPr>
                <w:sz w:val="20"/>
                <w:szCs w:val="20"/>
                <w:color w:val="auto"/>
              </w:rPr>
            </w:pPr>
            <w:r>
              <w:rPr>
                <w:rFonts w:ascii="Arial" w:cs="Arial" w:eastAsia="Arial" w:hAnsi="Arial"/>
                <w:sz w:val="18"/>
                <w:szCs w:val="18"/>
                <w:b w:val="1"/>
                <w:bCs w:val="1"/>
                <w:color w:val="auto"/>
              </w:rPr>
              <w:t>Net income per common</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80" w:type="dxa"/>
            <w:vAlign w:val="bottom"/>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0.09</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0.34</w:t>
            </w:r>
          </w:p>
        </w:tc>
        <w:tc>
          <w:tcPr>
            <w:tcW w:w="16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share, basic</w:t>
            </w:r>
          </w:p>
        </w:tc>
        <w:tc>
          <w:tcPr>
            <w:tcW w:w="1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gridSpan w:val="3"/>
            <w:vMerge w:val="restart"/>
          </w:tcPr>
          <w:p>
            <w:pPr>
              <w:spacing w:after="0"/>
              <w:rPr>
                <w:sz w:val="20"/>
                <w:szCs w:val="20"/>
                <w:color w:val="auto"/>
              </w:rPr>
            </w:pPr>
            <w:r>
              <w:rPr>
                <w:rFonts w:ascii="Arial" w:cs="Arial" w:eastAsia="Arial" w:hAnsi="Arial"/>
                <w:sz w:val="18"/>
                <w:szCs w:val="18"/>
                <w:color w:val="auto"/>
              </w:rPr>
              <w:t>Diluted EPS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2380" w:type="dxa"/>
            <w:vAlign w:val="bottom"/>
            <w:tcBorders>
              <w:bottom w:val="single" w:sz="8" w:color="auto"/>
            </w:tcBorders>
            <w:gridSpan w:val="5"/>
          </w:tcPr>
          <w:p>
            <w:pPr>
              <w:jc w:val="right"/>
              <w:ind w:right="13"/>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24"/>
                <w:szCs w:val="24"/>
                <w:color w:val="auto"/>
              </w:rPr>
            </w:pPr>
          </w:p>
        </w:tc>
        <w:tc>
          <w:tcPr>
            <w:tcW w:w="2300" w:type="dxa"/>
            <w:vAlign w:val="bottom"/>
            <w:tcBorders>
              <w:bottom w:val="single" w:sz="8" w:color="auto"/>
            </w:tcBorders>
            <w:gridSpan w:val="5"/>
          </w:tcPr>
          <w:p>
            <w:pPr>
              <w:jc w:val="right"/>
              <w:ind w:right="13"/>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23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Less: warrant liability fair</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value loss (gain)</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recognized</w:t>
            </w: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2300" w:type="dxa"/>
            <w:vAlign w:val="bottom"/>
            <w:tcBorders>
              <w:top w:val="single" w:sz="8" w:color="CCEEFF"/>
            </w:tcBorders>
            <w:gridSpan w:val="2"/>
            <w:shd w:val="clear" w:color="auto" w:fill="CCEEFF"/>
          </w:tcPr>
          <w:p>
            <w:pPr>
              <w:ind w:left="100"/>
              <w:spacing w:after="0" w:line="182" w:lineRule="exact"/>
              <w:rPr>
                <w:sz w:val="20"/>
                <w:szCs w:val="20"/>
                <w:color w:val="auto"/>
              </w:rPr>
            </w:pPr>
            <w:r>
              <w:rPr>
                <w:rFonts w:ascii="Arial" w:cs="Arial" w:eastAsia="Arial" w:hAnsi="Arial"/>
                <w:sz w:val="18"/>
                <w:szCs w:val="18"/>
                <w:color w:val="auto"/>
              </w:rPr>
              <w:t>Net income attributable to</w:t>
            </w: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 stockholders,</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6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7,059</w:t>
            </w:r>
          </w:p>
        </w:tc>
        <w:tc>
          <w:tcPr>
            <w:tcW w:w="16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3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3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23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Weighted-average shares of</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common stock outstanding,</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20,848,558</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20,206,728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20,653,775</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20,058,744</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23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Dilutive effect of stock</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3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options and RSUs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980,231</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332,336</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623,129</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640,070</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2300" w:type="dxa"/>
            <w:vAlign w:val="bottom"/>
            <w:gridSpan w:val="2"/>
            <w:shd w:val="clear" w:color="auto" w:fill="CCEEFF"/>
          </w:tcPr>
          <w:p>
            <w:pPr>
              <w:ind w:left="100"/>
              <w:spacing w:after="0" w:line="182" w:lineRule="exact"/>
              <w:rPr>
                <w:sz w:val="20"/>
                <w:szCs w:val="20"/>
                <w:color w:val="auto"/>
              </w:rPr>
            </w:pPr>
            <w:r>
              <w:rPr>
                <w:rFonts w:ascii="Arial" w:cs="Arial" w:eastAsia="Arial" w:hAnsi="Arial"/>
                <w:sz w:val="18"/>
                <w:szCs w:val="18"/>
                <w:color w:val="auto"/>
                <w:w w:val="96"/>
              </w:rPr>
              <w:t>Weighted-average shares of</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common stock outstanding,</w:t>
            </w:r>
          </w:p>
        </w:tc>
        <w:tc>
          <w:tcPr>
            <w:tcW w:w="16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21,828,789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20,539,064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21,276,904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20,698,814</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23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300" w:type="dxa"/>
            <w:vAlign w:val="bottom"/>
            <w:gridSpan w:val="2"/>
            <w:vMerge w:val="restart"/>
          </w:tcPr>
          <w:p>
            <w:pPr>
              <w:spacing w:after="0" w:line="191" w:lineRule="exact"/>
              <w:rPr>
                <w:sz w:val="20"/>
                <w:szCs w:val="20"/>
                <w:color w:val="auto"/>
              </w:rPr>
            </w:pPr>
            <w:r>
              <w:rPr>
                <w:rFonts w:ascii="Arial" w:cs="Arial" w:eastAsia="Arial" w:hAnsi="Arial"/>
                <w:sz w:val="18"/>
                <w:szCs w:val="18"/>
                <w:b w:val="1"/>
                <w:bCs w:val="1"/>
                <w:color w:val="auto"/>
              </w:rPr>
              <w:t>Net income per common</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80" w:type="dxa"/>
            <w:vAlign w:val="bottom"/>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0.09</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0.33</w:t>
            </w:r>
          </w:p>
        </w:tc>
        <w:tc>
          <w:tcPr>
            <w:tcW w:w="16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share, diluted</w:t>
            </w:r>
          </w:p>
        </w:tc>
        <w:tc>
          <w:tcPr>
            <w:tcW w:w="1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79" w:firstLine="324"/>
        <w:spacing w:after="0" w:line="301" w:lineRule="auto"/>
        <w:rPr>
          <w:sz w:val="20"/>
          <w:szCs w:val="20"/>
          <w:color w:val="auto"/>
        </w:rPr>
      </w:pPr>
      <w:r>
        <w:rPr>
          <w:rFonts w:ascii="Arial" w:cs="Arial" w:eastAsia="Arial" w:hAnsi="Arial"/>
          <w:sz w:val="16"/>
          <w:szCs w:val="16"/>
          <w:color w:val="auto"/>
        </w:rPr>
        <w:t>Potentially dilutive securities representing 0.5 million and 2.0 million stock options and RSUs that were outstanding during the three months ended of September 30, 2023, and 2022, respectively, and 0.8 million and 0.7 million stock options and RSUs outstanding during the nine months ended September 30, 2023 and 2022, respectively, were excluded from the computation of diluted earnings per common share during these periods as their inclusion would have an antidilutive effect.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40" w:right="399" w:firstLine="324"/>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2022.</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left="40" w:right="59" w:firstLine="324"/>
        <w:spacing w:after="0" w:line="267" w:lineRule="auto"/>
        <w:rPr>
          <w:sz w:val="20"/>
          <w:szCs w:val="20"/>
          <w:color w:val="auto"/>
        </w:rPr>
      </w:pPr>
      <w:r>
        <w:rPr>
          <w:rFonts w:ascii="Arial" w:cs="Arial" w:eastAsia="Arial" w:hAnsi="Arial"/>
          <w:sz w:val="17"/>
          <w:szCs w:val="17"/>
          <w:i w:val="1"/>
          <w:iCs w:val="1"/>
          <w:color w:val="auto"/>
        </w:rPr>
        <w:t>This discussion contains certain forward-looking statements within the meaning of Section 27A of the Securities Act of 1933, as amended (Securities Act), and Section 21E of the Securities Exchange Act of 1934, as amended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among other things, our industry, business, future plans, strategies, objectives, expectations, intentions and financial performance, as well as anticipated impacts from, and our responses to, COVID-19 and our expectations regarding current supply constraints,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as well as in our other filings with the Securities and Exchange Commission (SEC).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We caution investors that our business and financial performance are subject to substantial risks and uncertainties.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right="379" w:firstLine="324"/>
        <w:spacing w:after="0" w:line="272" w:lineRule="auto"/>
        <w:rPr>
          <w:sz w:val="20"/>
          <w:szCs w:val="20"/>
          <w:color w:val="auto"/>
        </w:rPr>
      </w:pPr>
      <w:r>
        <w:rPr>
          <w:rFonts w:ascii="Arial" w:cs="Arial" w:eastAsia="Arial" w:hAnsi="Arial"/>
          <w:sz w:val="17"/>
          <w:szCs w:val="17"/>
          <w:color w:val="auto"/>
        </w:rPr>
        <w:t>Everspin is a pioneer in the successful commercialization of Magnetoresistive Random Access Memory (MRAM) technology. Our portfolio of MRAM technologies, including Toggle MRAM and Spin-transfer Torque MRAM (STT-MRAM), is delivering superior performance, persistence and reliability in non-volatile memories that transform how mission-critical data is protected against power loss. With over 15 years of MRAM technology and manufacturing leadership, our memory solutions deliver significant value to our customers in key markets such as industrial, medical, automotive/transportation, aerospace and data center. We are the leading supplier of discrete MRAM components and a successful licensor of our broad portfolio of related technology intellectual property.</w:t>
      </w:r>
    </w:p>
    <w:p>
      <w:pPr>
        <w:spacing w:after="0" w:line="177" w:lineRule="exact"/>
        <w:rPr>
          <w:sz w:val="20"/>
          <w:szCs w:val="20"/>
          <w:color w:val="auto"/>
        </w:rPr>
      </w:pPr>
    </w:p>
    <w:p>
      <w:pPr>
        <w:ind w:left="40" w:right="159" w:firstLine="324"/>
        <w:spacing w:after="0" w:line="277" w:lineRule="auto"/>
        <w:rPr>
          <w:sz w:val="20"/>
          <w:szCs w:val="20"/>
          <w:color w:val="auto"/>
        </w:rPr>
      </w:pPr>
      <w:r>
        <w:rPr>
          <w:rFonts w:ascii="Arial" w:cs="Arial" w:eastAsia="Arial" w:hAnsi="Arial"/>
          <w:sz w:val="18"/>
          <w:szCs w:val="18"/>
          <w:color w:val="auto"/>
        </w:rPr>
        <w:t>We sell our products directly and through our established distribution channels to industry-leading OEMs and original design manufacturers (ODMs).</w:t>
      </w:r>
    </w:p>
    <w:p>
      <w:pPr>
        <w:spacing w:after="0" w:line="170" w:lineRule="exact"/>
        <w:rPr>
          <w:sz w:val="20"/>
          <w:szCs w:val="20"/>
          <w:color w:val="auto"/>
        </w:rPr>
      </w:pPr>
    </w:p>
    <w:p>
      <w:pPr>
        <w:ind w:left="40" w:right="199" w:firstLine="324"/>
        <w:spacing w:after="0" w:line="275" w:lineRule="auto"/>
        <w:rPr>
          <w:sz w:val="20"/>
          <w:szCs w:val="20"/>
          <w:color w:val="auto"/>
        </w:rPr>
      </w:pPr>
      <w:r>
        <w:rPr>
          <w:rFonts w:ascii="Arial" w:cs="Arial" w:eastAsia="Arial" w:hAnsi="Arial"/>
          <w:sz w:val="17"/>
          <w:szCs w:val="17"/>
          <w:color w:val="auto"/>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200mm fabrication facility in Chandler, Arizona. We also manufacture full-flow 300mm CMOS wafers with our STT-MRAM magnetic-bit technology integrated in BEOL as part of our strategic relationship with GLOBALFOUNDRIES.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left="40" w:right="59" w:firstLine="324"/>
        <w:spacing w:after="0" w:line="301" w:lineRule="auto"/>
        <w:rPr>
          <w:sz w:val="20"/>
          <w:szCs w:val="20"/>
          <w:color w:val="auto"/>
        </w:rPr>
      </w:pPr>
      <w:r>
        <w:rPr>
          <w:rFonts w:ascii="Arial" w:cs="Arial" w:eastAsia="Arial" w:hAnsi="Arial"/>
          <w:sz w:val="16"/>
          <w:szCs w:val="16"/>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299"/>
        <w:spacing w:after="0" w:line="263" w:lineRule="auto"/>
        <w:rPr>
          <w:sz w:val="20"/>
          <w:szCs w:val="20"/>
          <w:color w:val="auto"/>
        </w:rPr>
      </w:pPr>
      <w:r>
        <w:rPr>
          <w:rFonts w:ascii="Arial" w:cs="Arial" w:eastAsia="Arial" w:hAnsi="Arial"/>
          <w:sz w:val="18"/>
          <w:szCs w:val="18"/>
          <w:color w:val="auto"/>
        </w:rPr>
        <w:t>EBITDA, a non-GAAP financial measure, and design wins. We define Adjusted EBITDA as net income or loss adjusted for interest expense, taxes, depreciation and amortization, stock-based compensation expense, and restructuring costs, if any.</w:t>
      </w:r>
    </w:p>
    <w:p>
      <w:pPr>
        <w:spacing w:after="0" w:line="184"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Our management and board of directors use Adjusted EBITDA to understand and evaluate our</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 Adjusted EBITDA is a non-GAAP financial measure and should be considered in addition to, not as superior to, or as a substitute for, net income reported in accordance with GAAP. The following table presents a reconciliation of net income, the most directly comparable GAAP measure, to Adjusted EBITDA for the periods indicated:</w:t>
      </w:r>
    </w:p>
    <w:p>
      <w:pPr>
        <w:spacing w:after="0" w:line="17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2380" w:type="dxa"/>
            <w:vAlign w:val="bottom"/>
            <w:tcBorders>
              <w:bottom w:val="single" w:sz="8" w:color="auto"/>
            </w:tcBorders>
            <w:gridSpan w:val="5"/>
          </w:tcPr>
          <w:p>
            <w:pPr>
              <w:jc w:val="right"/>
              <w:ind w:right="13"/>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2300" w:type="dxa"/>
            <w:vAlign w:val="bottom"/>
            <w:tcBorders>
              <w:bottom w:val="single" w:sz="8" w:color="auto"/>
            </w:tcBorders>
            <w:gridSpan w:val="5"/>
          </w:tcPr>
          <w:p>
            <w:pPr>
              <w:jc w:val="right"/>
              <w:ind w:right="1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2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2022</w:t>
            </w:r>
          </w:p>
        </w:tc>
      </w:tr>
      <w:tr>
        <w:trPr>
          <w:trHeight w:val="178"/>
        </w:trPr>
        <w:tc>
          <w:tcPr>
            <w:tcW w:w="230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Adjusted EBITDA</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34"/>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2,438</w:t>
            </w:r>
          </w:p>
        </w:tc>
        <w:tc>
          <w:tcPr>
            <w:tcW w:w="18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1,907</w:t>
            </w:r>
          </w:p>
        </w:tc>
        <w:tc>
          <w:tcPr>
            <w:tcW w:w="3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7,084</w:t>
            </w:r>
          </w:p>
        </w:tc>
        <w:tc>
          <w:tcPr>
            <w:tcW w:w="1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5,513</w:t>
            </w: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Depreciation and</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expense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3,700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3,287</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09"/>
        </w:trPr>
        <w:tc>
          <w:tcPr>
            <w:tcW w:w="2300" w:type="dxa"/>
            <w:vAlign w:val="bottom"/>
          </w:tcPr>
          <w:p>
            <w:pPr>
              <w:ind w:left="10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4,006</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3,374</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11,752</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9,722</w:t>
            </w:r>
          </w:p>
        </w:tc>
      </w:tr>
      <w:tr>
        <w:trPr>
          <w:trHeight w:val="20"/>
        </w:trPr>
        <w:tc>
          <w:tcPr>
            <w:tcW w:w="2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419" w:firstLine="324"/>
        <w:spacing w:after="0" w:line="277" w:lineRule="auto"/>
        <w:rPr>
          <w:sz w:val="20"/>
          <w:szCs w:val="20"/>
          <w:color w:val="auto"/>
        </w:rPr>
      </w:pPr>
      <w:r>
        <w:rPr>
          <w:rFonts w:ascii="Arial" w:cs="Arial" w:eastAsia="Arial" w:hAnsi="Arial"/>
          <w:sz w:val="18"/>
          <w:szCs w:val="18"/>
          <w:color w:val="auto"/>
        </w:rPr>
        <w:t>Our Adjusted EBITDA for the nine months ended September 30, 2023 includes a one-time employee retention tax credit received of $2.0 million in the second quarter of 2023.</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Effect of COVID-19 on our Business</w:t>
      </w:r>
    </w:p>
    <w:p>
      <w:pPr>
        <w:spacing w:after="0" w:line="229" w:lineRule="exact"/>
        <w:rPr>
          <w:sz w:val="20"/>
          <w:szCs w:val="20"/>
          <w:color w:val="auto"/>
        </w:rPr>
      </w:pPr>
    </w:p>
    <w:p>
      <w:pPr>
        <w:ind w:left="40" w:right="79" w:firstLine="324"/>
        <w:spacing w:after="0" w:line="254" w:lineRule="auto"/>
        <w:rPr>
          <w:sz w:val="20"/>
          <w:szCs w:val="20"/>
          <w:color w:val="auto"/>
        </w:rPr>
      </w:pPr>
      <w:r>
        <w:rPr>
          <w:rFonts w:ascii="Arial" w:cs="Arial" w:eastAsia="Arial" w:hAnsi="Arial"/>
          <w:sz w:val="18"/>
          <w:szCs w:val="18"/>
          <w:color w:val="auto"/>
        </w:rPr>
        <w:t>The COVID-19 outbreak resulted in government authorities around the world implementing numerous measures to try to reduce the spread of COVID-19. Overall, our business remained operational in the midst of the COVID-19 pandemic. The United States Government has declared that it was no longer treating COVID-19 as a pandemic. Since our business is dependent on a global supply chain, we expect to continue to navigate the impact of COVID-19, particularly in some Asian countries. We will continue to monitor the situation and take additional actions as warranted. These actions may include further altering our operations in order to protect the best interests of our employees, customers and suppliers, and to comply with government requirements, while also planning and executing our business to best support our customers, suppliers, and partners.</w:t>
      </w:r>
    </w:p>
    <w:p>
      <w:pPr>
        <w:spacing w:after="0" w:line="192" w:lineRule="exact"/>
        <w:rPr>
          <w:sz w:val="20"/>
          <w:szCs w:val="20"/>
          <w:color w:val="auto"/>
        </w:rPr>
      </w:pPr>
    </w:p>
    <w:p>
      <w:pPr>
        <w:jc w:val="both"/>
        <w:ind w:left="40" w:right="439" w:firstLine="324"/>
        <w:spacing w:after="0" w:line="286" w:lineRule="auto"/>
        <w:rPr>
          <w:sz w:val="20"/>
          <w:szCs w:val="20"/>
          <w:color w:val="auto"/>
        </w:rPr>
      </w:pPr>
      <w:r>
        <w:rPr>
          <w:rFonts w:ascii="Arial" w:cs="Arial" w:eastAsia="Arial" w:hAnsi="Arial"/>
          <w:sz w:val="17"/>
          <w:szCs w:val="17"/>
          <w:color w:val="auto"/>
        </w:rPr>
        <w:t>The ultimate extent of the impact of COVID-19 on our business, results of operations and financial condition will depend on future developments, which are highly uncertain, continuously evolving and cannot be predicted, See “Risk Factors” in Part II, Item 1A of this report for additional risks we face due to the existence of COVID-19.</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our results of operations for the periods indicated:</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1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bottom w:val="single" w:sz="8" w:color="auto"/>
            </w:tcBorders>
            <w:gridSpan w:val="2"/>
          </w:tcPr>
          <w:p>
            <w:pPr>
              <w:jc w:val="right"/>
              <w:ind w:right="196"/>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8"/>
        </w:trPr>
        <w:tc>
          <w:tcPr>
            <w:tcW w:w="3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7"/>
          </w:tcPr>
          <w:p>
            <w:pPr>
              <w:ind w:left="200"/>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85"/>
              </w:rPr>
              <w:t>(As a percentage</w:t>
            </w:r>
          </w:p>
        </w:tc>
        <w:tc>
          <w:tcPr>
            <w:tcW w:w="4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of revenue)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13,543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14,571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20" w:type="dxa"/>
            <w:vAlign w:val="bottom"/>
            <w:shd w:val="clear" w:color="auto" w:fill="CCEEFF"/>
          </w:tcPr>
          <w:p>
            <w:pPr>
              <w:spacing w:after="0"/>
              <w:rPr>
                <w:sz w:val="18"/>
                <w:szCs w:val="18"/>
                <w:color w:val="auto"/>
              </w:rPr>
            </w:pPr>
          </w:p>
        </w:tc>
      </w:tr>
      <w:tr>
        <w:trPr>
          <w:trHeight w:val="216"/>
        </w:trPr>
        <w:tc>
          <w:tcPr>
            <w:tcW w:w="3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1"/>
              </w:rPr>
              <w:t>Licensing, royalty, patent, and other revenue</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r>
      <w:tr>
        <w:trPr>
          <w:trHeight w:val="209"/>
        </w:trPr>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16,466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15,241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Cost of product sales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5,920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Cost of licensing, royalty, patent, and other</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09"/>
        </w:trPr>
        <w:tc>
          <w:tcPr>
            <w:tcW w:w="3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cost of sales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6,547</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6,277</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r>
      <w:tr>
        <w:trPr>
          <w:trHeight w:val="209"/>
        </w:trPr>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28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2,971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09"/>
        </w:trPr>
        <w:tc>
          <w:tcPr>
            <w:tcW w:w="32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7,940</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7,053</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5"/>
          </w:tcPr>
          <w:p>
            <w:pPr>
              <w:jc w:val="right"/>
              <w:ind w:right="348"/>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Net income and comprehensive income</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3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gridSpan w:val="2"/>
          </w:tcPr>
          <w:p>
            <w:pPr>
              <w:spacing w:after="0"/>
              <w:rPr>
                <w:sz w:val="17"/>
                <w:szCs w:val="17"/>
                <w:color w:val="auto"/>
              </w:rPr>
            </w:pPr>
          </w:p>
        </w:tc>
      </w:tr>
      <w:tr>
        <w:trPr>
          <w:trHeight w:val="196"/>
        </w:trPr>
        <w:tc>
          <w:tcPr>
            <w:tcW w:w="3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9"/>
          </w:tcPr>
          <w:p>
            <w:pPr>
              <w:ind w:left="2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7"/>
                <w:szCs w:val="17"/>
                <w:color w:val="auto"/>
              </w:rPr>
            </w:pPr>
          </w:p>
        </w:tc>
        <w:tc>
          <w:tcPr>
            <w:tcW w:w="204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90"/>
              </w:rPr>
              <w:t>(As a percentage of revenue)</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40,726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40,465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87 %</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20" w:type="dxa"/>
            <w:vAlign w:val="bottom"/>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1"/>
              </w:rPr>
              <w:t>Licensing, royalty, patent, and other revenue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6,333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2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47,059</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44,295</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Cost of product sales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18,133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17,667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Cost of licensing, royalty, patent, and other</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3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cost of sales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19,517</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18,417</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27,542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25,878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8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10,660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23,244</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20,203</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1180" w:type="dxa"/>
            <w:vAlign w:val="bottom"/>
            <w:gridSpan w:val="5"/>
          </w:tcPr>
          <w:p>
            <w:pPr>
              <w:jc w:val="right"/>
              <w:ind w:right="328"/>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7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Net income and comprehensive income</w:t>
            </w:r>
          </w:p>
        </w:tc>
        <w:tc>
          <w:tcPr>
            <w:tcW w:w="100" w:type="dxa"/>
            <w:vAlign w:val="bottom"/>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7,084</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5,513</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1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three months ended September 30, 2023 and 2022</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40" w:right="279" w:firstLine="324"/>
        <w:spacing w:after="0" w:line="277" w:lineRule="auto"/>
        <w:rPr>
          <w:sz w:val="20"/>
          <w:szCs w:val="20"/>
          <w:color w:val="auto"/>
        </w:rPr>
      </w:pPr>
      <w:r>
        <w:rPr>
          <w:rFonts w:ascii="Arial" w:cs="Arial" w:eastAsia="Arial" w:hAnsi="Arial"/>
          <w:sz w:val="18"/>
          <w:szCs w:val="18"/>
          <w:color w:val="auto"/>
        </w:rPr>
        <w:t>We generated 79% and 92% of our revenue from products sold to distributors for the three months ended September 30, 2023 and 2022, respectively.</w:t>
      </w:r>
    </w:p>
    <w:p>
      <w:pPr>
        <w:spacing w:after="0" w:line="170" w:lineRule="exact"/>
        <w:rPr>
          <w:sz w:val="20"/>
          <w:szCs w:val="20"/>
          <w:color w:val="auto"/>
        </w:rPr>
      </w:pPr>
    </w:p>
    <w:p>
      <w:pPr>
        <w:ind w:left="40" w:right="219" w:firstLine="324"/>
        <w:spacing w:after="0" w:line="342" w:lineRule="auto"/>
        <w:rPr>
          <w:sz w:val="20"/>
          <w:szCs w:val="20"/>
          <w:color w:val="auto"/>
        </w:rPr>
      </w:pPr>
      <w:r>
        <w:rPr>
          <w:rFonts w:ascii="Arial" w:cs="Arial" w:eastAsia="Arial" w:hAnsi="Arial"/>
          <w:sz w:val="16"/>
          <w:szCs w:val="16"/>
          <w:color w:val="auto"/>
        </w:rPr>
        <w:t>In addition to selling our products to our distributors, we maintain a direct selling relationship, for strategic purposes, with several key customer accounts. We have organized our sales team and representatives into three primary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279"/>
        <w:spacing w:after="0" w:line="259" w:lineRule="auto"/>
        <w:rPr>
          <w:sz w:val="20"/>
          <w:szCs w:val="20"/>
          <w:color w:val="auto"/>
        </w:rPr>
      </w:pPr>
      <w:r>
        <w:rPr>
          <w:rFonts w:ascii="Arial" w:cs="Arial" w:eastAsia="Arial" w:hAnsi="Arial"/>
          <w:sz w:val="18"/>
          <w:szCs w:val="18"/>
          <w:color w:val="auto"/>
        </w:rPr>
        <w:t>regions: North America; Europe, Middle East and Africa (EMEA); and Asia-Pacific (APAC). We recognize revenue by geography based on the region in which our customer is located and to which our products are sold, and not to where the end products in which they are assembled are shipped. Our revenue by region and by type of revenue for the periods indicated were as follows (in thousands):</w:t>
      </w:r>
    </w:p>
    <w:p>
      <w:pPr>
        <w:spacing w:after="0" w:line="25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6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4"/>
                <w:szCs w:val="14"/>
                <w:b w:val="1"/>
                <w:bCs w:val="1"/>
                <w:color w:val="auto"/>
                <w:w w:val="94"/>
              </w:rPr>
              <w:t>Three Months Ended September 30,</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10,030</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North America</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09"/>
        </w:trPr>
        <w:tc>
          <w:tcPr>
            <w:tcW w:w="302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16,466</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15,241</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24"/>
                <w:szCs w:val="24"/>
                <w:color w:val="auto"/>
              </w:rPr>
            </w:pPr>
          </w:p>
        </w:tc>
        <w:tc>
          <w:tcPr>
            <w:tcW w:w="110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(Dollars in</w:t>
            </w:r>
          </w:p>
        </w:tc>
        <w:tc>
          <w:tcPr>
            <w:tcW w:w="140" w:type="dxa"/>
            <w:vAlign w:val="bottom"/>
          </w:tcPr>
          <w:p>
            <w:pPr>
              <w:spacing w:after="0"/>
              <w:rPr>
                <w:sz w:val="11"/>
                <w:szCs w:val="11"/>
                <w:color w:val="auto"/>
              </w:rPr>
            </w:pP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2"/>
        </w:trPr>
        <w:tc>
          <w:tcPr>
            <w:tcW w:w="3020" w:type="dxa"/>
            <w:vAlign w:val="bottom"/>
          </w:tcPr>
          <w:p>
            <w:pPr>
              <w:spacing w:after="0" w:line="201" w:lineRule="exact"/>
              <w:rPr>
                <w:sz w:val="20"/>
                <w:szCs w:val="20"/>
                <w:color w:val="auto"/>
              </w:rPr>
            </w:pPr>
            <w:r>
              <w:rPr>
                <w:rFonts w:ascii="Arial" w:cs="Arial" w:eastAsia="Arial" w:hAnsi="Arial"/>
                <w:sz w:val="18"/>
                <w:szCs w:val="18"/>
                <w:color w:val="auto"/>
              </w:rPr>
              <w:t>Licensing, royalty, patent, and other</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2,253</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336.3 %</w:t>
            </w:r>
          </w:p>
        </w:tc>
        <w:tc>
          <w:tcPr>
            <w:tcW w:w="0" w:type="dxa"/>
            <w:vAlign w:val="bottom"/>
          </w:tcPr>
          <w:p>
            <w:pPr>
              <w:spacing w:after="0"/>
              <w:rPr>
                <w:sz w:val="1"/>
                <w:szCs w:val="1"/>
                <w:color w:val="auto"/>
              </w:rPr>
            </w:pPr>
          </w:p>
        </w:tc>
      </w:tr>
      <w:tr>
        <w:trPr>
          <w:trHeight w:val="209"/>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15,241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1,225</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19" w:firstLine="324"/>
        <w:spacing w:after="0" w:line="255" w:lineRule="auto"/>
        <w:rPr>
          <w:sz w:val="20"/>
          <w:szCs w:val="20"/>
          <w:color w:val="auto"/>
        </w:rPr>
      </w:pPr>
      <w:r>
        <w:rPr>
          <w:rFonts w:ascii="Arial" w:cs="Arial" w:eastAsia="Arial" w:hAnsi="Arial"/>
          <w:sz w:val="18"/>
          <w:szCs w:val="18"/>
          <w:color w:val="auto"/>
        </w:rPr>
        <w:t>Total revenue increased by $1.2 million, or 8.0%, from $15.2 million during the three months ended September 30, 2022 to $16.5 million during the three months ended September 30, 2023. The increase was primarily due to an increase in licensing revenue generated from our RAD-Hard projects of $1.8 million, along with an increase of $0.6 million of other revenue related to a contractual arrangement with a customer for the development of reliability models for strategic radiation hardened toggle MRAM, offset in part by a decrease of $1.0 million in product sales and a $0.1 million decrease in other revenue related to foundry services.</w:t>
      </w:r>
    </w:p>
    <w:p>
      <w:pPr>
        <w:spacing w:after="0" w:line="192" w:lineRule="exact"/>
        <w:rPr>
          <w:sz w:val="20"/>
          <w:szCs w:val="20"/>
          <w:color w:val="auto"/>
        </w:rPr>
      </w:pPr>
    </w:p>
    <w:p>
      <w:pPr>
        <w:ind w:left="40" w:right="59" w:firstLine="324"/>
        <w:spacing w:after="0" w:line="270" w:lineRule="auto"/>
        <w:rPr>
          <w:sz w:val="20"/>
          <w:szCs w:val="20"/>
          <w:color w:val="auto"/>
        </w:rPr>
      </w:pPr>
      <w:r>
        <w:rPr>
          <w:rFonts w:ascii="Arial" w:cs="Arial" w:eastAsia="Arial" w:hAnsi="Arial"/>
          <w:sz w:val="17"/>
          <w:szCs w:val="17"/>
          <w:color w:val="auto"/>
        </w:rPr>
        <w:t>Licensing, royalty, patent, and other revenue is a highly variable revenue item characterized by a small number of transactions annually with revenue based on size and terms of each transaction. Our best estimate of royalty revenue earned is made throughout the year, with an annual adjustment recognized for actual sales in the first quarter of each fiscal year. Licensing, royalty, patent, and other revenue increased by $2.3 million, from $0.7 million during the three months ended September 30, 2022, to $2.9 million during the three months ended September 30, 2023. The increase was driven by an increase of $1.8 million in licensing revenue, along with an increase of $0.6 million of other revenue related to a contractual arrangement with a customer for the development of reliability models for strategic radiation hardened toggle MRAM for the three months ended September 30, 2023, compared to the three months ended September 30, 2022, offset in part by a decrease of $0.1 million of other revenue related to foundry services.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72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ind w:left="4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8"/>
          </w:tcPr>
          <w:p>
            <w:pPr>
              <w:jc w:val="right"/>
              <w:ind w:right="48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5,920</w:t>
            </w:r>
          </w:p>
        </w:tc>
        <w:tc>
          <w:tcPr>
            <w:tcW w:w="18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$ 6,122</w:t>
            </w:r>
          </w:p>
        </w:tc>
        <w:tc>
          <w:tcPr>
            <w:tcW w:w="200" w:type="dxa"/>
            <w:vAlign w:val="bottom"/>
            <w:shd w:val="clear" w:color="auto" w:fill="CCEEFF"/>
          </w:tcPr>
          <w:p>
            <w:pPr>
              <w:spacing w:after="0"/>
              <w:rPr>
                <w:sz w:val="24"/>
                <w:szCs w:val="24"/>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(202)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3700" w:type="dxa"/>
            <w:vAlign w:val="bottom"/>
          </w:tcPr>
          <w:p>
            <w:pPr>
              <w:spacing w:after="0" w:line="201" w:lineRule="exact"/>
              <w:rPr>
                <w:sz w:val="20"/>
                <w:szCs w:val="20"/>
                <w:color w:val="auto"/>
              </w:rPr>
            </w:pPr>
            <w:r>
              <w:rPr>
                <w:rFonts w:ascii="Arial" w:cs="Arial" w:eastAsia="Arial" w:hAnsi="Arial"/>
                <w:sz w:val="18"/>
                <w:szCs w:val="18"/>
                <w:color w:val="auto"/>
              </w:rPr>
              <w:t>Cost of licensing, royalty, patent, and other</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627</w:t>
            </w:r>
          </w:p>
        </w:tc>
        <w:tc>
          <w:tcPr>
            <w:tcW w:w="18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472</w:t>
            </w:r>
          </w:p>
        </w:tc>
        <w:tc>
          <w:tcPr>
            <w:tcW w:w="3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304.5 %</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6,547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$ 6,277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60.2</w:t>
            </w:r>
          </w:p>
        </w:tc>
        <w:tc>
          <w:tcPr>
            <w:tcW w:w="18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58.8</w:t>
            </w:r>
          </w:p>
        </w:tc>
        <w:tc>
          <w:tcPr>
            <w:tcW w:w="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59" w:firstLine="324"/>
        <w:spacing w:after="0" w:line="263" w:lineRule="auto"/>
        <w:rPr>
          <w:sz w:val="20"/>
          <w:szCs w:val="20"/>
          <w:color w:val="auto"/>
        </w:rPr>
      </w:pPr>
      <w:r>
        <w:rPr>
          <w:rFonts w:ascii="Arial" w:cs="Arial" w:eastAsia="Arial" w:hAnsi="Arial"/>
          <w:sz w:val="18"/>
          <w:szCs w:val="18"/>
          <w:color w:val="auto"/>
        </w:rPr>
        <w:t>Cost of product sales decreased by $0.2 million, or 3.3%, from $6.1 million during the three months ended September 30, 2022, to $5.9 million during the three months ended September 30, 2023. The decrease was primarily due to a reduction in product sales compared to the three months ended September 30, 2022.</w:t>
      </w:r>
    </w:p>
    <w:p>
      <w:pPr>
        <w:spacing w:after="0" w:line="184" w:lineRule="exact"/>
        <w:rPr>
          <w:sz w:val="20"/>
          <w:szCs w:val="20"/>
          <w:color w:val="auto"/>
        </w:rPr>
      </w:pPr>
    </w:p>
    <w:p>
      <w:pPr>
        <w:ind w:left="40" w:right="279" w:firstLine="324"/>
        <w:spacing w:after="0" w:line="259" w:lineRule="auto"/>
        <w:rPr>
          <w:sz w:val="20"/>
          <w:szCs w:val="20"/>
          <w:color w:val="auto"/>
        </w:rPr>
      </w:pPr>
      <w:r>
        <w:rPr>
          <w:rFonts w:ascii="Arial" w:cs="Arial" w:eastAsia="Arial" w:hAnsi="Arial"/>
          <w:sz w:val="18"/>
          <w:szCs w:val="18"/>
          <w:color w:val="auto"/>
        </w:rPr>
        <w:t>Cost of licensing, royalty, patent, and other revenue increased by $0.5 million, from $0.2 million during the three months ended September 30, 2022, to $0.6 million during the three months ended September 30, 2023. The increase was due to an increase in licensing costs related to labor and materials associated with the progression of our RAD-Hard projects.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239" w:firstLine="324"/>
        <w:spacing w:after="0" w:line="311" w:lineRule="auto"/>
        <w:rPr>
          <w:sz w:val="20"/>
          <w:szCs w:val="20"/>
          <w:color w:val="auto"/>
        </w:rPr>
      </w:pPr>
      <w:r>
        <w:rPr>
          <w:rFonts w:ascii="Arial" w:cs="Arial" w:eastAsia="Arial" w:hAnsi="Arial"/>
          <w:sz w:val="16"/>
          <w:szCs w:val="16"/>
          <w:color w:val="auto"/>
        </w:rPr>
        <w:t>Gross margin increased from 58.8% during the three months ended September 30, 2022, to 60.2% during the three months ended September 30, 2023. Gross margin increased by offsetting increased pricing from suppliers with increased yields on our toggle products and increased licensing revenue to offset the decrease in product sales.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40" w:right="239" w:firstLine="324"/>
        <w:spacing w:after="0" w:line="263"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components of each of our operating expense categories.</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76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720" w:type="dxa"/>
            <w:vAlign w:val="bottom"/>
            <w:gridSpan w:val="3"/>
          </w:tcPr>
          <w:p>
            <w:pPr>
              <w:ind w:left="18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82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2023</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2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w w:val="96"/>
              </w:rPr>
              <w:t>$ 2,659</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$ 2,879</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(220)</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Research and development as a % of revenue</w:t>
            </w:r>
          </w:p>
        </w:tc>
        <w:tc>
          <w:tcPr>
            <w:tcW w:w="820" w:type="dxa"/>
            <w:vAlign w:val="bottom"/>
          </w:tcPr>
          <w:p>
            <w:pPr>
              <w:jc w:val="right"/>
              <w:spacing w:after="0"/>
              <w:rPr>
                <w:sz w:val="20"/>
                <w:szCs w:val="20"/>
                <w:color w:val="auto"/>
              </w:rPr>
            </w:pPr>
            <w:r>
              <w:rPr>
                <w:rFonts w:ascii="Arial" w:cs="Arial" w:eastAsia="Arial" w:hAnsi="Arial"/>
                <w:sz w:val="18"/>
                <w:szCs w:val="18"/>
                <w:color w:val="auto"/>
              </w:rPr>
              <w:t>16 %</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19 %</w:t>
            </w: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79" w:firstLine="324"/>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decreased by $0.2 million, or 7.6%, from</w:t>
      </w:r>
      <w:r>
        <w:rPr>
          <w:rFonts w:ascii="Arial" w:cs="Arial" w:eastAsia="Arial" w:hAnsi="Arial"/>
          <w:sz w:val="18"/>
          <w:szCs w:val="18"/>
          <w:i w:val="1"/>
          <w:iCs w:val="1"/>
          <w:color w:val="auto"/>
        </w:rPr>
        <w:t xml:space="preserve"> </w:t>
      </w:r>
      <w:r>
        <w:rPr>
          <w:rFonts w:ascii="Arial" w:cs="Arial" w:eastAsia="Arial" w:hAnsi="Arial"/>
          <w:sz w:val="18"/>
          <w:szCs w:val="18"/>
          <w:color w:val="auto"/>
        </w:rPr>
        <w:t>$2.9 million during the three months ended September 30, 2022, to $2.7 million during the three months ended September 30, 2023. The primary driver of research and development expenses relates to our new xSPI family of STT-MRAM products.</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3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740" w:type="dxa"/>
            <w:vAlign w:val="bottom"/>
            <w:gridSpan w:val="3"/>
          </w:tcPr>
          <w:p>
            <w:pPr>
              <w:ind w:left="18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86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4"/>
              </w:rPr>
              <w:t>Amount</w:t>
            </w: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2420" w:type="dxa"/>
            <w:vAlign w:val="bottom"/>
            <w:gridSpan w:val="5"/>
          </w:tcPr>
          <w:p>
            <w:pPr>
              <w:ind w:left="7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w w:val="96"/>
              </w:rPr>
              <w:t>$ 3,933</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$ 2,971</w:t>
            </w:r>
          </w:p>
        </w:tc>
        <w:tc>
          <w:tcPr>
            <w:tcW w:w="6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  962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32.4 %</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General and administrative as a % of revenue</w:t>
            </w:r>
          </w:p>
        </w:tc>
        <w:tc>
          <w:tcPr>
            <w:tcW w:w="860" w:type="dxa"/>
            <w:vAlign w:val="bottom"/>
          </w:tcPr>
          <w:p>
            <w:pPr>
              <w:jc w:val="right"/>
              <w:spacing w:after="0"/>
              <w:rPr>
                <w:sz w:val="20"/>
                <w:szCs w:val="20"/>
                <w:color w:val="auto"/>
              </w:rPr>
            </w:pPr>
            <w:r>
              <w:rPr>
                <w:rFonts w:ascii="Arial" w:cs="Arial" w:eastAsia="Arial" w:hAnsi="Arial"/>
                <w:sz w:val="18"/>
                <w:szCs w:val="18"/>
                <w:color w:val="auto"/>
              </w:rPr>
              <w:t>24 %</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19 %</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40" w:right="139" w:firstLine="324"/>
        <w:spacing w:after="0" w:line="31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increased by $0.9 million, or 32.4%, from</w:t>
      </w:r>
      <w:r>
        <w:rPr>
          <w:rFonts w:ascii="Arial" w:cs="Arial" w:eastAsia="Arial" w:hAnsi="Arial"/>
          <w:sz w:val="16"/>
          <w:szCs w:val="16"/>
          <w:i w:val="1"/>
          <w:iCs w:val="1"/>
          <w:color w:val="auto"/>
        </w:rPr>
        <w:t xml:space="preserve"> </w:t>
      </w:r>
      <w:r>
        <w:rPr>
          <w:rFonts w:ascii="Arial" w:cs="Arial" w:eastAsia="Arial" w:hAnsi="Arial"/>
          <w:sz w:val="16"/>
          <w:szCs w:val="16"/>
          <w:color w:val="auto"/>
        </w:rPr>
        <w:t>$3.0 million during the three months ended September 30, 2022, to $3.9 million during the three months ended September 30, 2023. The increase is primarily due to increases related to professional service and depreciation costs.</w:t>
      </w:r>
    </w:p>
    <w:p>
      <w:pPr>
        <w:spacing w:after="0" w:line="14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3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740" w:type="dxa"/>
            <w:vAlign w:val="bottom"/>
            <w:gridSpan w:val="3"/>
          </w:tcPr>
          <w:p>
            <w:pPr>
              <w:ind w:left="18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86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4"/>
              </w:rPr>
              <w:t>Amount</w:t>
            </w: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2420" w:type="dxa"/>
            <w:vAlign w:val="bottom"/>
            <w:gridSpan w:val="5"/>
          </w:tcPr>
          <w:p>
            <w:pPr>
              <w:ind w:left="7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w w:val="96"/>
              </w:rPr>
              <w:t>$ 1,348</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$ 1,203</w:t>
            </w:r>
          </w:p>
        </w:tc>
        <w:tc>
          <w:tcPr>
            <w:tcW w:w="6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  145</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860" w:type="dxa"/>
            <w:vAlign w:val="bottom"/>
          </w:tcPr>
          <w:p>
            <w:pPr>
              <w:jc w:val="right"/>
              <w:spacing w:after="0"/>
              <w:rPr>
                <w:sz w:val="20"/>
                <w:szCs w:val="20"/>
                <w:color w:val="auto"/>
              </w:rPr>
            </w:pPr>
            <w:r>
              <w:rPr>
                <w:rFonts w:ascii="Arial" w:cs="Arial" w:eastAsia="Arial" w:hAnsi="Arial"/>
                <w:sz w:val="18"/>
                <w:szCs w:val="18"/>
                <w:color w:val="auto"/>
              </w:rPr>
              <w:t>8 %</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8 %</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219" w:firstLine="324"/>
        <w:spacing w:after="0" w:line="311"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increased by $0.1 million, or 12.1%, from $1.2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three months ended September 30, 2022, to $1.3 million during the three months ended September 30, 2023. The increase was primarily due to an increase in variable compensation costs and contract labor.</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46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4"/>
          </w:tcPr>
          <w:p>
            <w:pPr>
              <w:jc w:val="center"/>
              <w:ind w:right="79"/>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2"/>
                <w:szCs w:val="12"/>
                <w:color w:val="auto"/>
              </w:rPr>
            </w:pPr>
          </w:p>
        </w:tc>
        <w:tc>
          <w:tcPr>
            <w:tcW w:w="6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(Dollars in</w:t>
            </w:r>
          </w:p>
        </w:tc>
        <w:tc>
          <w:tcPr>
            <w:tcW w:w="160" w:type="dxa"/>
            <w:vAlign w:val="bottom"/>
          </w:tcPr>
          <w:p>
            <w:pPr>
              <w:spacing w:after="0"/>
              <w:rPr>
                <w:sz w:val="11"/>
                <w:szCs w:val="11"/>
                <w:color w:val="auto"/>
              </w:rPr>
            </w:pPr>
          </w:p>
        </w:tc>
        <w:tc>
          <w:tcPr>
            <w:tcW w:w="5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74"/>
              </w:rPr>
              <w:t>thousands)</w:t>
            </w: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(73)</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59" w:firstLine="324"/>
        <w:spacing w:after="0" w:line="301" w:lineRule="auto"/>
        <w:rPr>
          <w:sz w:val="20"/>
          <w:szCs w:val="20"/>
          <w:color w:val="auto"/>
        </w:rPr>
      </w:pPr>
      <w:r>
        <w:rPr>
          <w:rFonts w:ascii="Arial" w:cs="Arial" w:eastAsia="Arial" w:hAnsi="Arial"/>
          <w:sz w:val="16"/>
          <w:szCs w:val="16"/>
          <w:color w:val="auto"/>
        </w:rPr>
        <w:t>Interest expense decreased by $0.1 million, or 100.0%, from $0.1 million during the three months ended September 30, 2022, to $0 during the three months ended September 30, 2023. The decrease was due to no outstanding balance under the credit facility during the three months ended September 30, 2023 as we paid off the outstanding balance in full in March 2023, resulting in no interest incurred during the three months ended September 30, 2023.</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Income (Expense), Net</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44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400" w:type="dxa"/>
            <w:vAlign w:val="bottom"/>
            <w:gridSpan w:val="4"/>
          </w:tcPr>
          <w:p>
            <w:pPr>
              <w:jc w:val="right"/>
              <w:ind w:right="199"/>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(Dollars in</w:t>
            </w:r>
          </w:p>
        </w:tc>
        <w:tc>
          <w:tcPr>
            <w:tcW w:w="540" w:type="dxa"/>
            <w:vAlign w:val="bottom"/>
          </w:tcPr>
          <w:p>
            <w:pPr>
              <w:spacing w:after="0" w:line="129" w:lineRule="exact"/>
              <w:rPr>
                <w:sz w:val="20"/>
                <w:szCs w:val="20"/>
                <w:color w:val="auto"/>
              </w:rPr>
            </w:pPr>
            <w:r>
              <w:rPr>
                <w:rFonts w:ascii="Arial" w:cs="Arial" w:eastAsia="Arial" w:hAnsi="Arial"/>
                <w:sz w:val="13"/>
                <w:szCs w:val="13"/>
                <w:b w:val="1"/>
                <w:bCs w:val="1"/>
                <w:color w:val="auto"/>
                <w:w w:val="74"/>
              </w:rPr>
              <w:t>thousands)</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390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565.2 %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39" w:firstLine="324"/>
        <w:spacing w:after="0" w:line="263" w:lineRule="auto"/>
        <w:rPr>
          <w:sz w:val="20"/>
          <w:szCs w:val="20"/>
          <w:color w:val="auto"/>
        </w:rPr>
      </w:pPr>
      <w:r>
        <w:rPr>
          <w:rFonts w:ascii="Arial" w:cs="Arial" w:eastAsia="Arial" w:hAnsi="Arial"/>
          <w:sz w:val="18"/>
          <w:szCs w:val="18"/>
          <w:color w:val="auto"/>
        </w:rPr>
        <w:t>Other income (expense), net increased by $0.4 million in income for the three months ended September 30, 2023. The change was primarily due to an increase in interest income earned on the money market cash account as a result of the increased cash balances and increasing interest rates.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40" w:right="59" w:firstLine="324"/>
        <w:spacing w:after="0" w:line="277" w:lineRule="auto"/>
        <w:rPr>
          <w:sz w:val="20"/>
          <w:szCs w:val="20"/>
          <w:color w:val="auto"/>
        </w:rPr>
      </w:pPr>
      <w:r>
        <w:rPr>
          <w:rFonts w:ascii="Arial" w:cs="Arial" w:eastAsia="Arial" w:hAnsi="Arial"/>
          <w:sz w:val="18"/>
          <w:szCs w:val="18"/>
          <w:color w:val="auto"/>
        </w:rPr>
        <w:t>We generated 81% and 85% of our revenue from products sold to distributors for the nine months ended September 30, 2023 and 2022, respectively.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Our revenue by region and by type of revenue for the periods indicated were as follows (in thousands).</w:t>
      </w:r>
    </w:p>
    <w:p>
      <w:pPr>
        <w:spacing w:after="0" w:line="298"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280" w:type="dxa"/>
            <w:vAlign w:val="bottom"/>
            <w:tcBorders>
              <w:bottom w:val="single" w:sz="8" w:color="auto"/>
            </w:tcBorders>
            <w:gridSpan w:val="6"/>
          </w:tcPr>
          <w:p>
            <w:pPr>
              <w:jc w:val="right"/>
              <w:ind w:right="14"/>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96"/>
        </w:trPr>
        <w:tc>
          <w:tcPr>
            <w:tcW w:w="49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r>
      <w:tr>
        <w:trPr>
          <w:trHeight w:val="209"/>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27,634</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North America</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10,798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9,865</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6,796</w:t>
            </w:r>
          </w:p>
        </w:tc>
      </w:tr>
      <w:tr>
        <w:trPr>
          <w:trHeight w:val="209"/>
        </w:trPr>
        <w:tc>
          <w:tcPr>
            <w:tcW w:w="494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44,295</w:t>
            </w:r>
          </w:p>
        </w:tc>
      </w:tr>
      <w:tr>
        <w:trPr>
          <w:trHeight w:val="20"/>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14"/>
                <w:szCs w:val="14"/>
                <w:color w:val="auto"/>
              </w:rPr>
            </w:pPr>
          </w:p>
        </w:tc>
        <w:tc>
          <w:tcPr>
            <w:tcW w:w="112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(Dollars in</w:t>
            </w:r>
          </w:p>
        </w:tc>
        <w:tc>
          <w:tcPr>
            <w:tcW w:w="140" w:type="dxa"/>
            <w:vAlign w:val="bottom"/>
          </w:tcPr>
          <w:p>
            <w:pPr>
              <w:spacing w:after="0"/>
              <w:rPr>
                <w:sz w:val="11"/>
                <w:szCs w:val="11"/>
                <w:color w:val="auto"/>
              </w:rPr>
            </w:pPr>
          </w:p>
        </w:tc>
        <w:tc>
          <w:tcPr>
            <w:tcW w:w="9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02"/>
        </w:trPr>
        <w:tc>
          <w:tcPr>
            <w:tcW w:w="3020" w:type="dxa"/>
            <w:vAlign w:val="bottom"/>
          </w:tcPr>
          <w:p>
            <w:pPr>
              <w:spacing w:after="0" w:line="201" w:lineRule="exact"/>
              <w:rPr>
                <w:sz w:val="20"/>
                <w:szCs w:val="20"/>
                <w:color w:val="auto"/>
              </w:rPr>
            </w:pPr>
            <w:r>
              <w:rPr>
                <w:rFonts w:ascii="Arial" w:cs="Arial" w:eastAsia="Arial" w:hAnsi="Arial"/>
                <w:sz w:val="18"/>
                <w:szCs w:val="18"/>
                <w:color w:val="auto"/>
              </w:rPr>
              <w:t>Licensing, royalty, patent, and other</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65.4 %</w:t>
            </w:r>
          </w:p>
        </w:tc>
        <w:tc>
          <w:tcPr>
            <w:tcW w:w="0" w:type="dxa"/>
            <w:vAlign w:val="bottom"/>
          </w:tcPr>
          <w:p>
            <w:pPr>
              <w:spacing w:after="0"/>
              <w:rPr>
                <w:sz w:val="1"/>
                <w:szCs w:val="1"/>
                <w:color w:val="auto"/>
              </w:rPr>
            </w:pPr>
          </w:p>
        </w:tc>
      </w:tr>
      <w:tr>
        <w:trPr>
          <w:trHeight w:val="209"/>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47,059</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79" w:firstLine="324"/>
        <w:spacing w:after="0" w:line="301" w:lineRule="auto"/>
        <w:rPr>
          <w:sz w:val="20"/>
          <w:szCs w:val="20"/>
          <w:color w:val="auto"/>
        </w:rPr>
      </w:pPr>
      <w:r>
        <w:rPr>
          <w:rFonts w:ascii="Arial" w:cs="Arial" w:eastAsia="Arial" w:hAnsi="Arial"/>
          <w:sz w:val="16"/>
          <w:szCs w:val="16"/>
          <w:color w:val="auto"/>
        </w:rPr>
        <w:t>Total revenue increased by $2.8 million, or 6.2%, from $44.3 million during the nine months ended September 30, 2022 to $47.1 million during the nine months ended September 30, 2023. The increase was primarily due to an increase of licensing revenue associated with our RAD-Hard projects of $3.3 million from $1.4 million to $4.7 million, and an increase in product sales of $0.3 million, offset by a decline of $1.0 million in revenue related to foundry services.</w:t>
      </w:r>
    </w:p>
    <w:p>
      <w:pPr>
        <w:spacing w:after="0" w:line="157" w:lineRule="exact"/>
        <w:rPr>
          <w:sz w:val="20"/>
          <w:szCs w:val="20"/>
          <w:color w:val="auto"/>
        </w:rPr>
      </w:pPr>
    </w:p>
    <w:p>
      <w:pPr>
        <w:ind w:left="40" w:right="59" w:firstLine="324"/>
        <w:spacing w:after="0" w:line="259" w:lineRule="auto"/>
        <w:rPr>
          <w:sz w:val="20"/>
          <w:szCs w:val="20"/>
          <w:color w:val="auto"/>
        </w:rPr>
      </w:pPr>
      <w:r>
        <w:rPr>
          <w:rFonts w:ascii="Arial" w:cs="Arial" w:eastAsia="Arial" w:hAnsi="Arial"/>
          <w:sz w:val="18"/>
          <w:szCs w:val="18"/>
          <w:color w:val="auto"/>
        </w:rPr>
        <w:t>Licensing, royalty, patent, and other revenue increased by $2.5 million, or 65.4%, from $3.8 million during the nine months ended September 30, 2022 to $6.3 million during the nine months ended September 30, 2023. The increase was primarily driven by an increase of $3.3 million in licensing, offset by a decline of $1.0 million in revenue related to foundry services.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920" w:type="dxa"/>
            <w:vAlign w:val="bottom"/>
            <w:gridSpan w:val="5"/>
          </w:tcPr>
          <w:p>
            <w:pPr>
              <w:jc w:val="center"/>
              <w:ind w:right="15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72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89"/>
              </w:rPr>
              <w:t>Change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920" w:type="dxa"/>
            <w:vAlign w:val="bottom"/>
            <w:gridSpan w:val="5"/>
          </w:tcPr>
          <w:p>
            <w:pPr>
              <w:jc w:val="center"/>
              <w:ind w:right="19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7"/>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$ 18,133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$ 17,667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2"/>
        </w:trPr>
        <w:tc>
          <w:tcPr>
            <w:tcW w:w="3800" w:type="dxa"/>
            <w:vAlign w:val="bottom"/>
          </w:tcPr>
          <w:p>
            <w:pPr>
              <w:spacing w:after="0" w:line="201" w:lineRule="exact"/>
              <w:rPr>
                <w:sz w:val="20"/>
                <w:szCs w:val="20"/>
                <w:color w:val="auto"/>
              </w:rPr>
            </w:pPr>
            <w:r>
              <w:rPr>
                <w:rFonts w:ascii="Arial" w:cs="Arial" w:eastAsia="Arial" w:hAnsi="Arial"/>
                <w:sz w:val="18"/>
                <w:szCs w:val="18"/>
                <w:color w:val="auto"/>
              </w:rPr>
              <w:t>Cost of licensing, royalty, patent, and other</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revenue</w:t>
            </w:r>
          </w:p>
        </w:tc>
        <w:tc>
          <w:tcPr>
            <w:tcW w:w="720" w:type="dxa"/>
            <w:vAlign w:val="bottom"/>
          </w:tcPr>
          <w:p>
            <w:pPr>
              <w:jc w:val="right"/>
              <w:spacing w:after="0"/>
              <w:rPr>
                <w:sz w:val="20"/>
                <w:szCs w:val="20"/>
                <w:color w:val="auto"/>
              </w:rPr>
            </w:pPr>
            <w:r>
              <w:rPr>
                <w:rFonts w:ascii="Arial" w:cs="Arial" w:eastAsia="Arial" w:hAnsi="Arial"/>
                <w:sz w:val="18"/>
                <w:szCs w:val="18"/>
                <w:color w:val="auto"/>
              </w:rPr>
              <w:t>1,384</w:t>
            </w:r>
          </w:p>
        </w:tc>
        <w:tc>
          <w:tcPr>
            <w:tcW w:w="1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84.5 %</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$ 19,517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$ 18,417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7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0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58.5</w:t>
            </w:r>
          </w:p>
        </w:tc>
        <w:tc>
          <w:tcPr>
            <w:tcW w:w="1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58.4</w:t>
            </w:r>
          </w:p>
        </w:tc>
        <w:tc>
          <w:tcPr>
            <w:tcW w:w="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159" w:firstLine="324"/>
        <w:spacing w:after="0" w:line="311" w:lineRule="auto"/>
        <w:rPr>
          <w:sz w:val="20"/>
          <w:szCs w:val="20"/>
          <w:color w:val="auto"/>
        </w:rPr>
      </w:pPr>
      <w:r>
        <w:rPr>
          <w:rFonts w:ascii="Arial" w:cs="Arial" w:eastAsia="Arial" w:hAnsi="Arial"/>
          <w:sz w:val="16"/>
          <w:szCs w:val="16"/>
          <w:color w:val="auto"/>
        </w:rPr>
        <w:t>Cost of product sales increased by $0.5 million, or 2.6%, from $17.7 million during the nine months ended September 30, 2022, to $18.1 million during the nine months ended September 30, 2023. The increase was due to an increase in product sales and price increases from suppliers, partially offset by increased yields on toggle products.</w:t>
      </w:r>
    </w:p>
    <w:p>
      <w:pPr>
        <w:spacing w:after="0" w:line="149" w:lineRule="exact"/>
        <w:rPr>
          <w:sz w:val="20"/>
          <w:szCs w:val="20"/>
          <w:color w:val="auto"/>
        </w:rPr>
      </w:pPr>
    </w:p>
    <w:p>
      <w:pPr>
        <w:jc w:val="both"/>
        <w:ind w:left="40" w:right="219" w:firstLine="324"/>
        <w:spacing w:after="0" w:line="259" w:lineRule="auto"/>
        <w:rPr>
          <w:sz w:val="20"/>
          <w:szCs w:val="20"/>
          <w:color w:val="auto"/>
        </w:rPr>
      </w:pPr>
      <w:r>
        <w:rPr>
          <w:rFonts w:ascii="Arial" w:cs="Arial" w:eastAsia="Arial" w:hAnsi="Arial"/>
          <w:sz w:val="18"/>
          <w:szCs w:val="18"/>
          <w:color w:val="auto"/>
        </w:rPr>
        <w:t>Cost of licensing, royalty, patent, and other revenue increased by $0.6 million, or 84.5% from $0.8 million during the nine months ended September 30, 2022, to $1.4 million during the nine months ended September 30, 2023. The increase was due to an increase in licensing costs related to labor and materials associated with the progression of our RAD-Hard projects.</w:t>
      </w:r>
    </w:p>
    <w:p>
      <w:pPr>
        <w:spacing w:after="0" w:line="187" w:lineRule="exact"/>
        <w:rPr>
          <w:sz w:val="20"/>
          <w:szCs w:val="20"/>
          <w:color w:val="auto"/>
        </w:rPr>
      </w:pPr>
    </w:p>
    <w:p>
      <w:pPr>
        <w:ind w:left="40" w:right="279" w:firstLine="324"/>
        <w:spacing w:after="0" w:line="263" w:lineRule="auto"/>
        <w:rPr>
          <w:sz w:val="20"/>
          <w:szCs w:val="20"/>
          <w:color w:val="auto"/>
        </w:rPr>
      </w:pPr>
      <w:r>
        <w:rPr>
          <w:rFonts w:ascii="Arial" w:cs="Arial" w:eastAsia="Arial" w:hAnsi="Arial"/>
          <w:sz w:val="18"/>
          <w:szCs w:val="18"/>
          <w:color w:val="auto"/>
        </w:rPr>
        <w:t>Gross margin increased from 58.4% during the nine months ended September 30, 2022, to 58.5% during the nine months ended September 30, 2023. Gross margin increased by offsetting increased pricing from suppliers with increased yields on our toggle products and increased licensing revenue.</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40" w:right="239" w:firstLine="324"/>
        <w:spacing w:after="0" w:line="263"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components of each of our operating expense categories.</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1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2023</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w w:val="98"/>
              </w:rPr>
              <w:t>Amount</w:t>
            </w:r>
          </w:p>
        </w:tc>
        <w:tc>
          <w:tcPr>
            <w:tcW w:w="3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80" w:type="dxa"/>
            <w:vAlign w:val="bottom"/>
            <w:gridSpan w:val="4"/>
          </w:tcPr>
          <w:p>
            <w:pPr>
              <w:jc w:val="right"/>
              <w:ind w:right="342"/>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$ 8,566</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6"/>
              </w:rPr>
              <w:t>$ 8,014</w:t>
            </w: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w w:val="99"/>
              </w:rPr>
              <w:t>$  552</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6.9 %</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w w:val="99"/>
              </w:rPr>
              <w:t>Research and development as a % of revenue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18 %</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59" w:firstLine="324"/>
        <w:spacing w:after="0" w:line="311"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increased by $0.6 million, or 6.9%, from</w:t>
      </w:r>
      <w:r>
        <w:rPr>
          <w:rFonts w:ascii="Arial" w:cs="Arial" w:eastAsia="Arial" w:hAnsi="Arial"/>
          <w:sz w:val="16"/>
          <w:szCs w:val="16"/>
          <w:i w:val="1"/>
          <w:iCs w:val="1"/>
          <w:color w:val="auto"/>
        </w:rPr>
        <w:t xml:space="preserve"> </w:t>
      </w:r>
      <w:r>
        <w:rPr>
          <w:rFonts w:ascii="Arial" w:cs="Arial" w:eastAsia="Arial" w:hAnsi="Arial"/>
          <w:sz w:val="16"/>
          <w:szCs w:val="16"/>
          <w:color w:val="auto"/>
        </w:rPr>
        <w:t>$8.0 million during the nine months ended September 30, 2022, to $8.6 million during the nine months ended September 30, 2023. The increase is primarily due to development expenses related to our new xSPI family of STT-MRAM products.</w:t>
      </w:r>
    </w:p>
    <w:p>
      <w:pPr>
        <w:spacing w:after="0" w:line="14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7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84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3"/>
              </w:rPr>
              <w:t>Change</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7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2023</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ind w:right="188"/>
              <w:spacing w:after="0" w:line="142"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2660" w:type="dxa"/>
            <w:vAlign w:val="bottom"/>
            <w:gridSpan w:val="5"/>
          </w:tcPr>
          <w:p>
            <w:pPr>
              <w:ind w:left="8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w w:val="91"/>
              </w:rPr>
              <w:t>$ 10,660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$ 8,560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w w:val="96"/>
              </w:rPr>
              <w:t>$ 2,100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General and administrative as a % of revenue</w:t>
            </w:r>
          </w:p>
        </w:tc>
        <w:tc>
          <w:tcPr>
            <w:tcW w:w="920" w:type="dxa"/>
            <w:vAlign w:val="bottom"/>
          </w:tcPr>
          <w:p>
            <w:pPr>
              <w:jc w:val="right"/>
              <w:spacing w:after="0"/>
              <w:rPr>
                <w:sz w:val="20"/>
                <w:szCs w:val="20"/>
                <w:color w:val="auto"/>
              </w:rPr>
            </w:pPr>
            <w:r>
              <w:rPr>
                <w:rFonts w:ascii="Arial" w:cs="Arial" w:eastAsia="Arial" w:hAnsi="Arial"/>
                <w:sz w:val="18"/>
                <w:szCs w:val="18"/>
                <w:color w:val="auto"/>
              </w:rPr>
              <w:t>23 %</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19 %</w:t>
            </w: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40" w:right="139" w:firstLine="324"/>
        <w:spacing w:after="0" w:line="31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increased by $2.1 million, or 24.5%, from</w:t>
      </w:r>
      <w:r>
        <w:rPr>
          <w:rFonts w:ascii="Arial" w:cs="Arial" w:eastAsia="Arial" w:hAnsi="Arial"/>
          <w:sz w:val="16"/>
          <w:szCs w:val="16"/>
          <w:i w:val="1"/>
          <w:iCs w:val="1"/>
          <w:color w:val="auto"/>
        </w:rPr>
        <w:t xml:space="preserve"> </w:t>
      </w:r>
      <w:r>
        <w:rPr>
          <w:rFonts w:ascii="Arial" w:cs="Arial" w:eastAsia="Arial" w:hAnsi="Arial"/>
          <w:sz w:val="16"/>
          <w:szCs w:val="16"/>
          <w:color w:val="auto"/>
        </w:rPr>
        <w:t>$8.6 million during the nine months ended September 30, 2022, to $10.7 million during the nine months ended September 30, 2023. The increase is primarily due to increases related to profit sharing, professional service costs, and depreciation.</w:t>
      </w:r>
    </w:p>
    <w:p>
      <w:pPr>
        <w:spacing w:after="0" w:line="14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6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1"/>
              </w:rPr>
              <w:t>Nine Months Ended</w:t>
            </w:r>
          </w:p>
        </w:tc>
        <w:tc>
          <w:tcPr>
            <w:tcW w:w="60" w:type="dxa"/>
            <w:vAlign w:val="bottom"/>
          </w:tcPr>
          <w:p>
            <w:pPr>
              <w:spacing w:after="0"/>
              <w:rPr>
                <w:sz w:val="14"/>
                <w:szCs w:val="14"/>
                <w:color w:val="auto"/>
              </w:rPr>
            </w:pPr>
          </w:p>
        </w:tc>
        <w:tc>
          <w:tcPr>
            <w:tcW w:w="132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6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2023</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4"/>
              </w:rPr>
              <w:t>Amount</w:t>
            </w: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380" w:type="dxa"/>
            <w:vAlign w:val="bottom"/>
            <w:gridSpan w:val="5"/>
          </w:tcPr>
          <w:p>
            <w:pPr>
              <w:jc w:val="right"/>
              <w:ind w:right="188"/>
              <w:spacing w:after="0" w:line="142"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2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w w:val="89"/>
              </w:rPr>
              <w:t>$ 4,018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$ 3,629</w:t>
            </w: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  389</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820" w:type="dxa"/>
            <w:vAlign w:val="bottom"/>
          </w:tcPr>
          <w:p>
            <w:pPr>
              <w:jc w:val="right"/>
              <w:spacing w:after="0"/>
              <w:rPr>
                <w:sz w:val="20"/>
                <w:szCs w:val="20"/>
                <w:color w:val="auto"/>
              </w:rPr>
            </w:pPr>
            <w:r>
              <w:rPr>
                <w:rFonts w:ascii="Arial" w:cs="Arial" w:eastAsia="Arial" w:hAnsi="Arial"/>
                <w:sz w:val="18"/>
                <w:szCs w:val="18"/>
                <w:color w:val="auto"/>
              </w:rPr>
              <w:t>9 %</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40" w:right="159" w:firstLine="324"/>
        <w:spacing w:after="0" w:line="286"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increased by $0.4 million, or 10.7%, from $3.6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nine months ended September 30, 2022, to $4.0 million during the nine months ended September 30, 2023. The increase was primarily due to increases in variable compensation costs and contract labor.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Nine Months Ended</w:t>
            </w:r>
          </w:p>
        </w:tc>
        <w:tc>
          <w:tcPr>
            <w:tcW w:w="92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w w:val="97"/>
              </w:rPr>
              <w:t>Change</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2023</w:t>
            </w:r>
          </w:p>
        </w:tc>
        <w:tc>
          <w:tcPr>
            <w:tcW w:w="740" w:type="dxa"/>
            <w:vAlign w:val="bottom"/>
            <w:tcBorders>
              <w:top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920" w:type="dxa"/>
            <w:vAlign w:val="bottom"/>
            <w:tcBorders>
              <w:top w:val="single" w:sz="8" w:color="auto"/>
            </w:tcBorders>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w w:val="90"/>
              </w:rPr>
              <w:t>Amount</w:t>
            </w:r>
          </w:p>
        </w:tc>
        <w:tc>
          <w:tcPr>
            <w:tcW w:w="36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w w:val="82"/>
              </w:rPr>
              <w:t>(Dollars in thousands)</w:t>
            </w: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218</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(155)</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219" w:firstLine="324"/>
        <w:spacing w:after="0" w:line="263" w:lineRule="auto"/>
        <w:rPr>
          <w:sz w:val="20"/>
          <w:szCs w:val="20"/>
          <w:color w:val="auto"/>
        </w:rPr>
      </w:pPr>
      <w:r>
        <w:rPr>
          <w:rFonts w:ascii="Arial" w:cs="Arial" w:eastAsia="Arial" w:hAnsi="Arial"/>
          <w:sz w:val="18"/>
          <w:szCs w:val="18"/>
          <w:color w:val="auto"/>
        </w:rPr>
        <w:t>Interest expense decreased by $0.2 million or 71.1% during the nine months ended September 30, 2023, compared to the nine months ended September 30, 2022. The decrease was due to lower outstanding balances under the credit facility that we paid off in full in March 2023, resulting in less interest incurred.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Income (Expense), Net</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15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Nine Months Ended</w:t>
            </w: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1"/>
        </w:trPr>
        <w:tc>
          <w:tcPr>
            <w:tcW w:w="3600" w:type="dxa"/>
            <w:vAlign w:val="bottom"/>
          </w:tcPr>
          <w:p>
            <w:pPr>
              <w:spacing w:after="0"/>
              <w:rPr>
                <w:sz w:val="17"/>
                <w:szCs w:val="17"/>
                <w:color w:val="auto"/>
              </w:rPr>
            </w:pPr>
          </w:p>
        </w:tc>
        <w:tc>
          <w:tcPr>
            <w:tcW w:w="15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42"/>
        </w:trPr>
        <w:tc>
          <w:tcPr>
            <w:tcW w:w="36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96"/>
              </w:rPr>
              <w:t>2022</w:t>
            </w:r>
          </w:p>
        </w:tc>
        <w:tc>
          <w:tcPr>
            <w:tcW w:w="140" w:type="dxa"/>
            <w:vAlign w:val="bottom"/>
            <w:tcBorders>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62"/>
              <w:spacing w:after="0" w:line="142" w:lineRule="exact"/>
              <w:rPr>
                <w:sz w:val="20"/>
                <w:szCs w:val="20"/>
                <w:color w:val="auto"/>
              </w:rPr>
            </w:pPr>
            <w:r>
              <w:rPr>
                <w:rFonts w:ascii="Arial" w:cs="Arial" w:eastAsia="Arial" w:hAnsi="Arial"/>
                <w:sz w:val="14"/>
                <w:szCs w:val="14"/>
                <w:b w:val="1"/>
                <w:bCs w:val="1"/>
                <w:color w:val="auto"/>
                <w:w w:val="98"/>
              </w:rPr>
              <w:t>Amount</w:t>
            </w:r>
          </w:p>
        </w:tc>
        <w:tc>
          <w:tcPr>
            <w:tcW w:w="64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r>
      <w:tr>
        <w:trPr>
          <w:trHeight w:val="142"/>
        </w:trPr>
        <w:tc>
          <w:tcPr>
            <w:tcW w:w="3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3"/>
          </w:tcPr>
          <w:p>
            <w:pPr>
              <w:jc w:val="right"/>
              <w:ind w:right="162"/>
              <w:spacing w:after="0" w:line="142" w:lineRule="exact"/>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432"/>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89"/>
              </w:rPr>
              <w:t>$ 2,849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   2,793</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4,987.5 %</w:t>
            </w:r>
          </w:p>
        </w:tc>
      </w:tr>
    </w:tbl>
    <w:p>
      <w:pPr>
        <w:spacing w:after="0" w:line="202" w:lineRule="exact"/>
        <w:rPr>
          <w:sz w:val="20"/>
          <w:szCs w:val="20"/>
          <w:color w:val="auto"/>
        </w:rPr>
      </w:pPr>
    </w:p>
    <w:p>
      <w:pPr>
        <w:ind w:left="40" w:right="159" w:firstLine="324"/>
        <w:spacing w:after="0" w:line="279" w:lineRule="auto"/>
        <w:rPr>
          <w:sz w:val="20"/>
          <w:szCs w:val="20"/>
          <w:color w:val="auto"/>
        </w:rPr>
      </w:pPr>
      <w:r>
        <w:rPr>
          <w:rFonts w:ascii="Arial" w:cs="Arial" w:eastAsia="Arial" w:hAnsi="Arial"/>
          <w:sz w:val="17"/>
          <w:szCs w:val="17"/>
          <w:color w:val="auto"/>
        </w:rPr>
        <w:t>Other income (expense), net increased by $2.8 million in income for the nine months ended September 30, 2023. The change was primarily due to the ERTC received of $2.0 million in the second quarter of 2023, along with an increase in interest income earned on the money market cash account as a result of the increased cash balances and increasing interest rates, offset by a loss on prepayment and termination of our 2019 Credit Facility.</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119" w:firstLine="324"/>
        <w:spacing w:after="0" w:line="273" w:lineRule="auto"/>
        <w:rPr>
          <w:sz w:val="20"/>
          <w:szCs w:val="20"/>
          <w:color w:val="auto"/>
        </w:rPr>
      </w:pPr>
      <w:r>
        <w:rPr>
          <w:rFonts w:ascii="Arial" w:cs="Arial" w:eastAsia="Arial" w:hAnsi="Arial"/>
          <w:sz w:val="17"/>
          <w:szCs w:val="17"/>
          <w:color w:val="auto"/>
        </w:rPr>
        <w:t>As of September 30, 2023, we had $34.9 million of cash and cash equivalents, compared to $26.8 million as of December 31, 2022. As of September 30, 2023, we have no outstanding debt as we paid off our 2019 Credit Facility in full in March 2023. We believe our cash and cash equivalents are sufficient to meet our anticipated capital requirements in the next 12 months. Our future capital requirements will depend on many factors, including, among other things, our growth rate, the timing and extent of our spending to support research and development activities, the timing and cost of establishing additional sales and marketing capabilities, and the introduction of new products.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0"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Nine Months Ended</w:t>
      </w:r>
    </w:p>
    <w:p>
      <w:pPr>
        <w:ind w:left="660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940" w:type="dxa"/>
        <w:tblCellMar>
          <w:top w:w="0" w:type="dxa"/>
          <w:left w:w="0" w:type="dxa"/>
          <w:bottom w:w="0" w:type="dxa"/>
          <w:right w:w="0" w:type="dxa"/>
        </w:tblCellMar>
      </w:tblPr>
      <w:tr>
        <w:trPr>
          <w:trHeight w:val="142"/>
        </w:trPr>
        <w:tc>
          <w:tcPr>
            <w:tcW w:w="51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r>
      <w:tr>
        <w:trPr>
          <w:trHeight w:val="128"/>
        </w:trPr>
        <w:tc>
          <w:tcPr>
            <w:tcW w:w="5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gridSpan w:val="5"/>
          </w:tcPr>
          <w:p>
            <w:pPr>
              <w:jc w:val="right"/>
              <w:ind w:right="475"/>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11,086</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(1,118)</w:t>
            </w: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left="40" w:right="99" w:firstLine="324"/>
        <w:spacing w:after="0" w:line="270" w:lineRule="auto"/>
        <w:rPr>
          <w:sz w:val="20"/>
          <w:szCs w:val="20"/>
          <w:color w:val="auto"/>
        </w:rPr>
      </w:pPr>
      <w:r>
        <w:rPr>
          <w:rFonts w:ascii="Arial" w:cs="Arial" w:eastAsia="Arial" w:hAnsi="Arial"/>
          <w:sz w:val="17"/>
          <w:szCs w:val="17"/>
          <w:color w:val="auto"/>
        </w:rPr>
        <w:t>During the nine months ended September 30, 2023, cash provided by operating activities was $11.1 million, which consisted of net income of $7.1 million, non-cash charges of $4.8 million and changes of net operating assets and liabilities of $0.8 million. The non-cash charges primarily consisted of stock-based compensation of $3.7 million, depreciation and amortization of $0.9 million, and a loss on prepayment and termination of our 2019 credit facility of $0.2 million. The change in our net operating assets and liabilities was primarily due to a decrease in accounts receivable of $0.6 million due to timing of cash receipts for outstanding balances, an increase in inventory of $2.0 million to meet anticipated production volumes, a decrease in prepaid and other current assets of $0.4 million, an increase in accounts payable of $0.6 million, a decrease in accrued liabilities of $0.1 million, a decrease in deferred revenue of $0.3 million, and a decrease in lease liabilities of $0.8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7"/>
          <w:szCs w:val="17"/>
          <w:color w:val="auto"/>
        </w:rPr>
        <w:t>During the nine months ended September 30, 2022, cash provided by operating activities was $4.3 million, which consisted of net income of $5.5 million, cash provided by non-cash charges of $3.9 million and changes of net operating assets and liabilities of $5.2 million. The non-cash charges primarily consisted of stock-based compensation of $3.3 million, and depreciation and amortization of $0.7 million. The use of cash due to the change in our net operating assets and liabilities was primarily due to an increase in accounts receivable of $4.4 million due to timing of cash receipts for outstanding balances, an increase in inventory of $1.5 million, and a decrease in accrued liabilities of $1.1 million primarily due to timing of variable compensation costs. These uses were partially offset by a decrease in prepaid and other current assets of $0.5 million and an increase in accounts payable of $1.2 million.</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left="40" w:right="219" w:firstLine="324"/>
        <w:spacing w:after="0" w:line="263" w:lineRule="auto"/>
        <w:rPr>
          <w:sz w:val="20"/>
          <w:szCs w:val="20"/>
          <w:color w:val="auto"/>
        </w:rPr>
      </w:pPr>
      <w:r>
        <w:rPr>
          <w:rFonts w:ascii="Arial" w:cs="Arial" w:eastAsia="Arial" w:hAnsi="Arial"/>
          <w:sz w:val="18"/>
          <w:szCs w:val="18"/>
          <w:color w:val="auto"/>
        </w:rPr>
        <w:t>Cash used in investing activities during the nine months ended September 30, 2023, was $1.1 million, reflecting $1.1 million for the purchase of manufacturing equipment offset by a nominal amount in proceeds received on the sale of property and equipment.</w:t>
      </w:r>
    </w:p>
    <w:p>
      <w:pPr>
        <w:spacing w:after="0" w:line="184" w:lineRule="exact"/>
        <w:rPr>
          <w:sz w:val="20"/>
          <w:szCs w:val="20"/>
          <w:color w:val="auto"/>
        </w:rPr>
      </w:pPr>
    </w:p>
    <w:p>
      <w:pPr>
        <w:ind w:left="40" w:right="219" w:firstLine="324"/>
        <w:spacing w:after="0" w:line="263" w:lineRule="auto"/>
        <w:rPr>
          <w:sz w:val="20"/>
          <w:szCs w:val="20"/>
          <w:color w:val="auto"/>
        </w:rPr>
      </w:pPr>
      <w:r>
        <w:rPr>
          <w:rFonts w:ascii="Arial" w:cs="Arial" w:eastAsia="Arial" w:hAnsi="Arial"/>
          <w:sz w:val="18"/>
          <w:szCs w:val="18"/>
          <w:color w:val="auto"/>
        </w:rPr>
        <w:t>Cash used in investing activities during the nine months ended September 30, 2022, was $1.1 million, reflecting $1.3 million for the purchase of manufacturing equipment partially offset by $0.2 million in proceeds received on the sale of property and equipment.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40" w:right="99" w:firstLine="324"/>
        <w:spacing w:after="0" w:line="263" w:lineRule="auto"/>
        <w:rPr>
          <w:sz w:val="20"/>
          <w:szCs w:val="20"/>
          <w:color w:val="auto"/>
        </w:rPr>
      </w:pPr>
      <w:r>
        <w:rPr>
          <w:rFonts w:ascii="Arial" w:cs="Arial" w:eastAsia="Arial" w:hAnsi="Arial"/>
          <w:sz w:val="18"/>
          <w:szCs w:val="18"/>
          <w:color w:val="auto"/>
        </w:rPr>
        <w:t>Cash used in financing activities during the nine months ended September 30, 2023, was $1.9 million, consisting mainly of $2.8 million of payments to pay off our 2019 Credit Facility, offset by $0.9 million in proceeds from the exercise of employee stock options.</w:t>
      </w:r>
    </w:p>
    <w:p>
      <w:pPr>
        <w:spacing w:after="0" w:line="184" w:lineRule="exact"/>
        <w:rPr>
          <w:sz w:val="20"/>
          <w:szCs w:val="20"/>
          <w:color w:val="auto"/>
        </w:rPr>
      </w:pPr>
    </w:p>
    <w:p>
      <w:pPr>
        <w:ind w:left="40" w:right="179" w:firstLine="324"/>
        <w:spacing w:after="0" w:line="263" w:lineRule="auto"/>
        <w:rPr>
          <w:sz w:val="20"/>
          <w:szCs w:val="20"/>
          <w:color w:val="auto"/>
        </w:rPr>
      </w:pPr>
      <w:r>
        <w:rPr>
          <w:rFonts w:ascii="Arial" w:cs="Arial" w:eastAsia="Arial" w:hAnsi="Arial"/>
          <w:sz w:val="18"/>
          <w:szCs w:val="18"/>
          <w:color w:val="auto"/>
        </w:rPr>
        <w:t>Cash used in financing activities during the nine months ended September 30, 2022, was $1.1 million, consisting mainly of $1.8 million of payments of term loan installments partially offset by $0.7 million in proceeds from the exercise of employee stock options.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229" w:lineRule="exact"/>
        <w:rPr>
          <w:sz w:val="20"/>
          <w:szCs w:val="20"/>
          <w:color w:val="auto"/>
        </w:rPr>
      </w:pPr>
    </w:p>
    <w:p>
      <w:pPr>
        <w:ind w:left="40" w:right="79" w:firstLine="324"/>
        <w:spacing w:after="0" w:line="291" w:lineRule="auto"/>
        <w:rPr>
          <w:sz w:val="20"/>
          <w:szCs w:val="20"/>
          <w:color w:val="auto"/>
        </w:rPr>
      </w:pPr>
      <w:r>
        <w:rPr>
          <w:rFonts w:ascii="Arial" w:cs="Arial" w:eastAsia="Arial" w:hAnsi="Arial"/>
          <w:sz w:val="16"/>
          <w:szCs w:val="16"/>
          <w:color w:val="auto"/>
        </w:rPr>
        <w:t>Our condensed financial statements have been prepared in accordance with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jc w:val="both"/>
        <w:ind w:left="40" w:right="179" w:firstLine="324"/>
        <w:spacing w:after="0" w:line="263" w:lineRule="auto"/>
        <w:rPr>
          <w:sz w:val="20"/>
          <w:szCs w:val="20"/>
          <w:color w:val="auto"/>
        </w:rPr>
      </w:pPr>
      <w:r>
        <w:rPr>
          <w:rFonts w:ascii="Arial" w:cs="Arial" w:eastAsia="Arial" w:hAnsi="Arial"/>
          <w:sz w:val="18"/>
          <w:szCs w:val="18"/>
          <w:color w:val="auto"/>
        </w:rPr>
        <w:t>There have been no changes to our critical accounting policies and estimates described in the Annual Report on Form 10-K for the year ended December 31, 2022, filed with the SEC on March 2, 2023, that have had a material impact on our condensed financial statements and related notes.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required for a smaller reporting company.</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left="40" w:right="119" w:firstLine="324"/>
        <w:spacing w:after="0" w:line="259" w:lineRule="auto"/>
        <w:rPr>
          <w:sz w:val="20"/>
          <w:szCs w:val="20"/>
          <w:color w:val="auto"/>
        </w:rPr>
      </w:pPr>
      <w:r>
        <w:rPr>
          <w:rFonts w:ascii="Arial" w:cs="Arial" w:eastAsia="Arial" w:hAnsi="Arial"/>
          <w:sz w:val="18"/>
          <w:szCs w:val="18"/>
          <w:color w:val="auto"/>
        </w:rPr>
        <w:t>Our management, including our Chief Executive Officer (CEO) and Chief Financial Officer (CFO), evaluated the effectiveness of the design and operation of our disclosure controls and procedures (as defined in Rules 13a-15(e) and 15d-15(e) under the Exchange Act), as of September 30, 2023, the end of the period covered by this Quarterly Report on Form 10-Q.</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299" w:firstLine="324"/>
        <w:spacing w:after="0" w:line="277" w:lineRule="auto"/>
        <w:rPr>
          <w:sz w:val="20"/>
          <w:szCs w:val="20"/>
          <w:color w:val="auto"/>
        </w:rPr>
      </w:pPr>
      <w:r>
        <w:rPr>
          <w:rFonts w:ascii="Arial" w:cs="Arial" w:eastAsia="Arial" w:hAnsi="Arial"/>
          <w:sz w:val="18"/>
          <w:szCs w:val="18"/>
          <w:color w:val="auto"/>
        </w:rPr>
        <w:t>Based on this evaluation, our CEO and CFO concluded that our disclosure controls and procedures were effective at the reasonable assurance level as of September 30, 2023.</w:t>
      </w:r>
    </w:p>
    <w:p>
      <w:pPr>
        <w:spacing w:after="0" w:line="170" w:lineRule="exact"/>
        <w:rPr>
          <w:sz w:val="20"/>
          <w:szCs w:val="20"/>
          <w:color w:val="auto"/>
        </w:rPr>
      </w:pPr>
    </w:p>
    <w:p>
      <w:pPr>
        <w:ind w:left="40" w:right="299" w:firstLine="401"/>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nine months ended September 30, 2023 that materially affected, or are reasonably likely to materially affect, our internal control over financial reporting.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225" w:lineRule="exact"/>
        <w:rPr>
          <w:sz w:val="20"/>
          <w:szCs w:val="20"/>
          <w:color w:val="auto"/>
        </w:rPr>
      </w:pPr>
    </w:p>
    <w:p>
      <w:pPr>
        <w:ind w:left="40" w:right="59" w:firstLine="401"/>
        <w:spacing w:after="0" w:line="253"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We are not party to any material legal proceedings at this time. From time to time, we may become involved in various legal proceedings that arise in the ordinary course of our business.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financial condition, results of operations and cash flows could be harmed. In addition, many of the following risks and uncertainties may be exacerbated by the ongoing presence of COVID-19, including any new variants that may become predominant, and any worsening of the global business and economic environment as a result.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left="40" w:right="79" w:firstLine="401"/>
        <w:spacing w:after="0" w:line="257" w:lineRule="auto"/>
        <w:rPr>
          <w:sz w:val="20"/>
          <w:szCs w:val="20"/>
          <w:color w:val="auto"/>
        </w:rPr>
      </w:pPr>
      <w:r>
        <w:rPr>
          <w:rFonts w:ascii="Arial" w:cs="Arial" w:eastAsia="Arial" w:hAnsi="Arial"/>
          <w:sz w:val="18"/>
          <w:szCs w:val="18"/>
          <w:color w:val="auto"/>
        </w:rPr>
        <w:t>We are subject to a variety of risks and uncertainties, including risks related to our financial condition and our indebtedness, risks related to our business and our industry, risks related to our intellectual property and technology, risks related to regulatory matters and compliance, risks related to our common stock and certain general risks, which could have a material adverse effect on our business, financial condition, results of operations and cash flows. These risks include, but are not limited to, the following principal risks:</w:t>
      </w:r>
    </w:p>
    <w:p>
      <w:pPr>
        <w:spacing w:after="0" w:line="80" w:lineRule="exact"/>
        <w:rPr>
          <w:sz w:val="20"/>
          <w:szCs w:val="20"/>
          <w:color w:val="auto"/>
        </w:rPr>
      </w:pPr>
    </w:p>
    <w:p>
      <w:pPr>
        <w:ind w:left="780" w:right="159" w:hanging="318"/>
        <w:spacing w:after="0" w:line="277"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need additional funding and may be unable to raise capital when needed, which could force us to delay, reduce, or eliminate planned activities.</w:t>
      </w:r>
    </w:p>
    <w:p>
      <w:pPr>
        <w:spacing w:after="0" w:line="62" w:lineRule="exact"/>
        <w:rPr>
          <w:rFonts w:ascii="Arial" w:cs="Arial" w:eastAsia="Arial" w:hAnsi="Arial"/>
          <w:sz w:val="18"/>
          <w:szCs w:val="18"/>
          <w:color w:val="auto"/>
        </w:rPr>
      </w:pPr>
    </w:p>
    <w:p>
      <w:pPr>
        <w:ind w:left="780" w:hanging="31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cannot be certain that we will sustain profitability.</w:t>
      </w:r>
    </w:p>
    <w:p>
      <w:pPr>
        <w:spacing w:after="0" w:line="117" w:lineRule="exact"/>
        <w:rPr>
          <w:rFonts w:ascii="Arial" w:cs="Arial" w:eastAsia="Arial" w:hAnsi="Arial"/>
          <w:sz w:val="18"/>
          <w:szCs w:val="18"/>
          <w:color w:val="auto"/>
        </w:rPr>
      </w:pPr>
    </w:p>
    <w:p>
      <w:pPr>
        <w:ind w:left="780" w:right="639" w:hanging="318"/>
        <w:spacing w:after="0" w:line="277"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limited history of STT-MRAM adoption makes it difficult to evaluate our current business and future prospects.</w:t>
      </w:r>
    </w:p>
    <w:p>
      <w:pPr>
        <w:spacing w:after="0" w:line="62" w:lineRule="exact"/>
        <w:rPr>
          <w:rFonts w:ascii="Arial" w:cs="Arial" w:eastAsia="Arial" w:hAnsi="Arial"/>
          <w:sz w:val="18"/>
          <w:szCs w:val="18"/>
          <w:color w:val="auto"/>
        </w:rPr>
      </w:pPr>
    </w:p>
    <w:p>
      <w:pPr>
        <w:ind w:left="780" w:right="99" w:hanging="318"/>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match production with customer demand for a variety of reasons including macroeconomic factors due to the cyclical nature of the semiconductor industry, our inability to accurately forecast customer demand, supply chain constraints, or the capacity constraints of our suppliers, which could adversely affect our operating results.</w:t>
      </w:r>
    </w:p>
    <w:p>
      <w:pPr>
        <w:spacing w:after="0" w:line="78" w:lineRule="exact"/>
        <w:rPr>
          <w:rFonts w:ascii="Arial" w:cs="Arial" w:eastAsia="Arial" w:hAnsi="Arial"/>
          <w:sz w:val="18"/>
          <w:szCs w:val="18"/>
          <w:color w:val="auto"/>
        </w:rPr>
      </w:pPr>
    </w:p>
    <w:p>
      <w:pPr>
        <w:ind w:left="780" w:right="219" w:hanging="318"/>
        <w:spacing w:after="0" w:line="342"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we expand into new potential markets, we expect to face intense competition, including from our customers and potential customers, and may not be able to compete effectively, which could harm our business.</w:t>
      </w:r>
    </w:p>
    <w:p>
      <w:pPr>
        <w:spacing w:after="0" w:line="15" w:lineRule="exact"/>
        <w:rPr>
          <w:rFonts w:ascii="Arial" w:cs="Arial" w:eastAsia="Arial" w:hAnsi="Arial"/>
          <w:sz w:val="16"/>
          <w:szCs w:val="16"/>
          <w:color w:val="auto"/>
        </w:rPr>
      </w:pPr>
    </w:p>
    <w:p>
      <w:pPr>
        <w:ind w:left="780" w:right="119" w:hanging="318"/>
        <w:spacing w:after="0" w:line="286" w:lineRule="auto"/>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57" w:lineRule="exact"/>
        <w:rPr>
          <w:rFonts w:ascii="Arial" w:cs="Arial" w:eastAsia="Arial" w:hAnsi="Arial"/>
          <w:sz w:val="17"/>
          <w:szCs w:val="17"/>
          <w:color w:val="auto"/>
        </w:rPr>
      </w:pPr>
    </w:p>
    <w:p>
      <w:pPr>
        <w:ind w:left="780" w:right="139" w:hanging="318"/>
        <w:spacing w:after="0" w:line="277"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in our supply chain may adversely impact our ability to fulfill customer demand which, in turn, may adversely impact our business, results of operations, and financial condition.</w:t>
      </w:r>
    </w:p>
    <w:p>
      <w:pPr>
        <w:spacing w:after="0" w:line="62" w:lineRule="exact"/>
        <w:rPr>
          <w:rFonts w:ascii="Arial" w:cs="Arial" w:eastAsia="Arial" w:hAnsi="Arial"/>
          <w:sz w:val="18"/>
          <w:szCs w:val="18"/>
          <w:color w:val="auto"/>
        </w:rPr>
      </w:pPr>
    </w:p>
    <w:p>
      <w:pPr>
        <w:ind w:left="780" w:hanging="31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joint development agreement and strategic relationships involve numerous risks.</w:t>
      </w:r>
    </w:p>
    <w:p>
      <w:pPr>
        <w:spacing w:after="0" w:line="117" w:lineRule="exact"/>
        <w:rPr>
          <w:rFonts w:ascii="Arial" w:cs="Arial" w:eastAsia="Arial" w:hAnsi="Arial"/>
          <w:sz w:val="18"/>
          <w:szCs w:val="18"/>
          <w:color w:val="auto"/>
        </w:rPr>
      </w:pPr>
    </w:p>
    <w:p>
      <w:pPr>
        <w:ind w:left="780" w:right="139" w:hanging="318"/>
        <w:spacing w:after="0" w:line="263"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75" w:lineRule="exact"/>
        <w:rPr>
          <w:rFonts w:ascii="Arial" w:cs="Arial" w:eastAsia="Arial" w:hAnsi="Arial"/>
          <w:sz w:val="18"/>
          <w:szCs w:val="18"/>
          <w:color w:val="auto"/>
        </w:rPr>
      </w:pPr>
    </w:p>
    <w:p>
      <w:pPr>
        <w:ind w:left="780" w:right="319" w:hanging="318"/>
        <w:spacing w:after="0" w:line="311"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40" w:lineRule="exact"/>
        <w:rPr>
          <w:rFonts w:ascii="Arial" w:cs="Arial" w:eastAsia="Arial" w:hAnsi="Arial"/>
          <w:sz w:val="16"/>
          <w:szCs w:val="16"/>
          <w:color w:val="auto"/>
        </w:rPr>
      </w:pPr>
    </w:p>
    <w:p>
      <w:pPr>
        <w:ind w:left="780" w:right="419" w:hanging="318"/>
        <w:spacing w:after="0" w:line="277"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one or several of our customers or reduced orders or pricing from existing customers may have a significant adverse effect on our operations and financial results.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80" w:right="559" w:hanging="318"/>
        <w:spacing w:after="0" w:line="308"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face competition and expect competition to increase in the future. If we fail to compete effectively, our revenue growth and results of operations will be materially and adversely affected.</w:t>
      </w:r>
    </w:p>
    <w:p>
      <w:pPr>
        <w:spacing w:after="0" w:line="38" w:lineRule="exact"/>
        <w:rPr>
          <w:rFonts w:ascii="Arial" w:cs="Arial" w:eastAsia="Arial" w:hAnsi="Arial"/>
          <w:sz w:val="17"/>
          <w:szCs w:val="17"/>
          <w:color w:val="auto"/>
        </w:rPr>
      </w:pPr>
    </w:p>
    <w:p>
      <w:pPr>
        <w:ind w:left="780" w:right="859" w:hanging="318"/>
        <w:spacing w:after="0" w:line="277"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costs may increase substantially if we or our third-party manufacturing contractors do not achieve satisfactory product yields or quality.</w:t>
      </w:r>
    </w:p>
    <w:p>
      <w:pPr>
        <w:spacing w:after="0" w:line="62" w:lineRule="exact"/>
        <w:rPr>
          <w:rFonts w:ascii="Arial" w:cs="Arial" w:eastAsia="Arial" w:hAnsi="Arial"/>
          <w:sz w:val="18"/>
          <w:szCs w:val="18"/>
          <w:color w:val="auto"/>
        </w:rPr>
      </w:pPr>
    </w:p>
    <w:p>
      <w:pPr>
        <w:ind w:left="780" w:right="779" w:hanging="318"/>
        <w:spacing w:after="0" w:line="277"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complexity of our products may lead to defects, which could negatively impact our reputation with customers and result in liability.</w:t>
      </w:r>
    </w:p>
    <w:p>
      <w:pPr>
        <w:spacing w:after="0" w:line="62" w:lineRule="exact"/>
        <w:rPr>
          <w:rFonts w:ascii="Arial" w:cs="Arial" w:eastAsia="Arial" w:hAnsi="Arial"/>
          <w:sz w:val="18"/>
          <w:szCs w:val="18"/>
          <w:color w:val="auto"/>
        </w:rPr>
      </w:pPr>
    </w:p>
    <w:p>
      <w:pPr>
        <w:ind w:left="780" w:right="379" w:hanging="318"/>
        <w:spacing w:after="0" w:line="263"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75" w:lineRule="exact"/>
        <w:rPr>
          <w:rFonts w:ascii="Arial" w:cs="Arial" w:eastAsia="Arial" w:hAnsi="Arial"/>
          <w:sz w:val="18"/>
          <w:szCs w:val="18"/>
          <w:color w:val="auto"/>
        </w:rPr>
      </w:pPr>
    </w:p>
    <w:p>
      <w:pPr>
        <w:ind w:left="780" w:right="219" w:hanging="318"/>
        <w:spacing w:after="0" w:line="277"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to industry standards and technical requirements relevant to our products and markets could adversely affect our business, results of operations, and prospects.</w:t>
      </w:r>
    </w:p>
    <w:p>
      <w:pPr>
        <w:spacing w:after="0" w:line="62" w:lineRule="exact"/>
        <w:rPr>
          <w:rFonts w:ascii="Arial" w:cs="Arial" w:eastAsia="Arial" w:hAnsi="Arial"/>
          <w:sz w:val="18"/>
          <w:szCs w:val="18"/>
          <w:color w:val="auto"/>
        </w:rPr>
      </w:pPr>
    </w:p>
    <w:p>
      <w:pPr>
        <w:ind w:left="780" w:right="259" w:hanging="318"/>
        <w:spacing w:after="0" w:line="277"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on our ability to attract and retain key employees, and our failure to do so could harm our ability to grow our business and execute our business strategies.</w:t>
      </w:r>
    </w:p>
    <w:p>
      <w:pPr>
        <w:spacing w:after="0" w:line="62" w:lineRule="exact"/>
        <w:rPr>
          <w:rFonts w:ascii="Arial" w:cs="Arial" w:eastAsia="Arial" w:hAnsi="Arial"/>
          <w:sz w:val="18"/>
          <w:szCs w:val="18"/>
          <w:color w:val="auto"/>
        </w:rPr>
      </w:pPr>
    </w:p>
    <w:p>
      <w:pPr>
        <w:ind w:left="780" w:right="499" w:hanging="318"/>
        <w:spacing w:after="0" w:line="277"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maintain, and are seeking to expand, operations outside the United States which exposes us to significant risks.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 more complete discussion of the material risk factors applicable to us, see below.</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Our Financial Condition and Our Indebtedness</w:t>
      </w:r>
    </w:p>
    <w:p>
      <w:pPr>
        <w:spacing w:after="0" w:line="229"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b w:val="1"/>
          <w:bCs w:val="1"/>
          <w:i w:val="1"/>
          <w:iCs w:val="1"/>
          <w:color w:val="auto"/>
        </w:rPr>
        <w:t>We may need additional funding and may be unable to raise capital when needed, which could force us to delay, reduce, or eliminate planned activities.</w:t>
      </w:r>
    </w:p>
    <w:p>
      <w:pPr>
        <w:spacing w:after="0" w:line="170" w:lineRule="exact"/>
        <w:rPr>
          <w:sz w:val="20"/>
          <w:szCs w:val="20"/>
          <w:color w:val="auto"/>
        </w:rPr>
      </w:pPr>
    </w:p>
    <w:p>
      <w:pPr>
        <w:ind w:left="40" w:right="199" w:firstLine="324"/>
        <w:spacing w:after="0" w:line="269" w:lineRule="auto"/>
        <w:rPr>
          <w:sz w:val="20"/>
          <w:szCs w:val="20"/>
          <w:color w:val="auto"/>
        </w:rPr>
      </w:pPr>
      <w:r>
        <w:rPr>
          <w:rFonts w:ascii="Arial" w:cs="Arial" w:eastAsia="Arial" w:hAnsi="Arial"/>
          <w:sz w:val="17"/>
          <w:szCs w:val="17"/>
          <w:color w:val="auto"/>
        </w:rPr>
        <w:t>Our total revenue was approximately $47.1 million for the nine months ended September 30, 2023, and $60.0 million for the year ended December 31, 2022. As of September 30, 2023, we had cash and cash equivalents of approximately $34.9 million. Based on our current operating plan, we believe our existing cash and cash equivalents, coupled with our anticipated growth and sales levels, will be sufficient to meet our anticipated cash requirements for at least the next 12 months. However, our existing capital may be insufficient to meet our long-term requirements. We have no committed sources of funding and there is no assurance that additional funding will be available to us in the future or be secured on acceptable terms. If adequate funding is not available when needed, we may be forced to curtail operations, including our commercial activities and research and development programs, or cease operations altogether, file for bankruptcy, or undertake any combination of the foregoing. In such event, our stockholders may lose their entire investment in our company.</w:t>
      </w:r>
    </w:p>
    <w:p>
      <w:pPr>
        <w:spacing w:after="0" w:line="185"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8"/>
          <w:szCs w:val="18"/>
          <w:color w:val="auto"/>
        </w:rPr>
        <w:t>Further, we may need to raise additional funds through financings or borrowings in order to accomplish our long-term planned objectives. 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w:t>
      </w:r>
    </w:p>
    <w:p>
      <w:pPr>
        <w:spacing w:after="0" w:line="188" w:lineRule="exact"/>
        <w:rPr>
          <w:sz w:val="20"/>
          <w:szCs w:val="20"/>
          <w:color w:val="auto"/>
        </w:rPr>
      </w:pPr>
    </w:p>
    <w:p>
      <w:pPr>
        <w:ind w:left="40" w:right="79" w:firstLine="324"/>
        <w:spacing w:after="0" w:line="273" w:lineRule="auto"/>
        <w:rPr>
          <w:sz w:val="20"/>
          <w:szCs w:val="20"/>
          <w:color w:val="auto"/>
        </w:rPr>
      </w:pPr>
      <w:r>
        <w:rPr>
          <w:rFonts w:ascii="Arial" w:cs="Arial" w:eastAsia="Arial" w:hAnsi="Arial"/>
          <w:sz w:val="17"/>
          <w:szCs w:val="17"/>
          <w:color w:val="auto"/>
        </w:rPr>
        <w:t>In addition, if we do not meet our payment obligations to third parties as they become due, we may be subject to litigation claims and our creditworthiness would be adversely affected. Even if we are successful in defending against these claims, litigation could result in substantial costs and would be a distraction to management, and may have other unfavorable results that could further adversely impact our financial condition. Stockholders should not rely on our balance sheet as an indication of the amount of proceeds that would be available to satisfy claims of creditors, and potentially be available for distribution to stockholders, in the event of liquidation.</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cannot be certain that we will sustain profitability.</w:t>
      </w:r>
    </w:p>
    <w:p>
      <w:pPr>
        <w:spacing w:after="0" w:line="225"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7"/>
          <w:szCs w:val="17"/>
          <w:color w:val="auto"/>
        </w:rPr>
        <w:t>While our products offer unique benefits over other industry memory technologies, the rate of adoption of our products and our ability to capture market share from legacy technologies is uncertain. Our revenue may also be adversely impacted by a number of other possible reasons, many of which are outside our control, including business conditions that adversely affect the semiconductor memory industry resulting in a decline in end market demand for our products, adverse impacts resulting from the COVID-19 pandemic, increased competition, ongoing supply chain</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59"/>
        <w:spacing w:after="0" w:line="301" w:lineRule="auto"/>
        <w:rPr>
          <w:sz w:val="20"/>
          <w:szCs w:val="20"/>
          <w:color w:val="auto"/>
        </w:rPr>
      </w:pPr>
      <w:r>
        <w:rPr>
          <w:rFonts w:ascii="Arial" w:cs="Arial" w:eastAsia="Arial" w:hAnsi="Arial"/>
          <w:sz w:val="16"/>
          <w:szCs w:val="16"/>
          <w:color w:val="auto"/>
        </w:rPr>
        <w:t>constraints, or our failure to capitalize on growth opportunities. We also rely on achieving specific cost reduction targets that have uncertainty in their timing and magnitude. We may also incur unforeseen expenses in the ongoing operation of our business that cause us to exceed our operational spending plan. As a result, our ability to generate sufficient revenue growth and/or control expenses to maintain and grow profitability and generate consistent positive cash flows is uncertain.</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Our Business and Our Industry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The limited history of STT-MRAM adoption makes it difficult to evaluate our current business and future prospects.</w:t>
      </w:r>
    </w:p>
    <w:p>
      <w:pPr>
        <w:spacing w:after="0" w:line="248" w:lineRule="exact"/>
        <w:rPr>
          <w:sz w:val="20"/>
          <w:szCs w:val="20"/>
          <w:color w:val="auto"/>
        </w:rPr>
      </w:pPr>
    </w:p>
    <w:p>
      <w:pPr>
        <w:ind w:left="40" w:right="239" w:firstLine="324"/>
        <w:spacing w:after="0" w:line="301" w:lineRule="auto"/>
        <w:rPr>
          <w:sz w:val="20"/>
          <w:szCs w:val="20"/>
          <w:color w:val="auto"/>
        </w:rPr>
      </w:pPr>
      <w:r>
        <w:rPr>
          <w:rFonts w:ascii="Arial" w:cs="Arial" w:eastAsia="Arial" w:hAnsi="Arial"/>
          <w:sz w:val="16"/>
          <w:szCs w:val="16"/>
          <w:color w:val="auto"/>
        </w:rPr>
        <w:t>We have been in existence as a stand-alone company since 2008, when Freescale Semiconductor, Inc. (subsequently acquired by NXP Semiconductor) spun-out its MRAM business as Everspin. We have been shipping magnetoresistive random-access memory (MRAM) products since our incorporation in 2008. However, we only began to manufacture and ship our Spin Transfer Torque MRAM (STT-MRAM) products in the fourth quarter of 2017.</w:t>
      </w:r>
    </w:p>
    <w:p>
      <w:pPr>
        <w:spacing w:after="0" w:line="157" w:lineRule="exact"/>
        <w:rPr>
          <w:sz w:val="20"/>
          <w:szCs w:val="20"/>
          <w:color w:val="auto"/>
        </w:rPr>
      </w:pPr>
    </w:p>
    <w:p>
      <w:pPr>
        <w:ind w:left="40" w:right="79" w:firstLine="324"/>
        <w:spacing w:after="0" w:line="253" w:lineRule="auto"/>
        <w:rPr>
          <w:sz w:val="20"/>
          <w:szCs w:val="20"/>
          <w:color w:val="auto"/>
        </w:rPr>
      </w:pPr>
      <w:r>
        <w:rPr>
          <w:rFonts w:ascii="Arial" w:cs="Arial" w:eastAsia="Arial" w:hAnsi="Arial"/>
          <w:sz w:val="18"/>
          <w:szCs w:val="18"/>
          <w:color w:val="auto"/>
        </w:rPr>
        <w:t>Our limited experience selling our STT-MRAM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transportation, and data center market segments and changes in macroeconomic conditions. If we do not manage these risks and overcome these difficulties successfully, our business will suffer.</w:t>
      </w:r>
    </w:p>
    <w:p>
      <w:pPr>
        <w:spacing w:after="0" w:line="129" w:lineRule="exact"/>
        <w:rPr>
          <w:sz w:val="20"/>
          <w:szCs w:val="20"/>
          <w:color w:val="auto"/>
        </w:rPr>
      </w:pPr>
    </w:p>
    <w:p>
      <w:pPr>
        <w:ind w:left="40" w:right="59"/>
        <w:spacing w:after="0" w:line="340" w:lineRule="auto"/>
        <w:rPr>
          <w:sz w:val="20"/>
          <w:szCs w:val="20"/>
          <w:color w:val="auto"/>
        </w:rPr>
      </w:pPr>
      <w:r>
        <w:rPr>
          <w:rFonts w:ascii="Arial" w:cs="Arial" w:eastAsia="Arial" w:hAnsi="Arial"/>
          <w:sz w:val="15"/>
          <w:szCs w:val="15"/>
          <w:b w:val="1"/>
          <w:bCs w:val="1"/>
          <w:i w:val="1"/>
          <w:iCs w:val="1"/>
          <w:color w:val="auto"/>
        </w:rPr>
        <w:t>We may be unable to match production with customer demand for a variety of reasons including macroeconomic factors due to the cyclical nature of the semiconductor industry, our inability to accurately forecast customer demand, supply chain constraints, or the capacity constraints of our suppliers, which could adversely affect our operating results.</w:t>
      </w:r>
    </w:p>
    <w:p>
      <w:pPr>
        <w:spacing w:after="0" w:line="131" w:lineRule="exact"/>
        <w:rPr>
          <w:sz w:val="20"/>
          <w:szCs w:val="20"/>
          <w:color w:val="auto"/>
        </w:rPr>
      </w:pPr>
    </w:p>
    <w:p>
      <w:pPr>
        <w:ind w:left="40" w:right="119" w:firstLine="324"/>
        <w:spacing w:after="0" w:line="285" w:lineRule="auto"/>
        <w:rPr>
          <w:sz w:val="20"/>
          <w:szCs w:val="20"/>
          <w:color w:val="auto"/>
        </w:rPr>
      </w:pPr>
      <w:r>
        <w:rPr>
          <w:rFonts w:ascii="Arial" w:cs="Arial" w:eastAsia="Arial" w:hAnsi="Arial"/>
          <w:sz w:val="16"/>
          <w:szCs w:val="16"/>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we could lose sales opportunities and could lose market share or damage our customer relationships if, for example, we underestimate customer demand, are affected by supply chain constraints, or sufficient manufacturing is unavailable. We manufacture MRAM products at our 200mm facility we lease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390" w:lineRule="exact"/>
        <w:rPr>
          <w:sz w:val="20"/>
          <w:szCs w:val="20"/>
          <w:color w:val="auto"/>
        </w:rPr>
      </w:pPr>
    </w:p>
    <w:p>
      <w:pPr>
        <w:ind w:left="40" w:right="479"/>
        <w:spacing w:after="0" w:line="342" w:lineRule="auto"/>
        <w:rPr>
          <w:sz w:val="20"/>
          <w:szCs w:val="20"/>
          <w:color w:val="auto"/>
        </w:rPr>
      </w:pPr>
      <w:r>
        <w:rPr>
          <w:rFonts w:ascii="Arial" w:cs="Arial" w:eastAsia="Arial" w:hAnsi="Arial"/>
          <w:sz w:val="16"/>
          <w:szCs w:val="16"/>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24" w:lineRule="exact"/>
        <w:rPr>
          <w:sz w:val="20"/>
          <w:szCs w:val="20"/>
          <w:color w:val="auto"/>
        </w:rPr>
      </w:pPr>
    </w:p>
    <w:p>
      <w:pPr>
        <w:ind w:left="40" w:right="159" w:firstLine="324"/>
        <w:spacing w:after="0" w:line="293" w:lineRule="auto"/>
        <w:rPr>
          <w:sz w:val="20"/>
          <w:szCs w:val="20"/>
          <w:color w:val="auto"/>
        </w:rPr>
      </w:pPr>
      <w:r>
        <w:rPr>
          <w:rFonts w:ascii="Arial" w:cs="Arial" w:eastAsia="Arial" w:hAnsi="Arial"/>
          <w:sz w:val="16"/>
          <w:szCs w:val="16"/>
          <w:color w:val="auto"/>
        </w:rPr>
        <w:t>We expect that our new and future MRAM products will be applicable to markets in which we are not currently operating.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9"/>
        <w:spacing w:after="0" w:line="255" w:lineRule="auto"/>
        <w:rPr>
          <w:sz w:val="20"/>
          <w:szCs w:val="20"/>
          <w:color w:val="auto"/>
        </w:rPr>
      </w:pPr>
      <w:r>
        <w:rPr>
          <w:rFonts w:ascii="Arial" w:cs="Arial" w:eastAsia="Arial" w:hAnsi="Arial"/>
          <w:sz w:val="18"/>
          <w:szCs w:val="18"/>
          <w:color w:val="auto"/>
        </w:rPr>
        <w:t>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92" w:lineRule="exact"/>
        <w:rPr>
          <w:sz w:val="20"/>
          <w:szCs w:val="20"/>
          <w:color w:val="auto"/>
        </w:rPr>
      </w:pPr>
    </w:p>
    <w:p>
      <w:pPr>
        <w:jc w:val="both"/>
        <w:ind w:left="40" w:right="459"/>
        <w:spacing w:after="0" w:line="286" w:lineRule="auto"/>
        <w:rPr>
          <w:sz w:val="20"/>
          <w:szCs w:val="20"/>
          <w:color w:val="auto"/>
        </w:rPr>
      </w:pPr>
      <w:r>
        <w:rPr>
          <w:rFonts w:ascii="Arial" w:cs="Arial" w:eastAsia="Arial" w:hAnsi="Arial"/>
          <w:sz w:val="17"/>
          <w:szCs w:val="17"/>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65" w:lineRule="exact"/>
        <w:rPr>
          <w:sz w:val="20"/>
          <w:szCs w:val="20"/>
          <w:color w:val="auto"/>
        </w:rPr>
      </w:pPr>
    </w:p>
    <w:p>
      <w:pPr>
        <w:ind w:left="40" w:right="119" w:firstLine="324"/>
        <w:spacing w:after="0" w:line="273" w:lineRule="auto"/>
        <w:rPr>
          <w:sz w:val="20"/>
          <w:szCs w:val="20"/>
          <w:color w:val="auto"/>
        </w:rPr>
      </w:pPr>
      <w:r>
        <w:rPr>
          <w:rFonts w:ascii="Arial" w:cs="Arial" w:eastAsia="Arial" w:hAnsi="Arial"/>
          <w:sz w:val="17"/>
          <w:szCs w:val="17"/>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78" w:lineRule="exact"/>
        <w:rPr>
          <w:sz w:val="20"/>
          <w:szCs w:val="20"/>
          <w:color w:val="auto"/>
        </w:rPr>
      </w:pPr>
    </w:p>
    <w:p>
      <w:pPr>
        <w:ind w:left="40" w:right="599" w:firstLine="324"/>
        <w:spacing w:after="0" w:line="277" w:lineRule="auto"/>
        <w:rPr>
          <w:sz w:val="20"/>
          <w:szCs w:val="20"/>
          <w:color w:val="auto"/>
        </w:rPr>
      </w:pPr>
      <w:r>
        <w:rPr>
          <w:rFonts w:ascii="Arial" w:cs="Arial" w:eastAsia="Arial" w:hAnsi="Arial"/>
          <w:sz w:val="18"/>
          <w:szCs w:val="18"/>
          <w:color w:val="auto"/>
        </w:rPr>
        <w:t>Relying on third-party distribution, manufacturing, assembly, packaging, and testing presents a number of risks, including but not limited to:</w:t>
      </w:r>
    </w:p>
    <w:p>
      <w:pPr>
        <w:spacing w:after="0" w:line="170" w:lineRule="exact"/>
        <w:rPr>
          <w:sz w:val="20"/>
          <w:szCs w:val="20"/>
          <w:color w:val="auto"/>
        </w:rPr>
      </w:pPr>
    </w:p>
    <w:p>
      <w:pPr>
        <w:ind w:left="620" w:right="219" w:hanging="252"/>
        <w:spacing w:after="0" w:line="263" w:lineRule="auto"/>
        <w:tabs>
          <w:tab w:leader="none" w:pos="649"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3"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capacity and materials shortages during periods of high demand or supply constraints;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control over delivery schedules, inventories and quality;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unavailability of, or potential delays in obtaining access to, key process technologies;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to achieve required production or test capacity and acceptable yields on a timely basis;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misappropriation of our intellectual property;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third party’s ability to perform its obligations due to bankruptcy or other financial constraints;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exclusive representatives for certain customer engagements;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limited warranties on wafers or products supplied to us;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increases in prices including due to inflation.</w:t>
      </w:r>
    </w:p>
    <w:p>
      <w:pPr>
        <w:spacing w:after="0" w:line="225"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marketplace. Moreover, if we are unable to find another foundry to manufacture our products or if we have to redesign our core technology, this could cause material harm to our business and operating results.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59" w:firstLine="324"/>
        <w:spacing w:after="0" w:line="255" w:lineRule="auto"/>
        <w:rPr>
          <w:sz w:val="20"/>
          <w:szCs w:val="20"/>
          <w:color w:val="auto"/>
        </w:rPr>
      </w:pPr>
      <w:r>
        <w:rPr>
          <w:rFonts w:ascii="Arial" w:cs="Arial" w:eastAsia="Arial" w:hAnsi="Arial"/>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 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92" w:lineRule="exact"/>
        <w:rPr>
          <w:sz w:val="20"/>
          <w:szCs w:val="20"/>
          <w:color w:val="auto"/>
        </w:rPr>
      </w:pPr>
    </w:p>
    <w:p>
      <w:pPr>
        <w:ind w:left="40" w:right="99" w:firstLine="324"/>
        <w:spacing w:after="0" w:line="257" w:lineRule="auto"/>
        <w:rPr>
          <w:sz w:val="20"/>
          <w:szCs w:val="20"/>
          <w:color w:val="auto"/>
        </w:rPr>
      </w:pPr>
      <w:r>
        <w:rPr>
          <w:rFonts w:ascii="Arial" w:cs="Arial" w:eastAsia="Arial" w:hAnsi="Arial"/>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such as due to COVID-19,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88" w:lineRule="exact"/>
        <w:rPr>
          <w:sz w:val="20"/>
          <w:szCs w:val="20"/>
          <w:color w:val="auto"/>
        </w:rPr>
      </w:pPr>
    </w:p>
    <w:p>
      <w:pPr>
        <w:ind w:left="40" w:right="559"/>
        <w:spacing w:after="0" w:line="381" w:lineRule="auto"/>
        <w:rPr>
          <w:sz w:val="20"/>
          <w:szCs w:val="20"/>
          <w:color w:val="auto"/>
        </w:rPr>
      </w:pPr>
      <w:r>
        <w:rPr>
          <w:rFonts w:ascii="Arial" w:cs="Arial" w:eastAsia="Arial" w:hAnsi="Arial"/>
          <w:sz w:val="15"/>
          <w:szCs w:val="15"/>
          <w:b w:val="1"/>
          <w:bCs w:val="1"/>
          <w:i w:val="1"/>
          <w:iCs w:val="1"/>
          <w:color w:val="auto"/>
        </w:rPr>
        <w:t>Disruptions in our supply chain and increased cost of components used in our products may adversely impact our business, results of operations and financial condition, including our ability to fulfill customer demand.</w:t>
      </w:r>
    </w:p>
    <w:p>
      <w:pPr>
        <w:spacing w:after="0" w:line="100" w:lineRule="exact"/>
        <w:rPr>
          <w:sz w:val="20"/>
          <w:szCs w:val="20"/>
          <w:color w:val="auto"/>
        </w:rPr>
      </w:pPr>
    </w:p>
    <w:p>
      <w:pPr>
        <w:ind w:left="40" w:right="339" w:firstLine="324"/>
        <w:spacing w:after="0" w:line="275" w:lineRule="auto"/>
        <w:rPr>
          <w:sz w:val="20"/>
          <w:szCs w:val="20"/>
          <w:color w:val="auto"/>
        </w:rPr>
      </w:pPr>
      <w:r>
        <w:rPr>
          <w:rFonts w:ascii="Arial" w:cs="Arial" w:eastAsia="Arial" w:hAnsi="Arial"/>
          <w:sz w:val="17"/>
          <w:szCs w:val="17"/>
          <w:color w:val="auto"/>
        </w:rPr>
        <w:t>If we fail to procure sufficient components used in our products, we may be unable to deliver our products to our customers on a timely basis, which could lead to customer dissatisfaction and could harm our reputation and ability to compete. We would likely experience significant delays or cessation in producing some of our products if a labor strike, natural disaster, public health crisis, geopolitical event, or other supply disruption were to occur, including as a result of COVID-19 or the military conflict in Ukraine, at any of our main suppliers.</w:t>
      </w:r>
    </w:p>
    <w:p>
      <w:pPr>
        <w:spacing w:after="0" w:line="55" w:lineRule="exact"/>
        <w:rPr>
          <w:sz w:val="20"/>
          <w:szCs w:val="20"/>
          <w:color w:val="auto"/>
        </w:rPr>
      </w:pPr>
    </w:p>
    <w:p>
      <w:pPr>
        <w:ind w:left="40" w:right="99" w:firstLine="324"/>
        <w:spacing w:after="0" w:line="269" w:lineRule="auto"/>
        <w:rPr>
          <w:sz w:val="20"/>
          <w:szCs w:val="20"/>
          <w:color w:val="auto"/>
        </w:rPr>
      </w:pPr>
      <w:r>
        <w:rPr>
          <w:rFonts w:ascii="Arial" w:cs="Arial" w:eastAsia="Arial" w:hAnsi="Arial"/>
          <w:sz w:val="17"/>
          <w:szCs w:val="17"/>
          <w:color w:val="auto"/>
        </w:rPr>
        <w:t>Further, the upturn in the semiconductor industry has stretched the supply chain, and we are subject to supply shortages, as well as higher costs as suppliers opportunistically raise prices. For example, there is currently a worldwide shortage of semiconductor, memory and other electronic components affecting many industries. Our products are dependent on some of these electronic components. A continued shortage of electronic components may impact us significantly and could cause us to experience extended lead times and increased prices from our suppliers, which could be significant. Extended lead times and decreased availability of key components could result in a significant disruption to our production schedule, all of which would have an adverse effect on our business, results of operations and financial condition. Additionally, the military conflict in Ukraine creates additional uncertainty and risks relating to our supply chain and the cost of components. See “—General Risk Factors—Unfavorable economic, market and geopolitical conditions, domestically and internationally, may adversely affect our business, financial condition, results of operations and cash flows” for additional information.</w:t>
      </w:r>
    </w:p>
    <w:p>
      <w:pPr>
        <w:spacing w:after="0" w:line="47" w:lineRule="exact"/>
        <w:rPr>
          <w:sz w:val="20"/>
          <w:szCs w:val="20"/>
          <w:color w:val="auto"/>
        </w:rPr>
      </w:pPr>
    </w:p>
    <w:p>
      <w:pPr>
        <w:ind w:left="40" w:right="99" w:firstLine="324"/>
        <w:spacing w:after="0" w:line="257" w:lineRule="auto"/>
        <w:rPr>
          <w:sz w:val="20"/>
          <w:szCs w:val="20"/>
          <w:color w:val="auto"/>
        </w:rPr>
      </w:pPr>
      <w:r>
        <w:rPr>
          <w:rFonts w:ascii="Arial" w:cs="Arial" w:eastAsia="Arial" w:hAnsi="Arial"/>
          <w:sz w:val="18"/>
          <w:szCs w:val="18"/>
          <w:color w:val="auto"/>
        </w:rPr>
        <w:t>We do not have any guarantees of supply from our third-party suppliers, and in certain cases we have limited contractual arrangements or are relying on standard purchase orders or on component parts available on the open market, which may further result in increased costs combined with reduced availability. A continued delay in our ability to produce and deliver our products could also cause our customers to purchase alternative products from our competitors and/or harm our reputation.</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joint development agreement and strategic relationships involve numerous risks.</w:t>
      </w:r>
    </w:p>
    <w:p>
      <w:pPr>
        <w:spacing w:after="0" w:line="225" w:lineRule="exact"/>
        <w:rPr>
          <w:sz w:val="20"/>
          <w:szCs w:val="20"/>
          <w:color w:val="auto"/>
        </w:rPr>
      </w:pPr>
    </w:p>
    <w:p>
      <w:pPr>
        <w:ind w:left="40" w:right="219" w:firstLine="324"/>
        <w:spacing w:after="0" w:line="279" w:lineRule="auto"/>
        <w:rPr>
          <w:sz w:val="20"/>
          <w:szCs w:val="20"/>
          <w:color w:val="auto"/>
        </w:rPr>
      </w:pPr>
      <w:r>
        <w:rPr>
          <w:rFonts w:ascii="Arial" w:cs="Arial" w:eastAsia="Arial" w:hAnsi="Arial"/>
          <w:sz w:val="17"/>
          <w:szCs w:val="17"/>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171" w:lineRule="exact"/>
        <w:rPr>
          <w:sz w:val="20"/>
          <w:szCs w:val="20"/>
          <w:color w:val="auto"/>
        </w:rPr>
      </w:pPr>
    </w:p>
    <w:p>
      <w:pPr>
        <w:ind w:left="620" w:right="219" w:hanging="252"/>
        <w:spacing w:after="0" w:line="263" w:lineRule="auto"/>
        <w:tabs>
          <w:tab w:leader="none" w:pos="649"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3" w:lineRule="exact"/>
        <w:rPr>
          <w:rFonts w:ascii="Arial" w:cs="Arial" w:eastAsia="Arial" w:hAnsi="Arial"/>
          <w:sz w:val="18"/>
          <w:szCs w:val="18"/>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a foundry;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difficulties and delays in getting to and/or ramping production at foundries;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control over the operations of foundries is limited;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right="299" w:hanging="252"/>
        <w:spacing w:after="0" w:line="277" w:lineRule="auto"/>
        <w:tabs>
          <w:tab w:leader="none" w:pos="649" w:val="left"/>
        </w:tabs>
        <w:numPr>
          <w:ilvl w:val="0"/>
          <w:numId w:val="8"/>
        </w:numPr>
        <w:rPr>
          <w:rFonts w:ascii="Arial" w:cs="Arial" w:eastAsia="Arial" w:hAnsi="Arial"/>
          <w:sz w:val="18"/>
          <w:szCs w:val="18"/>
          <w:color w:val="auto"/>
        </w:rPr>
      </w:pPr>
      <w:r>
        <w:rPr>
          <w:rFonts w:ascii="Arial" w:cs="Arial" w:eastAsia="Arial" w:hAnsi="Arial"/>
          <w:sz w:val="18"/>
          <w:szCs w:val="18"/>
          <w:color w:val="auto"/>
        </w:rPr>
        <w:t>due to financial constraints, our joint development collaborators may be unable to meet their commitments to us and may pose credit risks for our transactions with them;</w:t>
      </w:r>
    </w:p>
    <w:p>
      <w:pPr>
        <w:spacing w:after="0" w:line="170" w:lineRule="exact"/>
        <w:rPr>
          <w:rFonts w:ascii="Arial" w:cs="Arial" w:eastAsia="Arial" w:hAnsi="Arial"/>
          <w:sz w:val="18"/>
          <w:szCs w:val="18"/>
          <w:color w:val="auto"/>
        </w:rPr>
      </w:pPr>
    </w:p>
    <w:p>
      <w:pPr>
        <w:ind w:left="620" w:right="639" w:hanging="252"/>
        <w:spacing w:after="0" w:line="308" w:lineRule="auto"/>
        <w:tabs>
          <w:tab w:leader="none" w:pos="649" w:val="left"/>
        </w:tabs>
        <w:numPr>
          <w:ilvl w:val="0"/>
          <w:numId w:val="8"/>
        </w:numPr>
        <w:rPr>
          <w:rFonts w:ascii="Arial" w:cs="Arial" w:eastAsia="Arial" w:hAnsi="Arial"/>
          <w:sz w:val="17"/>
          <w:szCs w:val="17"/>
          <w:color w:val="auto"/>
        </w:rPr>
      </w:pPr>
      <w:r>
        <w:rPr>
          <w:rFonts w:ascii="Arial" w:cs="Arial" w:eastAsia="Arial" w:hAnsi="Arial"/>
          <w:sz w:val="17"/>
          <w:szCs w:val="17"/>
          <w:color w:val="auto"/>
        </w:rPr>
        <w:t>due to differing business models or long-term business goals, our collaborators may decide not to join us in funding capital investment, which may result in higher levels of cash expenditures by us;</w:t>
      </w:r>
    </w:p>
    <w:p>
      <w:pPr>
        <w:spacing w:after="0" w:line="146" w:lineRule="exact"/>
        <w:rPr>
          <w:rFonts w:ascii="Arial" w:cs="Arial" w:eastAsia="Arial" w:hAnsi="Arial"/>
          <w:sz w:val="17"/>
          <w:szCs w:val="17"/>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cash flows may be inadequate to fund increased capital requirements;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collaborators;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w:t>
      </w:r>
    </w:p>
    <w:p>
      <w:pPr>
        <w:spacing w:after="0" w:line="225" w:lineRule="exact"/>
        <w:rPr>
          <w:rFonts w:ascii="Arial" w:cs="Arial" w:eastAsia="Arial" w:hAnsi="Arial"/>
          <w:sz w:val="18"/>
          <w:szCs w:val="18"/>
          <w:color w:val="auto"/>
        </w:rPr>
      </w:pPr>
    </w:p>
    <w:p>
      <w:pPr>
        <w:ind w:left="620" w:right="79" w:hanging="252"/>
        <w:spacing w:after="0" w:line="277" w:lineRule="auto"/>
        <w:tabs>
          <w:tab w:leader="none" w:pos="649"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migrating toward a fabless model as 300mm production becomes required and this increases risks related to less control over our critical production processes; and</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our agreements.</w:t>
      </w:r>
    </w:p>
    <w:p>
      <w:pPr>
        <w:spacing w:after="0" w:line="225" w:lineRule="exact"/>
        <w:rPr>
          <w:sz w:val="20"/>
          <w:szCs w:val="20"/>
          <w:color w:val="auto"/>
        </w:rPr>
      </w:pPr>
    </w:p>
    <w:p>
      <w:pPr>
        <w:ind w:left="40" w:right="439" w:firstLine="324"/>
        <w:spacing w:after="0" w:line="277" w:lineRule="auto"/>
        <w:rPr>
          <w:sz w:val="20"/>
          <w:szCs w:val="20"/>
          <w:color w:val="auto"/>
        </w:rPr>
      </w:pPr>
      <w:r>
        <w:rPr>
          <w:rFonts w:ascii="Arial" w:cs="Arial" w:eastAsia="Arial" w:hAnsi="Arial"/>
          <w:sz w:val="18"/>
          <w:szCs w:val="18"/>
          <w:color w:val="auto"/>
        </w:rPr>
        <w:t>The term of the joint development agreement, as amended, is the completion, termination, or expiration of the last statement of work entered into pursuant to the joint development agreement.</w:t>
      </w:r>
    </w:p>
    <w:p>
      <w:pPr>
        <w:spacing w:after="0" w:line="170" w:lineRule="exact"/>
        <w:rPr>
          <w:sz w:val="20"/>
          <w:szCs w:val="20"/>
          <w:color w:val="auto"/>
        </w:rPr>
      </w:pPr>
    </w:p>
    <w:p>
      <w:pPr>
        <w:ind w:left="40" w:right="659" w:firstLine="324"/>
        <w:spacing w:after="0" w:line="277" w:lineRule="auto"/>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materially adversely affected.</w:t>
      </w:r>
    </w:p>
    <w:p>
      <w:pPr>
        <w:spacing w:after="0" w:line="170"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84"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if we are unable to generate more customer adoption of our 1Gb product and address new growth opportunities with subsequent STT-MRAM products,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82" w:lineRule="exact"/>
        <w:rPr>
          <w:sz w:val="20"/>
          <w:szCs w:val="20"/>
          <w:color w:val="auto"/>
        </w:rPr>
      </w:pPr>
    </w:p>
    <w:p>
      <w:pPr>
        <w:ind w:left="40" w:right="839"/>
        <w:spacing w:after="0" w:line="340" w:lineRule="auto"/>
        <w:rPr>
          <w:sz w:val="20"/>
          <w:szCs w:val="20"/>
          <w:color w:val="auto"/>
        </w:rPr>
      </w:pPr>
      <w:r>
        <w:rPr>
          <w:rFonts w:ascii="Arial" w:cs="Arial" w:eastAsia="Arial" w:hAnsi="Arial"/>
          <w:sz w:val="15"/>
          <w:szCs w:val="15"/>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31" w:lineRule="exact"/>
        <w:rPr>
          <w:sz w:val="20"/>
          <w:szCs w:val="20"/>
          <w:color w:val="auto"/>
        </w:rPr>
      </w:pPr>
    </w:p>
    <w:p>
      <w:pPr>
        <w:ind w:left="40" w:right="59" w:firstLine="324"/>
        <w:spacing w:after="0" w:line="289" w:lineRule="auto"/>
        <w:rPr>
          <w:sz w:val="20"/>
          <w:szCs w:val="20"/>
          <w:color w:val="auto"/>
        </w:rPr>
      </w:pPr>
      <w:r>
        <w:rPr>
          <w:rFonts w:ascii="Arial" w:cs="Arial" w:eastAsia="Arial" w:hAnsi="Arial"/>
          <w:sz w:val="16"/>
          <w:szCs w:val="16"/>
          <w:color w:val="auto"/>
        </w:rPr>
        <w:t>We sell to customers, including OEMs and ODMs, that incorporate MRAM into their products. A design win occurs after a customer has tested our product, verified that it meets the customer’s requirements and qualified our solutions for their products. We believe we are dependent, among other things, on the adoption of our 256Mb and 1Gb MRAM products by our customers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399"/>
        <w:spacing w:after="0" w:line="277" w:lineRule="auto"/>
        <w:rPr>
          <w:sz w:val="20"/>
          <w:szCs w:val="20"/>
          <w:color w:val="auto"/>
        </w:rPr>
      </w:pPr>
      <w:r>
        <w:rPr>
          <w:rFonts w:ascii="Arial" w:cs="Arial" w:eastAsia="Arial" w:hAnsi="Arial"/>
          <w:sz w:val="18"/>
          <w:szCs w:val="18"/>
          <w:color w:val="auto"/>
        </w:rPr>
        <w:t>product may not be successful. We may not generate any revenue from design wins after incurring the associated costs, which would cause our business and operating results to suffer.</w:t>
      </w:r>
    </w:p>
    <w:p>
      <w:pPr>
        <w:spacing w:after="0" w:line="170" w:lineRule="exact"/>
        <w:rPr>
          <w:sz w:val="20"/>
          <w:szCs w:val="20"/>
          <w:color w:val="auto"/>
        </w:rPr>
      </w:pPr>
    </w:p>
    <w:p>
      <w:pPr>
        <w:ind w:left="40" w:right="79" w:firstLine="324"/>
        <w:spacing w:after="0" w:line="291" w:lineRule="auto"/>
        <w:rPr>
          <w:sz w:val="20"/>
          <w:szCs w:val="20"/>
          <w:color w:val="auto"/>
        </w:rPr>
      </w:pPr>
      <w:r>
        <w:rPr>
          <w:rFonts w:ascii="Arial" w:cs="Arial" w:eastAsia="Arial" w:hAnsi="Arial"/>
          <w:sz w:val="16"/>
          <w:szCs w:val="16"/>
          <w:color w:val="auto"/>
        </w:rPr>
        <w:t>If a current or prospective customer incorporates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166"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70" w:lineRule="exact"/>
        <w:rPr>
          <w:sz w:val="20"/>
          <w:szCs w:val="20"/>
          <w:color w:val="auto"/>
        </w:rPr>
      </w:pPr>
    </w:p>
    <w:p>
      <w:pPr>
        <w:ind w:left="40" w:right="59" w:firstLine="324"/>
        <w:spacing w:after="0" w:line="290" w:lineRule="auto"/>
        <w:rPr>
          <w:sz w:val="20"/>
          <w:szCs w:val="20"/>
          <w:color w:val="auto"/>
        </w:rPr>
      </w:pPr>
      <w:r>
        <w:rPr>
          <w:rFonts w:ascii="Arial" w:cs="Arial" w:eastAsia="Arial" w:hAnsi="Arial"/>
          <w:sz w:val="16"/>
          <w:szCs w:val="16"/>
          <w:color w:val="auto"/>
        </w:rPr>
        <w:t>We have derived and expect to continue to derive a significant portion of our revenues from a small group of customers during any particular period due in part to the concentration of market share in the semiconductor industry. Our largest two end customers accounted for 22% of our total revenue for the three months ended September 30, 2023, and 18% of our total revenue for the nine months ended September 30, 2023. Our largest end customer accounted for 14% of our total revenue for the year ended December 31, 2022.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65" w:lineRule="exact"/>
        <w:rPr>
          <w:sz w:val="20"/>
          <w:szCs w:val="20"/>
          <w:color w:val="auto"/>
        </w:rPr>
      </w:pPr>
    </w:p>
    <w:p>
      <w:pPr>
        <w:ind w:left="40" w:right="539"/>
        <w:spacing w:after="0" w:line="277" w:lineRule="auto"/>
        <w:rPr>
          <w:sz w:val="20"/>
          <w:szCs w:val="20"/>
          <w:color w:val="auto"/>
        </w:rPr>
      </w:pPr>
      <w:r>
        <w:rPr>
          <w:rFonts w:ascii="Arial" w:cs="Arial" w:eastAsia="Arial" w:hAnsi="Arial"/>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70"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revenue, and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Fujitsu, Infineon, Integrated Silicon Solution, Intel, Macronix, Microchip, Micron, Renesas, Samsung, and Toshiba. In addition, as the MRAM market opportunity grows, we expect new entrants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functionality and performance of our products and those of our competitors;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relationships with our customers and other industry participants;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prices of our products and prices of our competitors’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innovative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competitors’ greater resources to make acquisitions;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adequate capital to finance operations;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 and</w:t>
      </w:r>
    </w:p>
    <w:p>
      <w:pPr>
        <w:spacing w:after="0" w:line="225" w:lineRule="exact"/>
        <w:rPr>
          <w:rFonts w:ascii="Arial" w:cs="Arial" w:eastAsia="Arial" w:hAnsi="Arial"/>
          <w:sz w:val="18"/>
          <w:szCs w:val="18"/>
          <w:color w:val="auto"/>
        </w:rPr>
      </w:pPr>
    </w:p>
    <w:p>
      <w:pPr>
        <w:ind w:left="620" w:right="539" w:hanging="252"/>
        <w:spacing w:after="0" w:line="277" w:lineRule="auto"/>
        <w:tabs>
          <w:tab w:leader="none" w:pos="64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actions of our competitors, including merger and acquisition activity, launches of new products and other actions that could change the competitive landscape.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19" w:firstLine="324"/>
        <w:spacing w:after="0" w:line="279" w:lineRule="auto"/>
        <w:rPr>
          <w:sz w:val="20"/>
          <w:szCs w:val="20"/>
          <w:color w:val="auto"/>
        </w:rPr>
      </w:pPr>
      <w:r>
        <w:rPr>
          <w:rFonts w:ascii="Arial" w:cs="Arial" w:eastAsia="Arial" w:hAnsi="Arial"/>
          <w:sz w:val="17"/>
          <w:szCs w:val="17"/>
          <w:color w:val="auto"/>
        </w:rPr>
        <w:t>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71" w:lineRule="exact"/>
        <w:rPr>
          <w:sz w:val="20"/>
          <w:szCs w:val="20"/>
          <w:color w:val="auto"/>
        </w:rPr>
      </w:pPr>
    </w:p>
    <w:p>
      <w:pPr>
        <w:ind w:left="40" w:right="459"/>
        <w:spacing w:after="0" w:line="277" w:lineRule="auto"/>
        <w:rPr>
          <w:sz w:val="20"/>
          <w:szCs w:val="20"/>
          <w:color w:val="auto"/>
        </w:rPr>
      </w:pPr>
      <w:r>
        <w:rPr>
          <w:rFonts w:ascii="Arial" w:cs="Arial" w:eastAsia="Arial" w:hAnsi="Arial"/>
          <w:sz w:val="18"/>
          <w:szCs w:val="18"/>
          <w:b w:val="1"/>
          <w:bCs w:val="1"/>
          <w:i w:val="1"/>
          <w:iCs w:val="1"/>
          <w:color w:val="auto"/>
        </w:rPr>
        <w:t>Our costs may increase substantially if we or our third-party manufacturing contractors do not achieve satisfactory product yields or quality.</w:t>
      </w:r>
    </w:p>
    <w:p>
      <w:pPr>
        <w:spacing w:after="0" w:line="170" w:lineRule="exact"/>
        <w:rPr>
          <w:sz w:val="20"/>
          <w:szCs w:val="20"/>
          <w:color w:val="auto"/>
        </w:rPr>
      </w:pPr>
    </w:p>
    <w:p>
      <w:pPr>
        <w:ind w:left="40" w:right="139" w:firstLine="324"/>
        <w:spacing w:after="0" w:line="255" w:lineRule="auto"/>
        <w:rPr>
          <w:sz w:val="20"/>
          <w:szCs w:val="20"/>
          <w:color w:val="auto"/>
        </w:rPr>
      </w:pPr>
      <w:r>
        <w:rPr>
          <w:rFonts w:ascii="Arial" w:cs="Arial" w:eastAsia="Arial" w:hAnsi="Arial"/>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92" w:lineRule="exact"/>
        <w:rPr>
          <w:sz w:val="20"/>
          <w:szCs w:val="20"/>
          <w:color w:val="auto"/>
        </w:rPr>
      </w:pPr>
    </w:p>
    <w:p>
      <w:pPr>
        <w:ind w:left="40" w:right="159" w:firstLine="324"/>
        <w:spacing w:after="0" w:line="269" w:lineRule="auto"/>
        <w:rPr>
          <w:sz w:val="20"/>
          <w:szCs w:val="20"/>
          <w:color w:val="auto"/>
        </w:rPr>
      </w:pPr>
      <w:r>
        <w:rPr>
          <w:rFonts w:ascii="Arial" w:cs="Arial" w:eastAsia="Arial" w:hAnsi="Arial"/>
          <w:sz w:val="17"/>
          <w:szCs w:val="17"/>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may also increase our costs and reduce our gross margin. In addition to significantly harming our results of operations and cash flow, poor yields may delay shipment of our products and harm our relationships with existing and potential customers.</w:t>
      </w:r>
    </w:p>
    <w:p>
      <w:pPr>
        <w:spacing w:after="0" w:line="182"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b w:val="1"/>
          <w:bCs w:val="1"/>
          <w:i w:val="1"/>
          <w:iCs w:val="1"/>
          <w:color w:val="auto"/>
        </w:rPr>
        <w:t>The complexity of our products may lead to defects, which could negatively impact our reputation with customers and result in liability.</w:t>
      </w:r>
    </w:p>
    <w:p>
      <w:pPr>
        <w:spacing w:after="0" w:line="170" w:lineRule="exact"/>
        <w:rPr>
          <w:sz w:val="20"/>
          <w:szCs w:val="20"/>
          <w:color w:val="auto"/>
        </w:rPr>
      </w:pPr>
    </w:p>
    <w:p>
      <w:pPr>
        <w:ind w:left="40" w:right="239" w:firstLine="324"/>
        <w:spacing w:after="0" w:line="290" w:lineRule="auto"/>
        <w:rPr>
          <w:sz w:val="20"/>
          <w:szCs w:val="20"/>
          <w:color w:val="auto"/>
        </w:rPr>
      </w:pPr>
      <w:r>
        <w:rPr>
          <w:rFonts w:ascii="Arial" w:cs="Arial" w:eastAsia="Arial" w:hAnsi="Arial"/>
          <w:sz w:val="16"/>
          <w:szCs w:val="16"/>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our stockholders that problems will not be found in new products, both before and after commencement of commercial production, despite testing by us, our suppliers, or our customers. For example, any such problems could result in:</w:t>
      </w:r>
    </w:p>
    <w:p>
      <w:pPr>
        <w:spacing w:after="0" w:line="165" w:lineRule="exact"/>
        <w:rPr>
          <w:sz w:val="20"/>
          <w:szCs w:val="20"/>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development, manufacture and roll-out of new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 development costs;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or delays in, market acceptance;</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technical and other resources from our other development efforts;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for damages by our customers or others against us;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credibility with our current and prospective customers.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Any such event could have a material adverse effect on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399"/>
        <w:spacing w:after="0" w:line="263"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84" w:lineRule="exact"/>
        <w:rPr>
          <w:sz w:val="20"/>
          <w:szCs w:val="20"/>
          <w:color w:val="auto"/>
        </w:rPr>
      </w:pPr>
    </w:p>
    <w:p>
      <w:pPr>
        <w:ind w:left="40" w:right="59" w:firstLine="324"/>
        <w:spacing w:after="0" w:line="301" w:lineRule="auto"/>
        <w:rPr>
          <w:sz w:val="20"/>
          <w:szCs w:val="20"/>
          <w:color w:val="auto"/>
        </w:rPr>
      </w:pPr>
      <w:r>
        <w:rPr>
          <w:rFonts w:ascii="Arial" w:cs="Arial" w:eastAsia="Arial" w:hAnsi="Arial"/>
          <w:sz w:val="16"/>
          <w:szCs w:val="16"/>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w:t>
      </w:r>
    </w:p>
    <w:p>
      <w:pPr>
        <w:spacing w:after="0" w:line="157"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For example, 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w:t>
      </w:r>
    </w:p>
    <w:p>
      <w:pPr>
        <w:spacing w:after="0" w:line="187" w:lineRule="exact"/>
        <w:rPr>
          <w:sz w:val="20"/>
          <w:szCs w:val="20"/>
          <w:color w:val="auto"/>
        </w:rPr>
      </w:pPr>
    </w:p>
    <w:p>
      <w:pPr>
        <w:ind w:left="40" w:right="99" w:firstLine="324"/>
        <w:spacing w:after="0" w:line="272" w:lineRule="auto"/>
        <w:rPr>
          <w:sz w:val="20"/>
          <w:szCs w:val="20"/>
          <w:color w:val="auto"/>
        </w:rPr>
      </w:pPr>
      <w:r>
        <w:rPr>
          <w:rFonts w:ascii="Arial" w:cs="Arial" w:eastAsia="Arial" w:hAnsi="Arial"/>
          <w:sz w:val="17"/>
          <w:szCs w:val="17"/>
          <w:color w:val="auto"/>
        </w:rPr>
        <w:t>We may face difficulties, delays, and increased expense as we transition our products to new processes, and potentially to new foundries. We will depend on our third-party foundries as we transition to new processes. We cannot assure our stockholders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77"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70" w:lineRule="exact"/>
        <w:rPr>
          <w:sz w:val="20"/>
          <w:szCs w:val="20"/>
          <w:color w:val="auto"/>
        </w:rPr>
      </w:pPr>
    </w:p>
    <w:p>
      <w:pPr>
        <w:ind w:left="40" w:right="59" w:firstLine="324"/>
        <w:spacing w:after="0" w:line="253" w:lineRule="auto"/>
        <w:rPr>
          <w:sz w:val="20"/>
          <w:szCs w:val="20"/>
          <w:color w:val="auto"/>
        </w:rPr>
      </w:pPr>
      <w:r>
        <w:rPr>
          <w:rFonts w:ascii="Arial" w:cs="Arial" w:eastAsia="Arial" w:hAnsi="Arial"/>
          <w:sz w:val="18"/>
          <w:szCs w:val="18"/>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96" w:lineRule="exact"/>
        <w:rPr>
          <w:sz w:val="20"/>
          <w:szCs w:val="20"/>
          <w:color w:val="auto"/>
        </w:rPr>
      </w:pPr>
    </w:p>
    <w:p>
      <w:pPr>
        <w:ind w:left="40" w:right="59" w:firstLine="324"/>
        <w:spacing w:after="0" w:line="289" w:lineRule="auto"/>
        <w:rPr>
          <w:sz w:val="20"/>
          <w:szCs w:val="20"/>
          <w:color w:val="auto"/>
        </w:rPr>
      </w:pPr>
      <w:r>
        <w:rPr>
          <w:rFonts w:ascii="Arial" w:cs="Arial" w:eastAsia="Arial" w:hAnsi="Arial"/>
          <w:sz w:val="16"/>
          <w:szCs w:val="16"/>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data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66"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70" w:lineRule="exact"/>
        <w:rPr>
          <w:sz w:val="20"/>
          <w:szCs w:val="20"/>
          <w:color w:val="auto"/>
        </w:rPr>
      </w:pPr>
    </w:p>
    <w:p>
      <w:pPr>
        <w:ind w:left="40" w:right="99" w:firstLine="324"/>
        <w:spacing w:after="0" w:line="290" w:lineRule="auto"/>
        <w:rPr>
          <w:sz w:val="20"/>
          <w:szCs w:val="20"/>
          <w:color w:val="auto"/>
        </w:rPr>
      </w:pPr>
      <w:r>
        <w:rPr>
          <w:rFonts w:ascii="Arial" w:cs="Arial" w:eastAsia="Arial" w:hAnsi="Arial"/>
          <w:sz w:val="16"/>
          <w:szCs w:val="16"/>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our key employees are at-will. If we lose the services of any key senior management member or employee, we may not be able to locate suitable or qualified replacements, and may incur additional expenses to recruit and train new</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59"/>
        <w:spacing w:after="0" w:line="263" w:lineRule="auto"/>
        <w:rPr>
          <w:sz w:val="20"/>
          <w:szCs w:val="20"/>
          <w:color w:val="auto"/>
        </w:rPr>
      </w:pPr>
      <w:r>
        <w:rPr>
          <w:rFonts w:ascii="Arial" w:cs="Arial" w:eastAsia="Arial" w:hAnsi="Arial"/>
          <w:sz w:val="18"/>
          <w:szCs w:val="18"/>
          <w:color w:val="auto"/>
        </w:rPr>
        <w:t>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84"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b w:val="1"/>
          <w:bCs w:val="1"/>
          <w:i w:val="1"/>
          <w:iCs w:val="1"/>
          <w:color w:val="auto"/>
        </w:rPr>
        <w:t>We currently maintain and are seeking to expand operations outside of the United States which exposes us to significant risks.</w:t>
      </w:r>
    </w:p>
    <w:p>
      <w:pPr>
        <w:spacing w:after="0" w:line="170" w:lineRule="exact"/>
        <w:rPr>
          <w:sz w:val="20"/>
          <w:szCs w:val="20"/>
          <w:color w:val="auto"/>
        </w:rPr>
      </w:pPr>
    </w:p>
    <w:p>
      <w:pPr>
        <w:ind w:left="40" w:right="59" w:firstLine="324"/>
        <w:spacing w:after="0" w:line="254" w:lineRule="auto"/>
        <w:rPr>
          <w:sz w:val="20"/>
          <w:szCs w:val="20"/>
          <w:color w:val="auto"/>
        </w:rPr>
      </w:pPr>
      <w:r>
        <w:rPr>
          <w:rFonts w:ascii="Arial" w:cs="Arial" w:eastAsia="Arial" w:hAnsi="Arial"/>
          <w:sz w:val="18"/>
          <w:szCs w:val="18"/>
          <w:color w:val="auto"/>
        </w:rPr>
        <w:t>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The success and profitability, as well as the expansion, of our international operations are subject to numerous risks and uncertainties, many of which are outside of our control, such as the following:</w:t>
      </w:r>
    </w:p>
    <w:p>
      <w:pPr>
        <w:spacing w:after="0" w:line="192" w:lineRule="exact"/>
        <w:rPr>
          <w:sz w:val="20"/>
          <w:szCs w:val="20"/>
          <w:color w:val="auto"/>
        </w:rPr>
      </w:pPr>
    </w:p>
    <w:p>
      <w:pPr>
        <w:ind w:left="620" w:right="139" w:hanging="252"/>
        <w:spacing w:after="0" w:line="342" w:lineRule="auto"/>
        <w:tabs>
          <w:tab w:leader="none" w:pos="65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public health issues, such as COVID-19, which can result in varying impacts to our business, employees, partners, customers, distributors or suppliers internationally as discussed elsewhere in this “Risk Factors” section;</w:t>
      </w:r>
    </w:p>
    <w:p>
      <w:pPr>
        <w:spacing w:after="0" w:line="123" w:lineRule="exact"/>
        <w:rPr>
          <w:rFonts w:ascii="Arial" w:cs="Arial" w:eastAsia="Arial" w:hAnsi="Arial"/>
          <w:sz w:val="16"/>
          <w:szCs w:val="16"/>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inefficiencies and costs associated with staffing and managing foreign operations;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and more difficult customer qualification and credit checks;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need for various local approvals to operate in some countries;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entering some foreign markets without larger-scale local operations;</w:t>
      </w:r>
    </w:p>
    <w:p>
      <w:pPr>
        <w:spacing w:after="0" w:line="225" w:lineRule="exact"/>
        <w:rPr>
          <w:rFonts w:ascii="Arial" w:cs="Arial" w:eastAsia="Arial" w:hAnsi="Arial"/>
          <w:sz w:val="18"/>
          <w:szCs w:val="18"/>
          <w:color w:val="auto"/>
        </w:rPr>
      </w:pPr>
    </w:p>
    <w:p>
      <w:pPr>
        <w:ind w:left="620" w:right="579" w:hanging="252"/>
        <w:spacing w:after="0" w:line="277" w:lineRule="auto"/>
        <w:tabs>
          <w:tab w:leader="none" w:pos="6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import/export laws, trade restrictions, regulations and customs and duties and tariffs (foreign and domestic);</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local laws and regulations;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regulatory requirements, including the elimination of tax holidays;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adverse tax consequences as a result of repatriating cash generated from foreign operations to the United States;</w:t>
      </w:r>
    </w:p>
    <w:p>
      <w:pPr>
        <w:spacing w:after="0" w:line="248" w:lineRule="exact"/>
        <w:rPr>
          <w:rFonts w:ascii="Arial" w:cs="Arial" w:eastAsia="Arial" w:hAnsi="Arial"/>
          <w:sz w:val="16"/>
          <w:szCs w:val="16"/>
          <w:color w:val="auto"/>
        </w:rPr>
      </w:pPr>
    </w:p>
    <w:p>
      <w:pPr>
        <w:ind w:left="620" w:right="519" w:hanging="252"/>
        <w:spacing w:after="0" w:line="277" w:lineRule="auto"/>
        <w:tabs>
          <w:tab w:leader="none" w:pos="6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tax consequences, including potential additional tax exposure if we are deemed to have established a permanent establishment outside of the United States;</w:t>
      </w:r>
    </w:p>
    <w:p>
      <w:pPr>
        <w:spacing w:after="0" w:line="170" w:lineRule="exact"/>
        <w:rPr>
          <w:rFonts w:ascii="Arial" w:cs="Arial" w:eastAsia="Arial" w:hAnsi="Arial"/>
          <w:sz w:val="18"/>
          <w:szCs w:val="18"/>
          <w:color w:val="auto"/>
        </w:rPr>
      </w:pPr>
    </w:p>
    <w:p>
      <w:pPr>
        <w:ind w:left="620" w:right="139" w:hanging="252"/>
        <w:spacing w:after="0" w:line="277" w:lineRule="auto"/>
        <w:tabs>
          <w:tab w:leader="none" w:pos="6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policies and procedures designed to ensure compliance with the Foreign Corrupt Practices Act of 1977 and similar regulations;</w:t>
      </w:r>
    </w:p>
    <w:p>
      <w:pPr>
        <w:spacing w:after="0" w:line="170" w:lineRule="exact"/>
        <w:rPr>
          <w:rFonts w:ascii="Arial" w:cs="Arial" w:eastAsia="Arial" w:hAnsi="Arial"/>
          <w:sz w:val="18"/>
          <w:szCs w:val="18"/>
          <w:color w:val="auto"/>
        </w:rPr>
      </w:pPr>
    </w:p>
    <w:p>
      <w:pPr>
        <w:ind w:left="620" w:right="119" w:hanging="252"/>
        <w:spacing w:after="0" w:line="259" w:lineRule="auto"/>
        <w:tabs>
          <w:tab w:leader="none" w:pos="6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86"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economic, and social instability;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right="379" w:hanging="252"/>
        <w:spacing w:after="0" w:line="277" w:lineRule="auto"/>
        <w:tabs>
          <w:tab w:leader="none" w:pos="6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terrorism and acts of war, such as the military conflict in Ukraine, which could have a negative impact on sales throughout Europe and Asia; and</w:t>
      </w:r>
    </w:p>
    <w:p>
      <w:pPr>
        <w:spacing w:after="0" w:line="170" w:lineRule="exact"/>
        <w:rPr>
          <w:rFonts w:ascii="Arial" w:cs="Arial" w:eastAsia="Arial" w:hAnsi="Arial"/>
          <w:sz w:val="18"/>
          <w:szCs w:val="18"/>
          <w:color w:val="auto"/>
        </w:rPr>
      </w:pPr>
    </w:p>
    <w:p>
      <w:pPr>
        <w:ind w:left="620" w:right="439" w:hanging="252"/>
        <w:spacing w:after="0" w:line="277" w:lineRule="auto"/>
        <w:tabs>
          <w:tab w:leader="none" w:pos="6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Department of Commerce regulations or restrictions on exports of certain semiconductor technologies and equipment to China.</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failure to manage any of these risks successfully could harm our operations and reduce our revenue.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Our Intellectual Property and Technology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w:t>
      </w:r>
    </w:p>
    <w:p>
      <w:pPr>
        <w:spacing w:after="0" w:line="225"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72" w:lineRule="exact"/>
        <w:rPr>
          <w:sz w:val="20"/>
          <w:szCs w:val="20"/>
          <w:color w:val="auto"/>
        </w:rPr>
      </w:pPr>
    </w:p>
    <w:p>
      <w:pPr>
        <w:jc w:val="both"/>
        <w:ind w:left="40" w:right="259" w:firstLine="324"/>
        <w:spacing w:after="0" w:line="296" w:lineRule="auto"/>
        <w:rPr>
          <w:sz w:val="20"/>
          <w:szCs w:val="20"/>
          <w:color w:val="auto"/>
        </w:rPr>
      </w:pPr>
      <w:r>
        <w:rPr>
          <w:rFonts w:ascii="Arial" w:cs="Arial" w:eastAsia="Arial" w:hAnsi="Arial"/>
          <w:sz w:val="16"/>
          <w:szCs w:val="16"/>
          <w:color w:val="auto"/>
        </w:rPr>
        <w:t>In addition to patents, we also rely on contractual protections with our customers, suppliers, distributors, employees, and consultants, and we implement security measures designed to protect our trade secrets and know-how. However, we cannot assure our stockholders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61"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66" w:lineRule="exact"/>
        <w:rPr>
          <w:sz w:val="20"/>
          <w:szCs w:val="20"/>
          <w:color w:val="auto"/>
        </w:rPr>
      </w:pPr>
    </w:p>
    <w:p>
      <w:pPr>
        <w:ind w:left="40" w:right="399"/>
        <w:spacing w:after="0" w:line="311" w:lineRule="auto"/>
        <w:rPr>
          <w:sz w:val="20"/>
          <w:szCs w:val="20"/>
          <w:color w:val="auto"/>
        </w:rPr>
      </w:pPr>
      <w:r>
        <w:rPr>
          <w:rFonts w:ascii="Arial" w:cs="Arial" w:eastAsia="Arial" w:hAnsi="Arial"/>
          <w:sz w:val="16"/>
          <w:szCs w:val="16"/>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49" w:lineRule="exact"/>
        <w:rPr>
          <w:sz w:val="20"/>
          <w:szCs w:val="20"/>
          <w:color w:val="auto"/>
        </w:rPr>
      </w:pPr>
    </w:p>
    <w:p>
      <w:pPr>
        <w:ind w:left="40" w:right="139" w:firstLine="324"/>
        <w:spacing w:after="0" w:line="255" w:lineRule="auto"/>
        <w:rPr>
          <w:sz w:val="20"/>
          <w:szCs w:val="20"/>
          <w:color w:val="auto"/>
        </w:rPr>
      </w:pPr>
      <w:r>
        <w:rPr>
          <w:rFonts w:ascii="Arial" w:cs="Arial" w:eastAsia="Arial" w:hAnsi="Arial"/>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92" w:lineRule="exact"/>
        <w:rPr>
          <w:sz w:val="20"/>
          <w:szCs w:val="20"/>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the manufacture, use or sale of the infringing products, processes or technology;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damages for infringement;</w:t>
      </w:r>
    </w:p>
    <w:p>
      <w:pPr>
        <w:spacing w:after="0" w:line="225" w:lineRule="exact"/>
        <w:rPr>
          <w:rFonts w:ascii="Arial" w:cs="Arial" w:eastAsia="Arial" w:hAnsi="Arial"/>
          <w:sz w:val="18"/>
          <w:szCs w:val="18"/>
          <w:color w:val="auto"/>
        </w:rPr>
      </w:pPr>
    </w:p>
    <w:p>
      <w:pPr>
        <w:ind w:left="620" w:right="579" w:hanging="252"/>
        <w:spacing w:after="0" w:line="277" w:lineRule="auto"/>
        <w:tabs>
          <w:tab w:leader="none" w:pos="6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70" w:lineRule="exact"/>
        <w:rPr>
          <w:rFonts w:ascii="Arial" w:cs="Arial" w:eastAsia="Arial" w:hAnsi="Arial"/>
          <w:sz w:val="18"/>
          <w:szCs w:val="18"/>
          <w:color w:val="auto"/>
        </w:rPr>
      </w:pPr>
    </w:p>
    <w:p>
      <w:pPr>
        <w:ind w:left="620" w:right="1059" w:hanging="252"/>
        <w:spacing w:after="0" w:line="277" w:lineRule="auto"/>
        <w:tabs>
          <w:tab w:leader="none" w:pos="6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170" w:lineRule="exact"/>
        <w:rPr>
          <w:rFonts w:ascii="Arial" w:cs="Arial" w:eastAsia="Arial" w:hAnsi="Arial"/>
          <w:sz w:val="18"/>
          <w:szCs w:val="18"/>
          <w:color w:val="auto"/>
        </w:rPr>
      </w:pPr>
    </w:p>
    <w:p>
      <w:pPr>
        <w:ind w:left="620" w:right="239" w:hanging="252"/>
        <w:spacing w:after="0" w:line="277" w:lineRule="auto"/>
        <w:tabs>
          <w:tab w:leader="none" w:pos="6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 or</w:t>
      </w:r>
    </w:p>
    <w:p>
      <w:pPr>
        <w:spacing w:after="0" w:line="170" w:lineRule="exact"/>
        <w:rPr>
          <w:rFonts w:ascii="Arial" w:cs="Arial" w:eastAsia="Arial" w:hAnsi="Arial"/>
          <w:sz w:val="18"/>
          <w:szCs w:val="18"/>
          <w:color w:val="auto"/>
        </w:rPr>
      </w:pPr>
    </w:p>
    <w:p>
      <w:pPr>
        <w:ind w:left="620" w:right="379" w:hanging="252"/>
        <w:spacing w:after="0" w:line="277" w:lineRule="auto"/>
        <w:tabs>
          <w:tab w:leader="none" w:pos="6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damages to our customers to discontinue their use of or to replace infringing technology sold to them with non-infringing technology, if available.</w:t>
      </w:r>
    </w:p>
    <w:p>
      <w:pPr>
        <w:spacing w:after="0" w:line="170"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92" w:lineRule="exact"/>
        <w:rPr>
          <w:sz w:val="20"/>
          <w:szCs w:val="20"/>
          <w:color w:val="auto"/>
        </w:rPr>
      </w:pPr>
    </w:p>
    <w:p>
      <w:pPr>
        <w:ind w:left="40" w:right="439"/>
        <w:spacing w:after="0" w:line="277" w:lineRule="auto"/>
        <w:rPr>
          <w:sz w:val="20"/>
          <w:szCs w:val="20"/>
          <w:color w:val="auto"/>
        </w:rPr>
      </w:pPr>
      <w:r>
        <w:rPr>
          <w:rFonts w:ascii="Arial" w:cs="Arial" w:eastAsia="Arial" w:hAnsi="Arial"/>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70" w:lineRule="exact"/>
        <w:rPr>
          <w:sz w:val="20"/>
          <w:szCs w:val="20"/>
          <w:color w:val="auto"/>
        </w:rPr>
      </w:pPr>
    </w:p>
    <w:p>
      <w:pPr>
        <w:ind w:left="40" w:right="59" w:firstLine="324"/>
        <w:spacing w:after="0" w:line="277" w:lineRule="auto"/>
        <w:rPr>
          <w:sz w:val="20"/>
          <w:szCs w:val="20"/>
          <w:color w:val="auto"/>
        </w:rPr>
      </w:pPr>
      <w:r>
        <w:rPr>
          <w:rFonts w:ascii="Arial" w:cs="Arial" w:eastAsia="Arial" w:hAnsi="Arial"/>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70"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7"/>
          <w:szCs w:val="17"/>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Interruptions in our information technology systems could adversely affect our business.</w:t>
      </w:r>
    </w:p>
    <w:p>
      <w:pPr>
        <w:spacing w:after="0" w:line="225" w:lineRule="exact"/>
        <w:rPr>
          <w:sz w:val="20"/>
          <w:szCs w:val="20"/>
          <w:color w:val="auto"/>
        </w:rPr>
      </w:pPr>
    </w:p>
    <w:p>
      <w:pPr>
        <w:ind w:left="40" w:right="159" w:firstLine="324"/>
        <w:spacing w:after="0" w:line="269"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79" w:firstLine="324"/>
        <w:spacing w:after="0" w:line="275" w:lineRule="auto"/>
        <w:rPr>
          <w:sz w:val="20"/>
          <w:szCs w:val="20"/>
          <w:color w:val="auto"/>
        </w:rPr>
      </w:pPr>
      <w:r>
        <w:rPr>
          <w:rFonts w:ascii="Arial" w:cs="Arial" w:eastAsia="Arial" w:hAnsi="Arial"/>
          <w:sz w:val="17"/>
          <w:szCs w:val="17"/>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76" w:lineRule="exact"/>
        <w:rPr>
          <w:sz w:val="20"/>
          <w:szCs w:val="20"/>
          <w:color w:val="auto"/>
        </w:rPr>
      </w:pPr>
    </w:p>
    <w:p>
      <w:pPr>
        <w:ind w:left="40" w:right="299" w:firstLine="324"/>
        <w:spacing w:after="0" w:line="257" w:lineRule="auto"/>
        <w:rPr>
          <w:sz w:val="20"/>
          <w:szCs w:val="20"/>
          <w:color w:val="auto"/>
        </w:rPr>
      </w:pPr>
      <w:r>
        <w:rPr>
          <w:rFonts w:ascii="Arial" w:cs="Arial" w:eastAsia="Arial" w:hAnsi="Arial"/>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Regulatory Matters and Compliance</w:t>
      </w:r>
    </w:p>
    <w:p>
      <w:pPr>
        <w:spacing w:after="0" w:line="229"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84"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74" w:lineRule="exact"/>
        <w:rPr>
          <w:sz w:val="20"/>
          <w:szCs w:val="20"/>
          <w:color w:val="auto"/>
        </w:rPr>
      </w:pPr>
    </w:p>
    <w:p>
      <w:pPr>
        <w:ind w:left="40" w:right="159" w:firstLine="324"/>
        <w:spacing w:after="0" w:line="301" w:lineRule="auto"/>
        <w:rPr>
          <w:sz w:val="20"/>
          <w:szCs w:val="20"/>
          <w:color w:val="auto"/>
        </w:rPr>
      </w:pPr>
      <w:r>
        <w:rPr>
          <w:rFonts w:ascii="Arial" w:cs="Arial" w:eastAsia="Arial" w:hAnsi="Arial"/>
          <w:sz w:val="16"/>
          <w:szCs w:val="16"/>
          <w:color w:val="auto"/>
        </w:rPr>
        <w:t>Increasing public attention has been focused on the environmental impact of electronic manufacturing operations. While we have not experienced any materially adverse effects on our operations from recently adopted environmental regulations, our business and results of operations could suffer if for any reason we fail to control the storage or use of, or to adequately restrict the discharge or disposal of, hazardous substances under present or future environmental regulations.</w:t>
      </w:r>
    </w:p>
    <w:p>
      <w:pPr>
        <w:spacing w:after="0" w:line="157"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Pursuant to the Dodd-Frank Wall Street Reform and Consumer Protection Act, the SEC has adopted requirements for companies that use certain minerals and metals, known as conflict minerals, in their products, whether or not these products are manufactured by third parties. These requirements require companies to perform diligence and disclose and report whether or not such minerals originate from the Democratic Republic of Congo and adjoining countries.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incur additional costs in complying with the disclosure requirements, including costs related to determining the source of any of the relevant minerals and metals used in our products. Since our supply chain is complex, we have not been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237" w:lineRule="exact"/>
        <w:rPr>
          <w:sz w:val="20"/>
          <w:szCs w:val="20"/>
          <w:color w:val="auto"/>
        </w:rPr>
      </w:pPr>
    </w:p>
    <w:p>
      <w:pPr>
        <w:ind w:left="40" w:right="119" w:firstLine="324"/>
        <w:spacing w:after="0" w:line="268" w:lineRule="auto"/>
        <w:rPr>
          <w:sz w:val="20"/>
          <w:szCs w:val="20"/>
          <w:color w:val="auto"/>
        </w:rPr>
      </w:pPr>
      <w:r>
        <w:rPr>
          <w:rFonts w:ascii="Arial" w:cs="Arial" w:eastAsia="Arial" w:hAnsi="Arial"/>
          <w:sz w:val="17"/>
          <w:szCs w:val="17"/>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2022, we had gross federal net operating loss carryforwards of approximately $119.9 million, of which $79.1 million will expire in 2028 through 2037 if not utilized, and $40.8 million will carryover indefinitely. As of December 31, 2022, we had state net operating loss carryforwards of approximately $50.3 million, of which $47.5 million will expire in 2028 through 2042 if not utilized, and $2.8 million will carryover indefinitely. The federal NOLs generated prior to 2018 will continue to be governed by the NOL tax rules as they existed prior to the adoption of the 2017 Tax Cuts and Jobs Act (2017 Tax Act), which means that generally they will expire 20 years after they were generated if not used prior thereto. The 2017 Tax Act repealed the 20-year carryforward and two-year carryback of NOLs originating after December 31, 2017, and also limits the NOL deduction to 80% of taxable income for tax years beginning after December 31, 2017. Any NOLs generated in 2018 and forward will be carried forward and will not expire. There is no current impact to us as we continue to be in a loss position for U.S. income tax purposes. Future changes in our stock ownership, many of which are outside of our control, could result in an ownership change under Section 382 of the Code. The ability to utilize our net operating losses and tax credits could also be impaired under state law. As a result, we might not be able to utilize a material portion of our state NOLs and tax credits.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w:t>
      </w:r>
    </w:p>
    <w:p>
      <w:pPr>
        <w:spacing w:after="0" w:line="225" w:lineRule="exact"/>
        <w:rPr>
          <w:sz w:val="20"/>
          <w:szCs w:val="20"/>
          <w:color w:val="auto"/>
        </w:rPr>
      </w:pPr>
    </w:p>
    <w:p>
      <w:pPr>
        <w:ind w:left="40" w:right="519" w:firstLine="324"/>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70" w:lineRule="exact"/>
        <w:rPr>
          <w:sz w:val="20"/>
          <w:szCs w:val="20"/>
          <w:color w:val="auto"/>
        </w:rPr>
      </w:pPr>
    </w:p>
    <w:p>
      <w:pPr>
        <w:ind w:left="620" w:right="339" w:hanging="252"/>
        <w:spacing w:after="0" w:line="277" w:lineRule="auto"/>
        <w:tabs>
          <w:tab w:leader="none" w:pos="6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duration and severity of COVID-19 and its effects on our business, financial condition, results of operations and cash flows;</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introduction of new products or product enhancements by us or others in our industry;</w:t>
      </w:r>
    </w:p>
    <w:p>
      <w:pPr>
        <w:spacing w:after="0" w:line="225" w:lineRule="exact"/>
        <w:rPr>
          <w:rFonts w:ascii="Arial" w:cs="Arial" w:eastAsia="Arial" w:hAnsi="Arial"/>
          <w:sz w:val="18"/>
          <w:szCs w:val="18"/>
          <w:color w:val="auto"/>
        </w:rPr>
      </w:pPr>
    </w:p>
    <w:p>
      <w:pPr>
        <w:ind w:left="620" w:right="259" w:hanging="252"/>
        <w:spacing w:after="0" w:line="277" w:lineRule="auto"/>
        <w:tabs>
          <w:tab w:leader="none" w:pos="6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capital commitments or restructurings;</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others in our industry;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and directors;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and</w:t>
      </w:r>
    </w:p>
    <w:p>
      <w:pPr>
        <w:spacing w:after="0" w:line="225" w:lineRule="exact"/>
        <w:rPr>
          <w:rFonts w:ascii="Arial" w:cs="Arial" w:eastAsia="Arial" w:hAnsi="Arial"/>
          <w:sz w:val="18"/>
          <w:szCs w:val="18"/>
          <w:color w:val="auto"/>
        </w:rPr>
      </w:pPr>
    </w:p>
    <w:p>
      <w:pPr>
        <w:ind w:left="620" w:right="259" w:hanging="252"/>
        <w:spacing w:after="0" w:line="263" w:lineRule="auto"/>
        <w:tabs>
          <w:tab w:leader="none" w:pos="6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 including those due to the duration and severity of COVID-19 and the military conflict in Ukraine.</w:t>
      </w:r>
    </w:p>
    <w:p>
      <w:pPr>
        <w:spacing w:after="0" w:line="184"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8"/>
          <w:szCs w:val="18"/>
          <w:color w:val="auto"/>
        </w:rPr>
        <w:t>Stock markets generally have experienced extreme price and volume fluctuations that have often been unrelated or disproportionate to the operating performance of those companies. Further, the semiconductor memory industry is highly cyclical, and our markets may experience significant cyclical fluctuations in demand as a result of changing economic conditions, budgeting and buying patterns of customers and other factors. Fluctuations in our revenue and operating results could also cause our stock price to decline.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379" w:firstLine="324"/>
        <w:spacing w:after="0" w:line="257"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and other factors may make the price of our stock volatile and subject to unexpected fluctuation.</w:t>
      </w:r>
    </w:p>
    <w:p>
      <w:pPr>
        <w:spacing w:after="0" w:line="225" w:lineRule="exact"/>
        <w:rPr>
          <w:sz w:val="20"/>
          <w:szCs w:val="20"/>
          <w:color w:val="auto"/>
        </w:rPr>
      </w:pPr>
    </w:p>
    <w:p>
      <w:pPr>
        <w:ind w:left="40" w:right="179"/>
        <w:spacing w:after="0" w:line="30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46" w:lineRule="exact"/>
        <w:rPr>
          <w:sz w:val="20"/>
          <w:szCs w:val="20"/>
          <w:color w:val="auto"/>
        </w:rPr>
      </w:pPr>
    </w:p>
    <w:p>
      <w:pPr>
        <w:ind w:left="40" w:right="99" w:firstLine="324"/>
        <w:spacing w:after="0" w:line="270"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1" w:lineRule="exact"/>
        <w:rPr>
          <w:sz w:val="20"/>
          <w:szCs w:val="20"/>
          <w:color w:val="auto"/>
        </w:rPr>
      </w:pPr>
    </w:p>
    <w:p>
      <w:pPr>
        <w:ind w:left="620" w:right="139" w:hanging="252"/>
        <w:spacing w:after="0" w:line="263"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3" w:lineRule="exact"/>
        <w:rPr>
          <w:rFonts w:ascii="Arial" w:cs="Arial" w:eastAsia="Arial" w:hAnsi="Arial"/>
          <w:sz w:val="18"/>
          <w:szCs w:val="18"/>
          <w:color w:val="auto"/>
        </w:rPr>
      </w:pPr>
    </w:p>
    <w:p>
      <w:pPr>
        <w:ind w:left="620" w:right="179" w:hanging="252"/>
        <w:spacing w:after="0" w:line="257"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pursuant to a resolution adopted by a majority of the total number of authorized directors, the chairman of the board or the chief executive officer;</w:t>
      </w:r>
    </w:p>
    <w:p>
      <w:pPr>
        <w:spacing w:after="0" w:line="187" w:lineRule="exact"/>
        <w:rPr>
          <w:rFonts w:ascii="Arial" w:cs="Arial" w:eastAsia="Arial" w:hAnsi="Arial"/>
          <w:sz w:val="18"/>
          <w:szCs w:val="18"/>
          <w:color w:val="auto"/>
        </w:rPr>
      </w:pPr>
    </w:p>
    <w:p>
      <w:pPr>
        <w:ind w:left="620" w:right="539" w:hanging="252"/>
        <w:spacing w:after="0" w:line="277"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prohibits cumulative voting in the election of directors, which limits the ability of minority stockholders to elect director candidates;</w:t>
      </w:r>
    </w:p>
    <w:p>
      <w:pPr>
        <w:spacing w:after="0" w:line="170" w:lineRule="exact"/>
        <w:rPr>
          <w:rFonts w:ascii="Arial" w:cs="Arial" w:eastAsia="Arial" w:hAnsi="Arial"/>
          <w:sz w:val="18"/>
          <w:szCs w:val="18"/>
          <w:color w:val="auto"/>
        </w:rPr>
      </w:pPr>
    </w:p>
    <w:p>
      <w:pPr>
        <w:ind w:left="620" w:right="179" w:hanging="252"/>
        <w:spacing w:after="0" w:line="257"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special meetings, actions by written consent and cumulative voting and (b) to amend or repeal our amended and restated bylaws, although such bylaws may be amended by a simple majority vote of our board of directors;</w:t>
      </w:r>
    </w:p>
    <w:p>
      <w:pPr>
        <w:spacing w:after="0" w:line="187" w:lineRule="exact"/>
        <w:rPr>
          <w:rFonts w:ascii="Arial" w:cs="Arial" w:eastAsia="Arial" w:hAnsi="Arial"/>
          <w:sz w:val="18"/>
          <w:szCs w:val="18"/>
          <w:color w:val="auto"/>
        </w:rPr>
      </w:pPr>
    </w:p>
    <w:p>
      <w:pPr>
        <w:ind w:left="620" w:right="219" w:hanging="252"/>
        <w:spacing w:after="0" w:line="279" w:lineRule="auto"/>
        <w:tabs>
          <w:tab w:leader="none" w:pos="649"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71" w:lineRule="exact"/>
        <w:rPr>
          <w:rFonts w:ascii="Arial" w:cs="Arial" w:eastAsia="Arial" w:hAnsi="Arial"/>
          <w:sz w:val="17"/>
          <w:szCs w:val="17"/>
          <w:color w:val="auto"/>
        </w:rPr>
      </w:pPr>
    </w:p>
    <w:p>
      <w:pPr>
        <w:ind w:left="620" w:right="159" w:hanging="252"/>
        <w:spacing w:after="0" w:line="286" w:lineRule="auto"/>
        <w:tabs>
          <w:tab w:leader="none" w:pos="649"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65" w:lineRule="exact"/>
        <w:rPr>
          <w:sz w:val="20"/>
          <w:szCs w:val="20"/>
          <w:color w:val="auto"/>
        </w:rPr>
      </w:pPr>
    </w:p>
    <w:p>
      <w:pPr>
        <w:ind w:left="40" w:right="99" w:firstLine="324"/>
        <w:spacing w:after="0" w:line="301"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87" w:lineRule="exact"/>
        <w:rPr>
          <w:sz w:val="20"/>
          <w:szCs w:val="20"/>
          <w:color w:val="auto"/>
        </w:rPr>
      </w:pPr>
    </w:p>
    <w:p>
      <w:pPr>
        <w:ind w:left="40" w:right="199" w:firstLine="324"/>
        <w:spacing w:after="0" w:line="342"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24" w:lineRule="exact"/>
        <w:rPr>
          <w:sz w:val="20"/>
          <w:szCs w:val="20"/>
          <w:color w:val="auto"/>
        </w:rPr>
      </w:pPr>
    </w:p>
    <w:p>
      <w:pPr>
        <w:ind w:left="660" w:hanging="29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3" w:lineRule="exact"/>
        <w:rPr>
          <w:rFonts w:ascii="Arial" w:cs="Arial" w:eastAsia="Arial" w:hAnsi="Arial"/>
          <w:sz w:val="18"/>
          <w:szCs w:val="18"/>
          <w:color w:val="auto"/>
        </w:rPr>
      </w:pPr>
    </w:p>
    <w:p>
      <w:pPr>
        <w:ind w:left="620" w:right="199" w:hanging="252"/>
        <w:spacing w:after="0" w:line="250" w:lineRule="auto"/>
        <w:tabs>
          <w:tab w:leader="none" w:pos="6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w:t>
      </w:r>
    </w:p>
    <w:p>
      <w:pPr>
        <w:ind w:left="620" w:right="399" w:hanging="252"/>
        <w:spacing w:after="0" w:line="250" w:lineRule="auto"/>
        <w:tabs>
          <w:tab w:leader="none" w:pos="6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ind w:left="660" w:hanging="29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11" w:lineRule="exact"/>
        <w:rPr>
          <w:sz w:val="20"/>
          <w:szCs w:val="20"/>
          <w:color w:val="auto"/>
        </w:rPr>
      </w:pPr>
    </w:p>
    <w:p>
      <w:pPr>
        <w:ind w:left="40" w:right="159" w:firstLine="324"/>
        <w:spacing w:after="0" w:line="287" w:lineRule="auto"/>
        <w:rPr>
          <w:sz w:val="20"/>
          <w:szCs w:val="20"/>
          <w:color w:val="auto"/>
        </w:rPr>
      </w:pPr>
      <w:r>
        <w:rPr>
          <w:rFonts w:ascii="Arial" w:cs="Arial" w:eastAsia="Arial" w:hAnsi="Arial"/>
          <w:sz w:val="16"/>
          <w:szCs w:val="16"/>
          <w:color w:val="auto"/>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w:t>
      </w:r>
      <w:r>
        <w:rPr>
          <w:rFonts w:ascii="Arial" w:cs="Arial" w:eastAsia="Arial" w:hAnsi="Arial"/>
          <w:sz w:val="16"/>
          <w:szCs w:val="16"/>
          <w:color w:val="212529"/>
        </w:rPr>
        <w:t>that, unless we consent in</w:t>
      </w:r>
      <w:r>
        <w:rPr>
          <w:rFonts w:ascii="Arial" w:cs="Arial" w:eastAsia="Arial" w:hAnsi="Arial"/>
          <w:sz w:val="16"/>
          <w:szCs w:val="16"/>
          <w:color w:val="auto"/>
        </w:rPr>
        <w:t xml:space="preserve"> </w:t>
      </w:r>
      <w:r>
        <w:rPr>
          <w:rFonts w:ascii="Arial" w:cs="Arial" w:eastAsia="Arial" w:hAnsi="Arial"/>
          <w:sz w:val="16"/>
          <w:szCs w:val="16"/>
          <w:color w:val="212529"/>
        </w:rPr>
        <w:t>writing to the selection of an alternative forum,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68" w:lineRule="exact"/>
        <w:rPr>
          <w:sz w:val="20"/>
          <w:szCs w:val="20"/>
          <w:color w:val="auto"/>
        </w:rPr>
      </w:pPr>
    </w:p>
    <w:p>
      <w:pPr>
        <w:ind w:left="40" w:right="139" w:firstLine="324"/>
        <w:spacing w:after="0" w:line="296" w:lineRule="auto"/>
        <w:rPr>
          <w:sz w:val="20"/>
          <w:szCs w:val="20"/>
          <w:color w:val="auto"/>
        </w:rPr>
      </w:pPr>
      <w:r>
        <w:rPr>
          <w:rFonts w:ascii="Arial" w:cs="Arial" w:eastAsia="Arial" w:hAnsi="Arial"/>
          <w:sz w:val="16"/>
          <w:szCs w:val="16"/>
          <w:color w:val="212529"/>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w:t>
      </w:r>
      <w:r>
        <w:rPr>
          <w:rFonts w:ascii="Arial" w:cs="Arial" w:eastAsia="Arial" w:hAnsi="Arial"/>
          <w:sz w:val="16"/>
          <w:szCs w:val="16"/>
          <w:color w:val="000000"/>
        </w:rPr>
        <w:t>further significant</w:t>
      </w:r>
      <w:r>
        <w:rPr>
          <w:rFonts w:ascii="Arial" w:cs="Arial" w:eastAsia="Arial" w:hAnsi="Arial"/>
          <w:sz w:val="16"/>
          <w:szCs w:val="16"/>
          <w:color w:val="212529"/>
        </w:rPr>
        <w:t xml:space="preserve"> additional costs associated with resolving the dispute in other jurisdictions, </w:t>
      </w:r>
      <w:r>
        <w:rPr>
          <w:rFonts w:ascii="Arial" w:cs="Arial" w:eastAsia="Arial" w:hAnsi="Arial"/>
          <w:sz w:val="16"/>
          <w:szCs w:val="16"/>
          <w:color w:val="000000"/>
        </w:rPr>
        <w:t>all of</w:t>
      </w:r>
      <w:r>
        <w:rPr>
          <w:rFonts w:ascii="Arial" w:cs="Arial" w:eastAsia="Arial" w:hAnsi="Arial"/>
          <w:sz w:val="16"/>
          <w:szCs w:val="16"/>
          <w:color w:val="212529"/>
        </w:rPr>
        <w:t xml:space="preserve"> which could seriously harm our business.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12529"/>
        </w:rPr>
        <w:t>General Risk Factors</w:t>
      </w:r>
    </w:p>
    <w:p>
      <w:pPr>
        <w:spacing w:after="0" w:line="229" w:lineRule="exact"/>
        <w:rPr>
          <w:sz w:val="20"/>
          <w:szCs w:val="20"/>
          <w:color w:val="auto"/>
        </w:rPr>
      </w:pPr>
    </w:p>
    <w:p>
      <w:pPr>
        <w:ind w:left="40" w:right="379"/>
        <w:spacing w:after="0" w:line="342" w:lineRule="auto"/>
        <w:rPr>
          <w:sz w:val="20"/>
          <w:szCs w:val="20"/>
          <w:color w:val="auto"/>
        </w:rPr>
      </w:pPr>
      <w:r>
        <w:rPr>
          <w:rFonts w:ascii="Arial" w:cs="Arial" w:eastAsia="Arial" w:hAnsi="Arial"/>
          <w:sz w:val="16"/>
          <w:szCs w:val="16"/>
          <w:b w:val="1"/>
          <w:bCs w:val="1"/>
          <w:i w:val="1"/>
          <w:iCs w:val="1"/>
          <w:color w:val="auto"/>
        </w:rPr>
        <w:t>Unfavorable economic and market conditions and the presence of COVID-19, domestically and internationally, may adversely affect our business, financial condition, results of operations and cash flows.</w:t>
      </w:r>
    </w:p>
    <w:p>
      <w:pPr>
        <w:spacing w:after="0" w:line="124" w:lineRule="exact"/>
        <w:rPr>
          <w:sz w:val="20"/>
          <w:szCs w:val="20"/>
          <w:color w:val="auto"/>
        </w:rPr>
      </w:pPr>
    </w:p>
    <w:p>
      <w:pPr>
        <w:ind w:left="40" w:right="59" w:firstLine="324"/>
        <w:spacing w:after="0" w:line="285" w:lineRule="auto"/>
        <w:rPr>
          <w:sz w:val="20"/>
          <w:szCs w:val="20"/>
          <w:color w:val="auto"/>
        </w:rPr>
      </w:pPr>
      <w:r>
        <w:rPr>
          <w:rFonts w:ascii="Arial" w:cs="Arial" w:eastAsia="Arial" w:hAnsi="Arial"/>
          <w:sz w:val="16"/>
          <w:szCs w:val="16"/>
          <w:color w:val="auto"/>
        </w:rPr>
        <w:t>We have significant customer sales both in the United States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slowdowns in their business, serious financial difficulties or cease operations, including as a result of the presence of COVID-19, our business will be adversely affected. In addition, the adverse impact of general economic factors that are beyond our control, including, but not limited to, housing markets, recession, inflation, deflation, consumer credit activity, consumer debt levels, fuel and energy costs, interest rates, bank failures, tax rates and policy, unemployment trends, potential industry downturn, the impact of natural disasters such as pandemics, civil disturbances, terrorist activities and acts of war, including the military conflict in Ukraine, may adversely impact consumer spending, which may adversely impact our customers’ spending and demand for our products. As an example, in the United States, capital markets have experienced and continue to experience volatility and disruption. Furthermore, inflation rates in the United States have recently increased to levels not seen in decades resulting in federal action to increase interest rates, affecting capital markets. In addition to the foregoing, adverse developments that affect financial institutions, transactional counterparties or other third parties, such as bank failures, or concerns or speculation about any similar events or risks, could lead to market-wide liquidity problems, which in turn may cause third parties, including customers, to become unable to meet their obligations under various types of financial arrangements as well as general disruptions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9"/>
        <w:spacing w:after="0" w:line="296" w:lineRule="auto"/>
        <w:rPr>
          <w:sz w:val="20"/>
          <w:szCs w:val="20"/>
          <w:color w:val="auto"/>
        </w:rPr>
      </w:pPr>
      <w:r>
        <w:rPr>
          <w:rFonts w:ascii="Arial" w:cs="Arial" w:eastAsia="Arial" w:hAnsi="Arial"/>
          <w:sz w:val="16"/>
          <w:szCs w:val="16"/>
          <w:color w:val="auto"/>
        </w:rPr>
        <w:t>or instability in the financial markets. Additionally, the military conflict in Ukraine and escalating geopolitical tensions resulting from such conflict have resulted and may continue to result in sanctions, tariffs, and import-export restrictions which, when combined with retaliatory actions taken by Russia, could cause further inflationary pressures and economic and supply chain disruptions, as well as cause us to experience extended lead times and increased prices from our suppliers. Any of the foregoing could adversely affect our business, financial condition, results of operations and cash flows.</w:t>
      </w:r>
    </w:p>
    <w:p>
      <w:pPr>
        <w:spacing w:after="0" w:line="161" w:lineRule="exact"/>
        <w:rPr>
          <w:sz w:val="20"/>
          <w:szCs w:val="20"/>
          <w:color w:val="auto"/>
        </w:rPr>
      </w:pPr>
    </w:p>
    <w:p>
      <w:pPr>
        <w:jc w:val="both"/>
        <w:ind w:left="40" w:right="59" w:firstLine="324"/>
        <w:spacing w:after="0" w:line="270" w:lineRule="auto"/>
        <w:rPr>
          <w:sz w:val="20"/>
          <w:szCs w:val="20"/>
          <w:color w:val="auto"/>
        </w:rPr>
      </w:pPr>
      <w:r>
        <w:rPr>
          <w:rFonts w:ascii="Arial" w:cs="Arial" w:eastAsia="Arial" w:hAnsi="Arial"/>
          <w:sz w:val="17"/>
          <w:szCs w:val="17"/>
          <w:color w:val="auto"/>
        </w:rPr>
        <w:t>Additionally, we could be negatively impacted by the widespread outbreak of an illness, any other communicable disease or any other public health crisis that results in economic and trade disruptions, including the disruption of global supply chains. The global COVID-19 pandemic has disrupted, and may continue to disrupt, our day-to-day operations and the operations of our customers, partners and service providers. For example, we have experienced electronics supply chain and demand disruptions from extended factory shutdowns, particularly in some Asian countries, which created unusual order patterns, and subsequently slowed Toggle MRAM demand, particularly from our industrial customers. While some of restrictions implemented by many government authorities and businesses have begun to be lifted, the lingering impact of COVID-19 continues to create volatility throughout the global economy, including supply chain constraints, labor supply issues, and higher inflation.</w:t>
      </w:r>
    </w:p>
    <w:p>
      <w:pPr>
        <w:spacing w:after="0" w:line="181" w:lineRule="exact"/>
        <w:rPr>
          <w:sz w:val="20"/>
          <w:szCs w:val="20"/>
          <w:color w:val="auto"/>
        </w:rPr>
      </w:pPr>
    </w:p>
    <w:p>
      <w:pPr>
        <w:jc w:val="both"/>
        <w:ind w:left="40" w:right="59" w:firstLine="324"/>
        <w:spacing w:after="0" w:line="257" w:lineRule="auto"/>
        <w:rPr>
          <w:sz w:val="20"/>
          <w:szCs w:val="20"/>
          <w:color w:val="auto"/>
        </w:rPr>
      </w:pPr>
      <w:r>
        <w:rPr>
          <w:rFonts w:ascii="Arial" w:cs="Arial" w:eastAsia="Arial" w:hAnsi="Arial"/>
          <w:sz w:val="18"/>
          <w:szCs w:val="18"/>
          <w:color w:val="auto"/>
        </w:rPr>
        <w:t>Widespread recovery from COVID-19 will be impacted by future developments, including future waves of outbreak or new variant strains of the virus, government and private sector requirements, and the emergence and effectiveness of medical and other measures to address COVID-19. Any of the foregoing could adversely affect our business, financial condition, and results of operations. The ultimate impact of COVID-19 on our business, operations, or the global economy as a whole remains highly uncertain.</w:t>
      </w:r>
    </w:p>
    <w:p>
      <w:pPr>
        <w:spacing w:after="0" w:line="188" w:lineRule="exact"/>
        <w:rPr>
          <w:sz w:val="20"/>
          <w:szCs w:val="20"/>
          <w:color w:val="auto"/>
        </w:rPr>
      </w:pPr>
    </w:p>
    <w:p>
      <w:pPr>
        <w:jc w:val="both"/>
        <w:ind w:left="40" w:right="59" w:firstLine="324"/>
        <w:spacing w:after="0" w:line="279" w:lineRule="auto"/>
        <w:rPr>
          <w:sz w:val="20"/>
          <w:szCs w:val="20"/>
          <w:color w:val="auto"/>
        </w:rPr>
      </w:pPr>
      <w:r>
        <w:rPr>
          <w:rFonts w:ascii="Arial" w:cs="Arial" w:eastAsia="Arial" w:hAnsi="Arial"/>
          <w:sz w:val="17"/>
          <w:szCs w:val="17"/>
          <w:color w:val="auto"/>
        </w:rPr>
        <w:t>To the extent macroeconomic uncertainties and COVID-19 continue to adversely affect our business, financial condition, and results of operations, many of the other risks described in this “Risk Factors” section will be exacerbated, including but not limited to, those related to our ability to increase sales to existing and new customers, develop and deploy new offerings and applications and maintain effective marketing and sales capabilities.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business may be adversely impacted by natural disasters and other catastrophic events.</w:t>
      </w:r>
    </w:p>
    <w:p>
      <w:pPr>
        <w:spacing w:after="0" w:line="225" w:lineRule="exact"/>
        <w:rPr>
          <w:sz w:val="20"/>
          <w:szCs w:val="20"/>
          <w:color w:val="auto"/>
        </w:rPr>
      </w:pPr>
    </w:p>
    <w:p>
      <w:pPr>
        <w:ind w:left="40" w:right="179" w:firstLine="324"/>
        <w:spacing w:after="0" w:line="269" w:lineRule="auto"/>
        <w:rPr>
          <w:sz w:val="20"/>
          <w:szCs w:val="20"/>
          <w:color w:val="auto"/>
        </w:rPr>
      </w:pPr>
      <w:r>
        <w:rPr>
          <w:rFonts w:ascii="Arial" w:cs="Arial" w:eastAsia="Arial" w:hAnsi="Arial"/>
          <w:sz w:val="17"/>
          <w:szCs w:val="17"/>
          <w:color w:val="auto"/>
        </w:rPr>
        <w:t>Our operations and business, and those of our manufacturing partners, customers, distributors, or suppliers, can be disrupted by natural disasters; industrial accidents; public health issues, such as COVID-19; cybersecurity incidents; interruptions of service from utilities, transportation, telecommunications, or IT systems providers; manufacturing equipment failures; or other catastrophic events. For example, 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natural disasters or other catastrophic events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2"/>
              </w:rPr>
              <w:t>Incorporation By Reference</w:t>
            </w: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00" w:type="dxa"/>
            <w:vAlign w:val="bottom"/>
            <w:gridSpan w:val="23"/>
            <w:vMerge w:val="restart"/>
          </w:tcPr>
          <w:p>
            <w:pPr>
              <w:ind w:left="780"/>
              <w:spacing w:after="0"/>
              <w:rPr>
                <w:sz w:val="20"/>
                <w:szCs w:val="20"/>
                <w:color w:val="auto"/>
              </w:rPr>
            </w:pPr>
            <w:r>
              <w:rPr>
                <w:rFonts w:ascii="Arial" w:cs="Arial" w:eastAsia="Arial" w:hAnsi="Arial"/>
                <w:sz w:val="14"/>
                <w:szCs w:val="14"/>
                <w:b w:val="1"/>
                <w:bCs w:val="1"/>
                <w:color w:val="auto"/>
              </w:rPr>
              <w:t>Description</w:t>
            </w:r>
          </w:p>
        </w:tc>
        <w:tc>
          <w:tcPr>
            <w:tcW w:w="260" w:type="dxa"/>
            <w:vAlign w:val="bottom"/>
            <w:vMerge w:val="restart"/>
          </w:tcPr>
          <w:p>
            <w:pPr>
              <w:spacing w:after="0"/>
              <w:rPr>
                <w:sz w:val="10"/>
                <w:szCs w:val="10"/>
                <w:color w:val="auto"/>
              </w:rPr>
            </w:pPr>
          </w:p>
        </w:tc>
        <w:tc>
          <w:tcPr>
            <w:tcW w:w="660" w:type="dxa"/>
            <w:vAlign w:val="bottom"/>
            <w:vMerge w:val="restart"/>
          </w:tcPr>
          <w:p>
            <w:pPr>
              <w:jc w:val="center"/>
              <w:ind w:left="113"/>
              <w:spacing w:after="0"/>
              <w:rPr>
                <w:sz w:val="20"/>
                <w:szCs w:val="20"/>
                <w:color w:val="auto"/>
              </w:rPr>
            </w:pPr>
            <w:r>
              <w:rPr>
                <w:rFonts w:ascii="Arial" w:cs="Arial" w:eastAsia="Arial" w:hAnsi="Arial"/>
                <w:sz w:val="14"/>
                <w:szCs w:val="14"/>
                <w:b w:val="1"/>
                <w:bCs w:val="1"/>
                <w:color w:val="auto"/>
                <w:w w:val="97"/>
              </w:rPr>
              <w:t>Form</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SEC File No.</w:t>
            </w:r>
          </w:p>
        </w:tc>
        <w:tc>
          <w:tcPr>
            <w:tcW w:w="2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74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rPr>
              <w:t>Exhibit/</w:t>
            </w:r>
          </w:p>
        </w:tc>
        <w:tc>
          <w:tcPr>
            <w:tcW w:w="260" w:type="dxa"/>
            <w:vAlign w:val="bottom"/>
          </w:tcPr>
          <w:p>
            <w:pPr>
              <w:spacing w:after="0"/>
              <w:rPr>
                <w:sz w:val="10"/>
                <w:szCs w:val="10"/>
                <w:color w:val="auto"/>
              </w:rPr>
            </w:pPr>
          </w:p>
        </w:tc>
        <w:tc>
          <w:tcPr>
            <w:tcW w:w="13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23"/>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1"/>
              </w:rPr>
              <w:t>Reference</w:t>
            </w:r>
          </w:p>
        </w:tc>
        <w:tc>
          <w:tcPr>
            <w:tcW w:w="26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5"/>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Amended and Restated Certificate</w:t>
              </w:r>
            </w:hyperlink>
          </w:p>
        </w:tc>
        <w:tc>
          <w:tcPr>
            <w:tcW w:w="660" w:type="dxa"/>
            <w:vAlign w:val="bottom"/>
          </w:tcPr>
          <w:p>
            <w:pPr>
              <w:jc w:val="center"/>
              <w:ind w:left="93"/>
              <w:spacing w:after="0" w:line="196" w:lineRule="exact"/>
              <w:rPr>
                <w:sz w:val="20"/>
                <w:szCs w:val="20"/>
                <w:color w:val="auto"/>
              </w:rPr>
            </w:pPr>
            <w:r>
              <w:rPr>
                <w:rFonts w:ascii="Arial" w:cs="Arial" w:eastAsia="Arial" w:hAnsi="Arial"/>
                <w:sz w:val="18"/>
                <w:szCs w:val="18"/>
                <w:color w:val="auto"/>
                <w:w w:val="99"/>
              </w:rPr>
              <w:t>8-K</w:t>
            </w:r>
          </w:p>
        </w:tc>
        <w:tc>
          <w:tcPr>
            <w:tcW w:w="1480" w:type="dxa"/>
            <w:vAlign w:val="bottom"/>
            <w:gridSpan w:val="3"/>
          </w:tcPr>
          <w:p>
            <w:pPr>
              <w:ind w:left="580"/>
              <w:spacing w:after="0" w:line="196" w:lineRule="exact"/>
              <w:rPr>
                <w:sz w:val="20"/>
                <w:szCs w:val="20"/>
                <w:color w:val="auto"/>
              </w:rPr>
            </w:pPr>
            <w:r>
              <w:rPr>
                <w:rFonts w:ascii="Arial" w:cs="Arial" w:eastAsia="Arial" w:hAnsi="Arial"/>
                <w:sz w:val="18"/>
                <w:szCs w:val="18"/>
                <w:color w:val="auto"/>
              </w:rPr>
              <w:t>001-37900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right="36"/>
              <w:spacing w:after="0" w:line="196" w:lineRule="exact"/>
              <w:rPr>
                <w:sz w:val="20"/>
                <w:szCs w:val="20"/>
                <w:color w:val="auto"/>
              </w:rPr>
            </w:pPr>
            <w:r>
              <w:rPr>
                <w:rFonts w:ascii="Arial" w:cs="Arial" w:eastAsia="Arial" w:hAnsi="Arial"/>
                <w:sz w:val="18"/>
                <w:szCs w:val="18"/>
                <w:color w:val="auto"/>
                <w:w w:val="87"/>
              </w:rPr>
              <w:t>3.1</w:t>
            </w:r>
          </w:p>
        </w:tc>
        <w:tc>
          <w:tcPr>
            <w:tcW w:w="260" w:type="dxa"/>
            <w:vAlign w:val="bottom"/>
          </w:tcPr>
          <w:p>
            <w:pPr>
              <w:spacing w:after="0"/>
              <w:rPr>
                <w:sz w:val="17"/>
                <w:szCs w:val="17"/>
                <w:color w:val="auto"/>
              </w:rPr>
            </w:pP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90"/>
              </w:rPr>
              <w:t>10/13/2016</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of Incorporation</w:t>
              </w:r>
            </w:hyperlink>
          </w:p>
        </w:tc>
        <w:tc>
          <w:tcPr>
            <w:tcW w:w="42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80" w:type="dxa"/>
            <w:vAlign w:val="bottom"/>
          </w:tcPr>
          <w:p>
            <w:pPr>
              <w:ind w:left="10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EE"/>
            </w:tcBorders>
            <w:gridSpan w:val="13"/>
          </w:tcPr>
          <w:p>
            <w:pPr>
              <w:spacing w:after="0"/>
              <w:rPr>
                <w:rFonts w:ascii="Arial" w:cs="Arial" w:eastAsia="Arial" w:hAnsi="Arial"/>
                <w:sz w:val="18"/>
                <w:szCs w:val="18"/>
                <w:color w:val="0000EE"/>
                <w:w w:val="89"/>
              </w:rPr>
            </w:pPr>
            <w:hyperlink r:id="rId61">
              <w:r>
                <w:rPr>
                  <w:rFonts w:ascii="Arial" w:cs="Arial" w:eastAsia="Arial" w:hAnsi="Arial"/>
                  <w:sz w:val="18"/>
                  <w:szCs w:val="18"/>
                  <w:color w:val="0000EE"/>
                  <w:w w:val="89"/>
                </w:rPr>
                <w:t xml:space="preserve">Amendment </w:t>
              </w:r>
              <w:r>
                <w:rPr>
                  <w:rFonts w:ascii="Arial" w:cs="Arial" w:eastAsia="Arial" w:hAnsi="Arial"/>
                  <w:sz w:val="18"/>
                  <w:szCs w:val="18"/>
                  <w:color w:val="0000EE"/>
                  <w:highlight w:val="white"/>
                  <w:w w:val="89"/>
                </w:rPr>
                <w:t>to Amended and</w:t>
              </w:r>
            </w:hyperlink>
          </w:p>
        </w:tc>
        <w:tc>
          <w:tcPr>
            <w:tcW w:w="760" w:type="dxa"/>
            <w:vAlign w:val="bottom"/>
            <w:gridSpan w:val="12"/>
          </w:tcPr>
          <w:p>
            <w:pPr>
              <w:spacing w:after="0"/>
              <w:rPr>
                <w:sz w:val="24"/>
                <w:szCs w:val="24"/>
                <w:color w:val="auto"/>
              </w:rPr>
            </w:pPr>
          </w:p>
        </w:tc>
        <w:tc>
          <w:tcPr>
            <w:tcW w:w="660" w:type="dxa"/>
            <w:vAlign w:val="bottom"/>
          </w:tcPr>
          <w:p>
            <w:pPr>
              <w:jc w:val="center"/>
              <w:ind w:left="93"/>
              <w:spacing w:after="0"/>
              <w:rPr>
                <w:sz w:val="20"/>
                <w:szCs w:val="20"/>
                <w:color w:val="auto"/>
              </w:rPr>
            </w:pPr>
            <w:r>
              <w:rPr>
                <w:rFonts w:ascii="Arial" w:cs="Arial" w:eastAsia="Arial" w:hAnsi="Arial"/>
                <w:sz w:val="18"/>
                <w:szCs w:val="18"/>
                <w:color w:val="auto"/>
                <w:w w:val="99"/>
              </w:rPr>
              <w:t>8-K</w:t>
            </w:r>
          </w:p>
        </w:tc>
        <w:tc>
          <w:tcPr>
            <w:tcW w:w="1480" w:type="dxa"/>
            <w:vAlign w:val="bottom"/>
            <w:gridSpan w:val="3"/>
          </w:tcPr>
          <w:p>
            <w:pPr>
              <w:ind w:left="580"/>
              <w:spacing w:after="0"/>
              <w:rPr>
                <w:sz w:val="20"/>
                <w:szCs w:val="20"/>
                <w:color w:val="auto"/>
              </w:rPr>
            </w:pPr>
            <w:r>
              <w:rPr>
                <w:rFonts w:ascii="Arial" w:cs="Arial" w:eastAsia="Arial" w:hAnsi="Arial"/>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6"/>
              <w:spacing w:after="0"/>
              <w:rPr>
                <w:sz w:val="20"/>
                <w:szCs w:val="20"/>
                <w:color w:val="auto"/>
              </w:rPr>
            </w:pPr>
            <w:r>
              <w:rPr>
                <w:rFonts w:ascii="Arial" w:cs="Arial" w:eastAsia="Arial" w:hAnsi="Arial"/>
                <w:sz w:val="18"/>
                <w:szCs w:val="18"/>
                <w:color w:val="auto"/>
                <w:w w:val="87"/>
              </w:rPr>
              <w:t>3.1</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61">
              <w:r>
                <w:rPr>
                  <w:rFonts w:ascii="Arial" w:cs="Arial" w:eastAsia="Arial" w:hAnsi="Arial"/>
                  <w:sz w:val="18"/>
                  <w:szCs w:val="18"/>
                  <w:color w:val="0000EE"/>
                  <w:w w:val="89"/>
                </w:rPr>
                <w:t>Restated Certificate of</w:t>
              </w:r>
            </w:hyperlink>
          </w:p>
        </w:tc>
        <w:tc>
          <w:tcPr>
            <w:tcW w:w="1260" w:type="dxa"/>
            <w:vAlign w:val="bottom"/>
            <w:gridSpan w:val="21"/>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Incorporation</w:t>
              </w:r>
            </w:hyperlink>
          </w:p>
        </w:tc>
        <w:tc>
          <w:tcPr>
            <w:tcW w:w="1880" w:type="dxa"/>
            <w:vAlign w:val="bottom"/>
            <w:gridSpan w:val="23"/>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EE"/>
            </w:tcBorders>
            <w:gridSpan w:val="13"/>
          </w:tcPr>
          <w:p>
            <w:pPr>
              <w:spacing w:after="0"/>
              <w:rPr>
                <w:rFonts w:ascii="Arial" w:cs="Arial" w:eastAsia="Arial" w:hAnsi="Arial"/>
                <w:sz w:val="18"/>
                <w:szCs w:val="18"/>
                <w:color w:val="0000EE"/>
                <w:w w:val="89"/>
              </w:rPr>
            </w:pPr>
            <w:hyperlink r:id="rId62">
              <w:r>
                <w:rPr>
                  <w:rFonts w:ascii="Arial" w:cs="Arial" w:eastAsia="Arial" w:hAnsi="Arial"/>
                  <w:sz w:val="18"/>
                  <w:szCs w:val="18"/>
                  <w:color w:val="0000EE"/>
                  <w:w w:val="89"/>
                </w:rPr>
                <w:t>Amendment to Amended and</w:t>
              </w:r>
            </w:hyperlink>
          </w:p>
        </w:tc>
        <w:tc>
          <w:tcPr>
            <w:tcW w:w="760" w:type="dxa"/>
            <w:vAlign w:val="bottom"/>
            <w:gridSpan w:val="12"/>
          </w:tcPr>
          <w:p>
            <w:pPr>
              <w:spacing w:after="0"/>
              <w:rPr>
                <w:sz w:val="24"/>
                <w:szCs w:val="24"/>
                <w:color w:val="auto"/>
              </w:rPr>
            </w:pPr>
          </w:p>
        </w:tc>
        <w:tc>
          <w:tcPr>
            <w:tcW w:w="660" w:type="dxa"/>
            <w:vAlign w:val="bottom"/>
          </w:tcPr>
          <w:p>
            <w:pPr>
              <w:jc w:val="center"/>
              <w:ind w:left="93"/>
              <w:spacing w:after="0"/>
              <w:rPr>
                <w:sz w:val="20"/>
                <w:szCs w:val="20"/>
                <w:color w:val="auto"/>
              </w:rPr>
            </w:pPr>
            <w:r>
              <w:rPr>
                <w:rFonts w:ascii="Arial" w:cs="Arial" w:eastAsia="Arial" w:hAnsi="Arial"/>
                <w:sz w:val="18"/>
                <w:szCs w:val="18"/>
                <w:color w:val="auto"/>
                <w:w w:val="99"/>
              </w:rPr>
              <w:t>8-K</w:t>
            </w:r>
          </w:p>
        </w:tc>
        <w:tc>
          <w:tcPr>
            <w:tcW w:w="1480" w:type="dxa"/>
            <w:vAlign w:val="bottom"/>
            <w:gridSpan w:val="3"/>
          </w:tcPr>
          <w:p>
            <w:pPr>
              <w:ind w:left="580"/>
              <w:spacing w:after="0"/>
              <w:rPr>
                <w:sz w:val="20"/>
                <w:szCs w:val="20"/>
                <w:color w:val="auto"/>
              </w:rPr>
            </w:pPr>
            <w:r>
              <w:rPr>
                <w:rFonts w:ascii="Arial" w:cs="Arial" w:eastAsia="Arial" w:hAnsi="Arial"/>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6"/>
              <w:spacing w:after="0"/>
              <w:rPr>
                <w:sz w:val="20"/>
                <w:szCs w:val="20"/>
                <w:color w:val="auto"/>
              </w:rPr>
            </w:pPr>
            <w:r>
              <w:rPr>
                <w:rFonts w:ascii="Arial" w:cs="Arial" w:eastAsia="Arial" w:hAnsi="Arial"/>
                <w:sz w:val="18"/>
                <w:szCs w:val="18"/>
                <w:color w:val="auto"/>
                <w:w w:val="87"/>
              </w:rPr>
              <w:t>3.1</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5/27/2020</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62">
              <w:r>
                <w:rPr>
                  <w:rFonts w:ascii="Arial" w:cs="Arial" w:eastAsia="Arial" w:hAnsi="Arial"/>
                  <w:sz w:val="18"/>
                  <w:szCs w:val="18"/>
                  <w:color w:val="0000EE"/>
                  <w:w w:val="89"/>
                </w:rPr>
                <w:t>Restated Certificate of</w:t>
              </w:r>
            </w:hyperlink>
          </w:p>
        </w:tc>
        <w:tc>
          <w:tcPr>
            <w:tcW w:w="1260" w:type="dxa"/>
            <w:vAlign w:val="bottom"/>
            <w:gridSpan w:val="21"/>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Incorporation</w:t>
              </w:r>
            </w:hyperlink>
          </w:p>
        </w:tc>
        <w:tc>
          <w:tcPr>
            <w:tcW w:w="1880" w:type="dxa"/>
            <w:vAlign w:val="bottom"/>
            <w:gridSpan w:val="23"/>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EE"/>
            </w:tcBorders>
            <w:gridSpan w:val="13"/>
          </w:tcPr>
          <w:p>
            <w:pPr>
              <w:spacing w:after="0"/>
              <w:rPr>
                <w:rFonts w:ascii="Arial" w:cs="Arial" w:eastAsia="Arial" w:hAnsi="Arial"/>
                <w:sz w:val="18"/>
                <w:szCs w:val="18"/>
                <w:color w:val="0000EE"/>
                <w:w w:val="89"/>
              </w:rPr>
            </w:pPr>
            <w:hyperlink r:id="rId63">
              <w:r>
                <w:rPr>
                  <w:rFonts w:ascii="Arial" w:cs="Arial" w:eastAsia="Arial" w:hAnsi="Arial"/>
                  <w:sz w:val="18"/>
                  <w:szCs w:val="18"/>
                  <w:color w:val="0000EE"/>
                  <w:w w:val="89"/>
                </w:rPr>
                <w:t>Amendment to Amended and</w:t>
              </w:r>
            </w:hyperlink>
          </w:p>
        </w:tc>
        <w:tc>
          <w:tcPr>
            <w:tcW w:w="760" w:type="dxa"/>
            <w:vAlign w:val="bottom"/>
            <w:gridSpan w:val="12"/>
          </w:tcPr>
          <w:p>
            <w:pPr>
              <w:spacing w:after="0"/>
              <w:rPr>
                <w:sz w:val="24"/>
                <w:szCs w:val="24"/>
                <w:color w:val="auto"/>
              </w:rPr>
            </w:pPr>
          </w:p>
        </w:tc>
        <w:tc>
          <w:tcPr>
            <w:tcW w:w="660" w:type="dxa"/>
            <w:vAlign w:val="bottom"/>
          </w:tcPr>
          <w:p>
            <w:pPr>
              <w:jc w:val="center"/>
              <w:ind w:left="93"/>
              <w:spacing w:after="0"/>
              <w:rPr>
                <w:sz w:val="20"/>
                <w:szCs w:val="20"/>
                <w:color w:val="auto"/>
              </w:rPr>
            </w:pPr>
            <w:r>
              <w:rPr>
                <w:rFonts w:ascii="Arial" w:cs="Arial" w:eastAsia="Arial" w:hAnsi="Arial"/>
                <w:sz w:val="18"/>
                <w:szCs w:val="18"/>
                <w:color w:val="auto"/>
                <w:w w:val="99"/>
              </w:rPr>
              <w:t>8-K</w:t>
            </w:r>
          </w:p>
        </w:tc>
        <w:tc>
          <w:tcPr>
            <w:tcW w:w="1480" w:type="dxa"/>
            <w:vAlign w:val="bottom"/>
            <w:gridSpan w:val="3"/>
          </w:tcPr>
          <w:p>
            <w:pPr>
              <w:ind w:left="580"/>
              <w:spacing w:after="0"/>
              <w:rPr>
                <w:sz w:val="20"/>
                <w:szCs w:val="20"/>
                <w:color w:val="auto"/>
              </w:rPr>
            </w:pPr>
            <w:r>
              <w:rPr>
                <w:rFonts w:ascii="Arial" w:cs="Arial" w:eastAsia="Arial" w:hAnsi="Arial"/>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6"/>
              <w:spacing w:after="0"/>
              <w:rPr>
                <w:sz w:val="20"/>
                <w:szCs w:val="20"/>
                <w:color w:val="auto"/>
              </w:rPr>
            </w:pPr>
            <w:r>
              <w:rPr>
                <w:rFonts w:ascii="Arial" w:cs="Arial" w:eastAsia="Arial" w:hAnsi="Arial"/>
                <w:sz w:val="18"/>
                <w:szCs w:val="18"/>
                <w:color w:val="auto"/>
                <w:w w:val="87"/>
              </w:rPr>
              <w:t>3.1</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5/25/2023</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63">
              <w:r>
                <w:rPr>
                  <w:rFonts w:ascii="Arial" w:cs="Arial" w:eastAsia="Arial" w:hAnsi="Arial"/>
                  <w:sz w:val="18"/>
                  <w:szCs w:val="18"/>
                  <w:color w:val="0000EE"/>
                  <w:w w:val="89"/>
                </w:rPr>
                <w:t>Restated Certificate of</w:t>
              </w:r>
            </w:hyperlink>
          </w:p>
        </w:tc>
        <w:tc>
          <w:tcPr>
            <w:tcW w:w="1260" w:type="dxa"/>
            <w:vAlign w:val="bottom"/>
            <w:gridSpan w:val="21"/>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Incorporation</w:t>
              </w:r>
            </w:hyperlink>
          </w:p>
        </w:tc>
        <w:tc>
          <w:tcPr>
            <w:tcW w:w="1880" w:type="dxa"/>
            <w:vAlign w:val="bottom"/>
            <w:gridSpan w:val="23"/>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25"/>
          </w:tcPr>
          <w:p>
            <w:pPr>
              <w:spacing w:after="0"/>
              <w:rPr>
                <w:rFonts w:ascii="Arial" w:cs="Arial" w:eastAsia="Arial" w:hAnsi="Arial"/>
                <w:sz w:val="18"/>
                <w:szCs w:val="18"/>
                <w:color w:val="0000EE"/>
              </w:rPr>
            </w:pPr>
            <w:hyperlink r:id="rId64">
              <w:r>
                <w:rPr>
                  <w:rFonts w:ascii="Arial" w:cs="Arial" w:eastAsia="Arial" w:hAnsi="Arial"/>
                  <w:sz w:val="18"/>
                  <w:szCs w:val="18"/>
                  <w:color w:val="0000EE"/>
                </w:rPr>
                <w:t>Amended and Restated Bylaws</w:t>
              </w:r>
            </w:hyperlink>
          </w:p>
        </w:tc>
        <w:tc>
          <w:tcPr>
            <w:tcW w:w="660" w:type="dxa"/>
            <w:vAlign w:val="bottom"/>
          </w:tcPr>
          <w:p>
            <w:pPr>
              <w:jc w:val="center"/>
              <w:ind w:left="93"/>
              <w:spacing w:after="0"/>
              <w:rPr>
                <w:sz w:val="20"/>
                <w:szCs w:val="20"/>
                <w:color w:val="auto"/>
              </w:rPr>
            </w:pPr>
            <w:r>
              <w:rPr>
                <w:rFonts w:ascii="Arial" w:cs="Arial" w:eastAsia="Arial" w:hAnsi="Arial"/>
                <w:sz w:val="18"/>
                <w:szCs w:val="18"/>
                <w:color w:val="auto"/>
                <w:w w:val="99"/>
              </w:rPr>
              <w:t>8-K</w:t>
            </w:r>
          </w:p>
        </w:tc>
        <w:tc>
          <w:tcPr>
            <w:tcW w:w="1480" w:type="dxa"/>
            <w:vAlign w:val="bottom"/>
            <w:gridSpan w:val="3"/>
          </w:tcPr>
          <w:p>
            <w:pPr>
              <w:ind w:left="580"/>
              <w:spacing w:after="0"/>
              <w:rPr>
                <w:sz w:val="20"/>
                <w:szCs w:val="20"/>
                <w:color w:val="auto"/>
              </w:rPr>
            </w:pPr>
            <w:r>
              <w:rPr>
                <w:rFonts w:ascii="Arial" w:cs="Arial" w:eastAsia="Arial" w:hAnsi="Arial"/>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6"/>
              <w:spacing w:after="0"/>
              <w:rPr>
                <w:sz w:val="20"/>
                <w:szCs w:val="20"/>
                <w:color w:val="auto"/>
              </w:rPr>
            </w:pPr>
            <w:r>
              <w:rPr>
                <w:rFonts w:ascii="Arial" w:cs="Arial" w:eastAsia="Arial" w:hAnsi="Arial"/>
                <w:sz w:val="18"/>
                <w:szCs w:val="18"/>
                <w:color w:val="auto"/>
                <w:w w:val="87"/>
              </w:rPr>
              <w:t>3.2</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3"/>
              </w:rPr>
              <w:t>STT-MRAM Joint Development</w:t>
            </w:r>
          </w:p>
        </w:tc>
        <w:tc>
          <w:tcPr>
            <w:tcW w:w="54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5"/>
          </w:tcPr>
          <w:p>
            <w:pPr>
              <w:spacing w:after="0" w:line="196" w:lineRule="exact"/>
              <w:rPr>
                <w:sz w:val="20"/>
                <w:szCs w:val="20"/>
                <w:color w:val="auto"/>
              </w:rPr>
            </w:pPr>
            <w:r>
              <w:rPr>
                <w:rFonts w:ascii="Arial" w:cs="Arial" w:eastAsia="Arial" w:hAnsi="Arial"/>
                <w:sz w:val="18"/>
                <w:szCs w:val="18"/>
                <w:color w:val="0000EE"/>
              </w:rPr>
              <w:t>Agreement, dated as of October</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5"/>
              </w:rPr>
              <w:t>17, 2014, by and between the</w:t>
            </w:r>
          </w:p>
        </w:tc>
        <w:tc>
          <w:tcPr>
            <w:tcW w:w="6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registrant and</w:t>
            </w:r>
          </w:p>
        </w:tc>
        <w:tc>
          <w:tcPr>
            <w:tcW w:w="1100" w:type="dxa"/>
            <w:vAlign w:val="bottom"/>
            <w:tcBorders>
              <w:top w:val="single" w:sz="8" w:color="0000EE"/>
            </w:tcBorders>
            <w:gridSpan w:val="10"/>
          </w:tcPr>
          <w:p>
            <w:pPr>
              <w:spacing w:after="0"/>
              <w:rPr>
                <w:sz w:val="17"/>
                <w:szCs w:val="17"/>
                <w:color w:val="auto"/>
              </w:rPr>
            </w:pPr>
          </w:p>
        </w:tc>
        <w:tc>
          <w:tcPr>
            <w:tcW w:w="78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7"/>
              </w:rPr>
              <w:t>GLOBALFOUNDRIES Inc.</w:t>
            </w:r>
          </w:p>
        </w:tc>
        <w:tc>
          <w:tcPr>
            <w:tcW w:w="800" w:type="dxa"/>
            <w:vAlign w:val="bottom"/>
            <w:gridSpan w:val="14"/>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25"/>
          </w:tcPr>
          <w:p>
            <w:pPr>
              <w:spacing w:after="0"/>
              <w:rPr>
                <w:sz w:val="20"/>
                <w:szCs w:val="20"/>
                <w:color w:val="auto"/>
              </w:rPr>
            </w:pPr>
            <w:r>
              <w:rPr>
                <w:rFonts w:ascii="Arial" w:cs="Arial" w:eastAsia="Arial" w:hAnsi="Arial"/>
                <w:sz w:val="18"/>
                <w:szCs w:val="18"/>
                <w:color w:val="0000EE"/>
              </w:rPr>
              <w:t>Amendment No. 1 to the STT-</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3"/>
              </w:rPr>
              <w:t>MRAM Joint Development</w:t>
            </w:r>
          </w:p>
        </w:tc>
        <w:tc>
          <w:tcPr>
            <w:tcW w:w="200" w:type="dxa"/>
            <w:vAlign w:val="bottom"/>
            <w:tcBorders>
              <w:top w:val="single" w:sz="8" w:color="0000EE"/>
            </w:tcBorders>
            <w:gridSpan w:val="8"/>
          </w:tcPr>
          <w:p>
            <w:pPr>
              <w:spacing w:after="0"/>
              <w:rPr>
                <w:sz w:val="17"/>
                <w:szCs w:val="17"/>
                <w:color w:val="auto"/>
              </w:rPr>
            </w:pPr>
          </w:p>
        </w:tc>
        <w:tc>
          <w:tcPr>
            <w:tcW w:w="70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5"/>
          </w:tcPr>
          <w:p>
            <w:pPr>
              <w:spacing w:after="0" w:line="196" w:lineRule="exact"/>
              <w:rPr>
                <w:sz w:val="20"/>
                <w:szCs w:val="20"/>
                <w:color w:val="auto"/>
              </w:rPr>
            </w:pPr>
            <w:r>
              <w:rPr>
                <w:rFonts w:ascii="Arial" w:cs="Arial" w:eastAsia="Arial" w:hAnsi="Arial"/>
                <w:sz w:val="18"/>
                <w:szCs w:val="18"/>
                <w:color w:val="0000EE"/>
              </w:rPr>
              <w:t>Agreement, dated as of May 27,</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7"/>
              </w:rPr>
              <w:t>2016, by and between the</w:t>
            </w:r>
          </w:p>
        </w:tc>
        <w:tc>
          <w:tcPr>
            <w:tcW w:w="460" w:type="dxa"/>
            <w:vAlign w:val="bottom"/>
            <w:tcBorders>
              <w:top w:val="single" w:sz="8" w:color="0000EE"/>
            </w:tcBorders>
            <w:gridSpan w:val="13"/>
          </w:tcPr>
          <w:p>
            <w:pPr>
              <w:spacing w:after="0"/>
              <w:rPr>
                <w:sz w:val="17"/>
                <w:szCs w:val="17"/>
                <w:color w:val="auto"/>
              </w:rPr>
            </w:pPr>
          </w:p>
        </w:tc>
        <w:tc>
          <w:tcPr>
            <w:tcW w:w="58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registrant and</w:t>
            </w:r>
          </w:p>
        </w:tc>
        <w:tc>
          <w:tcPr>
            <w:tcW w:w="1880" w:type="dxa"/>
            <w:vAlign w:val="bottom"/>
            <w:gridSpan w:val="23"/>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7"/>
              </w:rPr>
              <w:t>GLOBALFOUNDRIES Inc.</w:t>
            </w:r>
          </w:p>
        </w:tc>
        <w:tc>
          <w:tcPr>
            <w:tcW w:w="800" w:type="dxa"/>
            <w:vAlign w:val="bottom"/>
            <w:gridSpan w:val="14"/>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25"/>
          </w:tcPr>
          <w:p>
            <w:pPr>
              <w:spacing w:after="0"/>
              <w:rPr>
                <w:sz w:val="20"/>
                <w:szCs w:val="20"/>
                <w:color w:val="auto"/>
              </w:rPr>
            </w:pPr>
            <w:r>
              <w:rPr>
                <w:rFonts w:ascii="Arial" w:cs="Arial" w:eastAsia="Arial" w:hAnsi="Arial"/>
                <w:sz w:val="18"/>
                <w:szCs w:val="18"/>
                <w:color w:val="0000EE"/>
              </w:rPr>
              <w:t>Amendment No. 3 to the STT-</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3"/>
              </w:rPr>
              <w:t>MRAM Joint Development</w:t>
            </w:r>
          </w:p>
        </w:tc>
        <w:tc>
          <w:tcPr>
            <w:tcW w:w="200" w:type="dxa"/>
            <w:vAlign w:val="bottom"/>
            <w:tcBorders>
              <w:top w:val="single" w:sz="8" w:color="0000EE"/>
            </w:tcBorders>
            <w:gridSpan w:val="8"/>
          </w:tcPr>
          <w:p>
            <w:pPr>
              <w:spacing w:after="0"/>
              <w:rPr>
                <w:sz w:val="17"/>
                <w:szCs w:val="17"/>
                <w:color w:val="auto"/>
              </w:rPr>
            </w:pPr>
          </w:p>
        </w:tc>
        <w:tc>
          <w:tcPr>
            <w:tcW w:w="70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5"/>
          </w:tcPr>
          <w:p>
            <w:pPr>
              <w:spacing w:after="0" w:line="196" w:lineRule="exact"/>
              <w:rPr>
                <w:sz w:val="20"/>
                <w:szCs w:val="20"/>
                <w:color w:val="auto"/>
              </w:rPr>
            </w:pPr>
            <w:r>
              <w:rPr>
                <w:rFonts w:ascii="Arial" w:cs="Arial" w:eastAsia="Arial" w:hAnsi="Arial"/>
                <w:sz w:val="18"/>
                <w:szCs w:val="18"/>
                <w:color w:val="0000EE"/>
              </w:rPr>
              <w:t>Agreement, effective as of January</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8"/>
              </w:rPr>
              <w:t>1, 2018, by and between the</w:t>
            </w:r>
          </w:p>
        </w:tc>
        <w:tc>
          <w:tcPr>
            <w:tcW w:w="480" w:type="dxa"/>
            <w:vAlign w:val="bottom"/>
            <w:tcBorders>
              <w:top w:val="single" w:sz="8" w:color="0000EE"/>
            </w:tcBorders>
            <w:gridSpan w:val="14"/>
          </w:tcPr>
          <w:p>
            <w:pPr>
              <w:spacing w:after="0"/>
              <w:rPr>
                <w:sz w:val="17"/>
                <w:szCs w:val="17"/>
                <w:color w:val="auto"/>
              </w:rPr>
            </w:pPr>
          </w:p>
        </w:tc>
        <w:tc>
          <w:tcPr>
            <w:tcW w:w="38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registrant and</w:t>
            </w:r>
          </w:p>
        </w:tc>
        <w:tc>
          <w:tcPr>
            <w:tcW w:w="1880" w:type="dxa"/>
            <w:vAlign w:val="bottom"/>
            <w:gridSpan w:val="23"/>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6"/>
              </w:rPr>
              <w:t>GLOBALFOUNDRIES Inc.</w:t>
            </w:r>
          </w:p>
        </w:tc>
        <w:tc>
          <w:tcPr>
            <w:tcW w:w="820" w:type="dxa"/>
            <w:vAlign w:val="bottom"/>
            <w:gridSpan w:val="15"/>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4"/>
              </w:rPr>
              <w:t>Certification of Principal</w:t>
            </w:r>
          </w:p>
        </w:tc>
        <w:tc>
          <w:tcPr>
            <w:tcW w:w="1080" w:type="dxa"/>
            <w:vAlign w:val="bottom"/>
            <w:gridSpan w:val="19"/>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0"/>
              </w:rPr>
              <w:t>Executive Officer Pursuant to</w:t>
            </w:r>
          </w:p>
        </w:tc>
        <w:tc>
          <w:tcPr>
            <w:tcW w:w="74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89"/>
              </w:rPr>
              <w:t>Rules 13a-14(a) and 15d-14(a)</w:t>
            </w:r>
          </w:p>
        </w:tc>
        <w:tc>
          <w:tcPr>
            <w:tcW w:w="64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5"/>
          </w:tcPr>
          <w:p>
            <w:pPr>
              <w:spacing w:after="0" w:line="196" w:lineRule="exact"/>
              <w:rPr>
                <w:sz w:val="20"/>
                <w:szCs w:val="20"/>
                <w:color w:val="auto"/>
              </w:rPr>
            </w:pPr>
            <w:r>
              <w:rPr>
                <w:rFonts w:ascii="Arial" w:cs="Arial" w:eastAsia="Arial" w:hAnsi="Arial"/>
                <w:sz w:val="18"/>
                <w:szCs w:val="18"/>
                <w:color w:val="0000EE"/>
              </w:rPr>
              <w:t>under the Exchange Act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25"/>
          </w:tcPr>
          <w:p>
            <w:pPr>
              <w:spacing w:after="0"/>
              <w:rPr>
                <w:sz w:val="20"/>
                <w:szCs w:val="20"/>
                <w:color w:val="auto"/>
              </w:rPr>
            </w:pPr>
            <w:r>
              <w:rPr>
                <w:rFonts w:ascii="Arial" w:cs="Arial" w:eastAsia="Arial" w:hAnsi="Arial"/>
                <w:sz w:val="18"/>
                <w:szCs w:val="18"/>
                <w:color w:val="0000EE"/>
              </w:rPr>
              <w:t>Certification of Principal Financial</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0"/>
              </w:rPr>
              <w:t>Officer Pursuant to Rules 13a-</w:t>
            </w:r>
          </w:p>
        </w:tc>
        <w:tc>
          <w:tcPr>
            <w:tcW w:w="300" w:type="dxa"/>
            <w:vAlign w:val="bottom"/>
            <w:tcBorders>
              <w:top w:val="single" w:sz="8" w:color="0000EE"/>
            </w:tcBorders>
            <w:gridSpan w:val="6"/>
          </w:tcPr>
          <w:p>
            <w:pPr>
              <w:spacing w:after="0"/>
              <w:rPr>
                <w:sz w:val="17"/>
                <w:szCs w:val="17"/>
                <w:color w:val="auto"/>
              </w:rPr>
            </w:pPr>
          </w:p>
        </w:tc>
        <w:tc>
          <w:tcPr>
            <w:tcW w:w="38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88"/>
              </w:rPr>
              <w:t>14(a) and 15d-14(a) under the</w:t>
            </w:r>
          </w:p>
        </w:tc>
        <w:tc>
          <w:tcPr>
            <w:tcW w:w="72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5"/>
          </w:tcPr>
          <w:p>
            <w:pPr>
              <w:spacing w:after="0" w:line="196" w:lineRule="exact"/>
              <w:rPr>
                <w:sz w:val="20"/>
                <w:szCs w:val="20"/>
                <w:color w:val="auto"/>
              </w:rPr>
            </w:pPr>
            <w:r>
              <w:rPr>
                <w:rFonts w:ascii="Arial" w:cs="Arial" w:eastAsia="Arial" w:hAnsi="Arial"/>
                <w:sz w:val="18"/>
                <w:szCs w:val="18"/>
                <w:color w:val="0000EE"/>
              </w:rPr>
              <w:t>Exchange Act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18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4"/>
              </w:rPr>
              <w:t>Certification of Principal</w:t>
            </w:r>
          </w:p>
        </w:tc>
        <w:tc>
          <w:tcPr>
            <w:tcW w:w="700" w:type="dxa"/>
            <w:vAlign w:val="bottom"/>
            <w:gridSpan w:val="6"/>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2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Executive Officer and Principal</w:t>
            </w:r>
          </w:p>
        </w:tc>
        <w:tc>
          <w:tcPr>
            <w:tcW w:w="220" w:type="dxa"/>
            <w:vAlign w:val="bottom"/>
            <w:gridSpan w:val="3"/>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32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Financial Officer Pursuant to 18</w:t>
            </w:r>
          </w:p>
        </w:tc>
        <w:tc>
          <w:tcPr>
            <w:tcW w:w="180" w:type="dxa"/>
            <w:vAlign w:val="bottom"/>
            <w:gridSpan w:val="2"/>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3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U.S.C. Section 1350, as Adopted</w:t>
            </w:r>
          </w:p>
        </w:tc>
        <w:tc>
          <w:tcPr>
            <w:tcW w:w="1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500" w:type="dxa"/>
            <w:vAlign w:val="bottom"/>
            <w:gridSpan w:val="7"/>
          </w:tcPr>
          <w:p>
            <w:pPr>
              <w:spacing w:after="0" w:line="196" w:lineRule="exact"/>
              <w:rPr>
                <w:sz w:val="20"/>
                <w:szCs w:val="20"/>
                <w:color w:val="auto"/>
              </w:rPr>
            </w:pPr>
            <w:r>
              <w:rPr>
                <w:rFonts w:ascii="Arial" w:cs="Arial" w:eastAsia="Arial" w:hAnsi="Arial"/>
                <w:sz w:val="18"/>
                <w:szCs w:val="18"/>
                <w:color w:val="0000EE"/>
              </w:rPr>
              <w:t>Pursuant to Section 906 of the</w:t>
            </w:r>
          </w:p>
        </w:tc>
      </w:tr>
      <w:tr>
        <w:trPr>
          <w:trHeight w:val="196"/>
        </w:trPr>
        <w:tc>
          <w:tcPr>
            <w:tcW w:w="1180" w:type="dxa"/>
            <w:vAlign w:val="bottom"/>
          </w:tcPr>
          <w:p>
            <w:pPr>
              <w:spacing w:after="0"/>
              <w:rPr>
                <w:sz w:val="17"/>
                <w:szCs w:val="17"/>
                <w:color w:val="auto"/>
              </w:rPr>
            </w:pPr>
          </w:p>
        </w:tc>
        <w:tc>
          <w:tcPr>
            <w:tcW w:w="216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5"/>
              </w:rPr>
              <w:t>Sarbanes-Oxley Act of 2002</w:t>
            </w:r>
          </w:p>
        </w:tc>
        <w:tc>
          <w:tcPr>
            <w:tcW w:w="340" w:type="dxa"/>
            <w:vAlign w:val="bottom"/>
            <w:gridSpan w:val="4"/>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r>
      <w:tr>
        <w:trPr>
          <w:trHeight w:val="438"/>
        </w:trPr>
        <w:tc>
          <w:tcPr>
            <w:tcW w:w="1180" w:type="dxa"/>
            <w:vAlign w:val="bottom"/>
          </w:tcPr>
          <w:p>
            <w:pPr>
              <w:spacing w:after="0"/>
              <w:rPr>
                <w:sz w:val="20"/>
                <w:szCs w:val="20"/>
                <w:color w:val="auto"/>
              </w:rPr>
            </w:pPr>
            <w:r>
              <w:rPr>
                <w:rFonts w:ascii="Arial" w:cs="Arial" w:eastAsia="Arial" w:hAnsi="Arial"/>
                <w:sz w:val="18"/>
                <w:szCs w:val="18"/>
                <w:color w:val="auto"/>
              </w:rPr>
              <w:t>101.INS*</w:t>
            </w:r>
          </w:p>
        </w:tc>
        <w:tc>
          <w:tcPr>
            <w:tcW w:w="2500" w:type="dxa"/>
            <w:vAlign w:val="bottom"/>
            <w:gridSpan w:val="7"/>
          </w:tcPr>
          <w:p>
            <w:pPr>
              <w:spacing w:after="0"/>
              <w:rPr>
                <w:sz w:val="20"/>
                <w:szCs w:val="20"/>
                <w:color w:val="auto"/>
              </w:rPr>
            </w:pPr>
            <w:r>
              <w:rPr>
                <w:rFonts w:ascii="Arial" w:cs="Arial" w:eastAsia="Arial" w:hAnsi="Arial"/>
                <w:sz w:val="18"/>
                <w:szCs w:val="18"/>
                <w:color w:val="auto"/>
                <w:w w:val="93"/>
              </w:rPr>
              <w:t>Inline XBRL Instance Document -</w:t>
            </w:r>
          </w:p>
        </w:tc>
      </w:tr>
      <w:tr>
        <w:trPr>
          <w:trHeight w:val="216"/>
        </w:trPr>
        <w:tc>
          <w:tcPr>
            <w:tcW w:w="1180" w:type="dxa"/>
            <w:vAlign w:val="bottom"/>
          </w:tcPr>
          <w:p>
            <w:pPr>
              <w:spacing w:after="0"/>
              <w:rPr>
                <w:sz w:val="18"/>
                <w:szCs w:val="18"/>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w w:val="97"/>
              </w:rPr>
              <w:t>the instance document does not</w:t>
            </w:r>
          </w:p>
        </w:tc>
      </w:tr>
      <w:tr>
        <w:trPr>
          <w:trHeight w:val="216"/>
        </w:trPr>
        <w:tc>
          <w:tcPr>
            <w:tcW w:w="1180" w:type="dxa"/>
            <w:vAlign w:val="bottom"/>
          </w:tcPr>
          <w:p>
            <w:pPr>
              <w:spacing w:after="0"/>
              <w:rPr>
                <w:sz w:val="18"/>
                <w:szCs w:val="18"/>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w w:val="91"/>
              </w:rPr>
              <w:t>appear in the Interactive Data File</w:t>
            </w:r>
          </w:p>
        </w:tc>
      </w:tr>
      <w:tr>
        <w:trPr>
          <w:trHeight w:val="216"/>
        </w:trPr>
        <w:tc>
          <w:tcPr>
            <w:tcW w:w="1180" w:type="dxa"/>
            <w:vAlign w:val="bottom"/>
          </w:tcPr>
          <w:p>
            <w:pPr>
              <w:spacing w:after="0"/>
              <w:rPr>
                <w:sz w:val="18"/>
                <w:szCs w:val="18"/>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rPr>
              <w:t>because its XBRL tags are</w:t>
            </w:r>
          </w:p>
        </w:tc>
      </w:tr>
      <w:tr>
        <w:trPr>
          <w:trHeight w:val="216"/>
        </w:trPr>
        <w:tc>
          <w:tcPr>
            <w:tcW w:w="1180" w:type="dxa"/>
            <w:vAlign w:val="bottom"/>
          </w:tcPr>
          <w:p>
            <w:pPr>
              <w:spacing w:after="0"/>
              <w:rPr>
                <w:sz w:val="18"/>
                <w:szCs w:val="18"/>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w w:val="93"/>
              </w:rPr>
              <w:t>embedded within the Inline XBRL</w:t>
            </w:r>
          </w:p>
        </w:tc>
      </w:tr>
      <w:tr>
        <w:trPr>
          <w:trHeight w:val="230"/>
        </w:trPr>
        <w:tc>
          <w:tcPr>
            <w:tcW w:w="1180" w:type="dxa"/>
            <w:vAlign w:val="bottom"/>
          </w:tcPr>
          <w:p>
            <w:pPr>
              <w:spacing w:after="0"/>
              <w:rPr>
                <w:sz w:val="20"/>
                <w:szCs w:val="20"/>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rPr>
              <w:t>document</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101.SCH*</w:t>
            </w:r>
          </w:p>
        </w:tc>
        <w:tc>
          <w:tcPr>
            <w:tcW w:w="2500" w:type="dxa"/>
            <w:vAlign w:val="bottom"/>
            <w:gridSpan w:val="7"/>
          </w:tcPr>
          <w:p>
            <w:pPr>
              <w:spacing w:after="0"/>
              <w:rPr>
                <w:sz w:val="20"/>
                <w:szCs w:val="20"/>
                <w:color w:val="auto"/>
              </w:rPr>
            </w:pPr>
            <w:r>
              <w:rPr>
                <w:rFonts w:ascii="Arial" w:cs="Arial" w:eastAsia="Arial" w:hAnsi="Arial"/>
                <w:sz w:val="18"/>
                <w:szCs w:val="18"/>
                <w:color w:val="auto"/>
              </w:rPr>
              <w:t>Inline XBRL Taxonomy</w:t>
            </w:r>
          </w:p>
        </w:tc>
      </w:tr>
      <w:tr>
        <w:trPr>
          <w:trHeight w:val="230"/>
        </w:trPr>
        <w:tc>
          <w:tcPr>
            <w:tcW w:w="1180" w:type="dxa"/>
            <w:vAlign w:val="bottom"/>
          </w:tcPr>
          <w:p>
            <w:pPr>
              <w:spacing w:after="0"/>
              <w:rPr>
                <w:sz w:val="20"/>
                <w:szCs w:val="20"/>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rPr>
              <w:t>Extension Schema Document</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101.CAL*</w:t>
            </w:r>
          </w:p>
        </w:tc>
        <w:tc>
          <w:tcPr>
            <w:tcW w:w="2500" w:type="dxa"/>
            <w:vAlign w:val="bottom"/>
            <w:gridSpan w:val="7"/>
          </w:tcPr>
          <w:p>
            <w:pPr>
              <w:spacing w:after="0"/>
              <w:rPr>
                <w:sz w:val="20"/>
                <w:szCs w:val="20"/>
                <w:color w:val="auto"/>
              </w:rPr>
            </w:pPr>
            <w:r>
              <w:rPr>
                <w:rFonts w:ascii="Arial" w:cs="Arial" w:eastAsia="Arial" w:hAnsi="Arial"/>
                <w:sz w:val="18"/>
                <w:szCs w:val="18"/>
                <w:color w:val="auto"/>
              </w:rPr>
              <w:t>Inline XBRL Taxonomy</w:t>
            </w:r>
          </w:p>
        </w:tc>
      </w:tr>
      <w:tr>
        <w:trPr>
          <w:trHeight w:val="216"/>
        </w:trPr>
        <w:tc>
          <w:tcPr>
            <w:tcW w:w="1180" w:type="dxa"/>
            <w:vAlign w:val="bottom"/>
          </w:tcPr>
          <w:p>
            <w:pPr>
              <w:spacing w:after="0"/>
              <w:rPr>
                <w:sz w:val="18"/>
                <w:szCs w:val="18"/>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w w:val="99"/>
              </w:rPr>
              <w:t>Extension Calculation Linkbase</w:t>
            </w:r>
          </w:p>
        </w:tc>
      </w:tr>
      <w:tr>
        <w:trPr>
          <w:trHeight w:val="230"/>
        </w:trPr>
        <w:tc>
          <w:tcPr>
            <w:tcW w:w="1180" w:type="dxa"/>
            <w:vAlign w:val="bottom"/>
          </w:tcPr>
          <w:p>
            <w:pPr>
              <w:spacing w:after="0"/>
              <w:rPr>
                <w:sz w:val="20"/>
                <w:szCs w:val="20"/>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rPr>
              <w:t>Document</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101.DEF*</w:t>
            </w:r>
          </w:p>
        </w:tc>
        <w:tc>
          <w:tcPr>
            <w:tcW w:w="2500" w:type="dxa"/>
            <w:vAlign w:val="bottom"/>
            <w:gridSpan w:val="7"/>
          </w:tcPr>
          <w:p>
            <w:pPr>
              <w:spacing w:after="0"/>
              <w:rPr>
                <w:sz w:val="20"/>
                <w:szCs w:val="20"/>
                <w:color w:val="auto"/>
              </w:rPr>
            </w:pPr>
            <w:r>
              <w:rPr>
                <w:rFonts w:ascii="Arial" w:cs="Arial" w:eastAsia="Arial" w:hAnsi="Arial"/>
                <w:sz w:val="18"/>
                <w:szCs w:val="18"/>
                <w:color w:val="auto"/>
              </w:rPr>
              <w:t>Inline XBRL Taxonomy</w:t>
            </w:r>
          </w:p>
        </w:tc>
      </w:tr>
      <w:tr>
        <w:trPr>
          <w:trHeight w:val="216"/>
        </w:trPr>
        <w:tc>
          <w:tcPr>
            <w:tcW w:w="1180" w:type="dxa"/>
            <w:vAlign w:val="bottom"/>
          </w:tcPr>
          <w:p>
            <w:pPr>
              <w:spacing w:after="0"/>
              <w:rPr>
                <w:sz w:val="18"/>
                <w:szCs w:val="18"/>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rPr>
              <w:t>Extension Definition Linkbase</w:t>
            </w:r>
          </w:p>
        </w:tc>
      </w:tr>
      <w:tr>
        <w:trPr>
          <w:trHeight w:val="230"/>
        </w:trPr>
        <w:tc>
          <w:tcPr>
            <w:tcW w:w="1180" w:type="dxa"/>
            <w:vAlign w:val="bottom"/>
          </w:tcPr>
          <w:p>
            <w:pPr>
              <w:spacing w:after="0"/>
              <w:rPr>
                <w:sz w:val="20"/>
                <w:szCs w:val="20"/>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rPr>
              <w:t>Document</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101.LAB*</w:t>
            </w:r>
          </w:p>
        </w:tc>
        <w:tc>
          <w:tcPr>
            <w:tcW w:w="2500" w:type="dxa"/>
            <w:vAlign w:val="bottom"/>
            <w:gridSpan w:val="7"/>
          </w:tcPr>
          <w:p>
            <w:pPr>
              <w:spacing w:after="0"/>
              <w:rPr>
                <w:sz w:val="20"/>
                <w:szCs w:val="20"/>
                <w:color w:val="auto"/>
              </w:rPr>
            </w:pPr>
            <w:r>
              <w:rPr>
                <w:rFonts w:ascii="Arial" w:cs="Arial" w:eastAsia="Arial" w:hAnsi="Arial"/>
                <w:sz w:val="18"/>
                <w:szCs w:val="18"/>
                <w:color w:val="auto"/>
              </w:rPr>
              <w:t>Inline XBRL Taxonomy</w:t>
            </w:r>
          </w:p>
        </w:tc>
      </w:tr>
      <w:tr>
        <w:trPr>
          <w:trHeight w:val="216"/>
        </w:trPr>
        <w:tc>
          <w:tcPr>
            <w:tcW w:w="1180" w:type="dxa"/>
            <w:vAlign w:val="bottom"/>
          </w:tcPr>
          <w:p>
            <w:pPr>
              <w:spacing w:after="0"/>
              <w:rPr>
                <w:sz w:val="18"/>
                <w:szCs w:val="18"/>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rPr>
              <w:t>Extension Label Linkbase</w:t>
            </w:r>
          </w:p>
        </w:tc>
      </w:tr>
      <w:tr>
        <w:trPr>
          <w:trHeight w:val="230"/>
        </w:trPr>
        <w:tc>
          <w:tcPr>
            <w:tcW w:w="1180" w:type="dxa"/>
            <w:vAlign w:val="bottom"/>
          </w:tcPr>
          <w:p>
            <w:pPr>
              <w:spacing w:after="0"/>
              <w:rPr>
                <w:sz w:val="20"/>
                <w:szCs w:val="20"/>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rPr>
              <w:t>Document</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101.PRE*</w:t>
            </w:r>
          </w:p>
        </w:tc>
        <w:tc>
          <w:tcPr>
            <w:tcW w:w="2500" w:type="dxa"/>
            <w:vAlign w:val="bottom"/>
            <w:gridSpan w:val="7"/>
          </w:tcPr>
          <w:p>
            <w:pPr>
              <w:spacing w:after="0"/>
              <w:rPr>
                <w:sz w:val="20"/>
                <w:szCs w:val="20"/>
                <w:color w:val="auto"/>
              </w:rPr>
            </w:pPr>
            <w:r>
              <w:rPr>
                <w:rFonts w:ascii="Arial" w:cs="Arial" w:eastAsia="Arial" w:hAnsi="Arial"/>
                <w:sz w:val="18"/>
                <w:szCs w:val="18"/>
                <w:color w:val="auto"/>
              </w:rPr>
              <w:t>Inline XBRL Taxonomy</w:t>
            </w:r>
          </w:p>
        </w:tc>
      </w:tr>
      <w:tr>
        <w:trPr>
          <w:trHeight w:val="216"/>
        </w:trPr>
        <w:tc>
          <w:tcPr>
            <w:tcW w:w="1180" w:type="dxa"/>
            <w:vAlign w:val="bottom"/>
          </w:tcPr>
          <w:p>
            <w:pPr>
              <w:spacing w:after="0"/>
              <w:rPr>
                <w:sz w:val="18"/>
                <w:szCs w:val="18"/>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w w:val="94"/>
              </w:rPr>
              <w:t>Extension Presentation Linkbase</w:t>
            </w:r>
          </w:p>
        </w:tc>
      </w:tr>
      <w:tr>
        <w:trPr>
          <w:trHeight w:val="230"/>
        </w:trPr>
        <w:tc>
          <w:tcPr>
            <w:tcW w:w="1180" w:type="dxa"/>
            <w:vAlign w:val="bottom"/>
          </w:tcPr>
          <w:p>
            <w:pPr>
              <w:spacing w:after="0"/>
              <w:rPr>
                <w:sz w:val="20"/>
                <w:szCs w:val="20"/>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rPr>
              <w:t>Document</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104*</w:t>
            </w:r>
          </w:p>
        </w:tc>
        <w:tc>
          <w:tcPr>
            <w:tcW w:w="2500" w:type="dxa"/>
            <w:vAlign w:val="bottom"/>
            <w:gridSpan w:val="7"/>
          </w:tcPr>
          <w:p>
            <w:pPr>
              <w:spacing w:after="0"/>
              <w:rPr>
                <w:sz w:val="20"/>
                <w:szCs w:val="20"/>
                <w:color w:val="auto"/>
              </w:rPr>
            </w:pPr>
            <w:r>
              <w:rPr>
                <w:rFonts w:ascii="Arial" w:cs="Arial" w:eastAsia="Arial" w:hAnsi="Arial"/>
                <w:sz w:val="18"/>
                <w:szCs w:val="18"/>
                <w:color w:val="auto"/>
                <w:w w:val="95"/>
              </w:rPr>
              <w:t>Cover Page Interactive Data File</w:t>
            </w:r>
          </w:p>
        </w:tc>
      </w:tr>
      <w:tr>
        <w:trPr>
          <w:trHeight w:val="216"/>
        </w:trPr>
        <w:tc>
          <w:tcPr>
            <w:tcW w:w="1180" w:type="dxa"/>
            <w:vAlign w:val="bottom"/>
          </w:tcPr>
          <w:p>
            <w:pPr>
              <w:spacing w:after="0"/>
              <w:rPr>
                <w:sz w:val="18"/>
                <w:szCs w:val="18"/>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rPr>
              <w:t>(formatted as Inline XBRL and</w:t>
            </w:r>
          </w:p>
        </w:tc>
      </w:tr>
      <w:tr>
        <w:trPr>
          <w:trHeight w:val="230"/>
        </w:trPr>
        <w:tc>
          <w:tcPr>
            <w:tcW w:w="1180" w:type="dxa"/>
            <w:vAlign w:val="bottom"/>
          </w:tcPr>
          <w:p>
            <w:pPr>
              <w:spacing w:after="0"/>
              <w:rPr>
                <w:sz w:val="20"/>
                <w:szCs w:val="20"/>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rPr>
              <w:t>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82" w:lineRule="exact"/>
        <w:rPr>
          <w:sz w:val="20"/>
          <w:szCs w:val="20"/>
          <w:color w:val="auto"/>
        </w:rPr>
      </w:pPr>
    </w:p>
    <w:p>
      <w:pPr>
        <w:ind w:left="360" w:hanging="316"/>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60" w:right="99" w:hanging="316"/>
        <w:spacing w:after="0" w:line="253" w:lineRule="auto"/>
        <w:tabs>
          <w:tab w:leader="none" w:pos="3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herewith. Exhibit 32.1 is being furnished and shall not be deemed to be “filed” for purposes of Section 18 of the Exchange Act, or otherwise subject to the liability of that section, nor shall such exhibit be deemed to be incorporated by reference in any registration statement or other document filed under the Securities Act or the Exchange Act, except as otherwise specifically stated in such filing.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5840" w:type="dxa"/>
            <w:vAlign w:val="bottom"/>
            <w:gridSpan w:val="2"/>
          </w:tcPr>
          <w:p>
            <w:pPr>
              <w:ind w:left="2040"/>
              <w:spacing w:after="0"/>
              <w:rPr>
                <w:sz w:val="20"/>
                <w:szCs w:val="20"/>
                <w:color w:val="auto"/>
              </w:rPr>
            </w:pPr>
            <w:r>
              <w:rPr>
                <w:rFonts w:ascii="Arial" w:cs="Arial" w:eastAsia="Arial" w:hAnsi="Arial"/>
                <w:sz w:val="18"/>
                <w:szCs w:val="18"/>
                <w:color w:val="auto"/>
              </w:rPr>
              <w:t>Everspin Technologies, Inc.</w:t>
            </w: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Date: November 2, 2023</w:t>
            </w:r>
          </w:p>
        </w:tc>
        <w:tc>
          <w:tcPr>
            <w:tcW w:w="5840" w:type="dxa"/>
            <w:vAlign w:val="bottom"/>
            <w:gridSpan w:val="2"/>
          </w:tcPr>
          <w:p>
            <w:pPr>
              <w:ind w:left="2040"/>
              <w:spacing w:after="0"/>
              <w:rPr>
                <w:sz w:val="20"/>
                <w:szCs w:val="20"/>
                <w:color w:val="auto"/>
              </w:rPr>
            </w:pPr>
            <w:r>
              <w:rPr>
                <w:rFonts w:ascii="Arial" w:cs="Arial" w:eastAsia="Arial" w:hAnsi="Arial"/>
                <w:sz w:val="18"/>
                <w:szCs w:val="18"/>
                <w:color w:val="auto"/>
              </w:rPr>
              <w:t>By:/s/ Sanjeev Aggarwal</w:t>
            </w:r>
          </w:p>
        </w:tc>
      </w:tr>
      <w:tr>
        <w:trPr>
          <w:trHeight w:val="195"/>
        </w:trPr>
        <w:tc>
          <w:tcPr>
            <w:tcW w:w="30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Sanjeev Aggarwal</w:t>
            </w:r>
          </w:p>
        </w:tc>
      </w:tr>
      <w:tr>
        <w:trPr>
          <w:trHeight w:val="216"/>
        </w:trPr>
        <w:tc>
          <w:tcPr>
            <w:tcW w:w="30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0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864"/>
        </w:trPr>
        <w:tc>
          <w:tcPr>
            <w:tcW w:w="3080" w:type="dxa"/>
            <w:vAlign w:val="bottom"/>
          </w:tcPr>
          <w:p>
            <w:pPr>
              <w:spacing w:after="0"/>
              <w:rPr>
                <w:sz w:val="20"/>
                <w:szCs w:val="20"/>
                <w:color w:val="auto"/>
              </w:rPr>
            </w:pPr>
            <w:r>
              <w:rPr>
                <w:rFonts w:ascii="Arial" w:cs="Arial" w:eastAsia="Arial" w:hAnsi="Arial"/>
                <w:sz w:val="18"/>
                <w:szCs w:val="18"/>
                <w:color w:val="auto"/>
              </w:rPr>
              <w:t>Date: November 2, 2023</w:t>
            </w:r>
          </w:p>
        </w:tc>
        <w:tc>
          <w:tcPr>
            <w:tcW w:w="5840" w:type="dxa"/>
            <w:vAlign w:val="bottom"/>
            <w:gridSpan w:val="2"/>
          </w:tcPr>
          <w:p>
            <w:pPr>
              <w:ind w:left="2040"/>
              <w:spacing w:after="0"/>
              <w:rPr>
                <w:sz w:val="20"/>
                <w:szCs w:val="20"/>
                <w:color w:val="auto"/>
              </w:rPr>
            </w:pPr>
            <w:r>
              <w:rPr>
                <w:rFonts w:ascii="Arial" w:cs="Arial" w:eastAsia="Arial" w:hAnsi="Arial"/>
                <w:sz w:val="18"/>
                <w:szCs w:val="18"/>
                <w:color w:val="auto"/>
              </w:rPr>
              <w:t>By:/s/ Anuj Aggarwal</w:t>
            </w:r>
          </w:p>
        </w:tc>
      </w:tr>
      <w:tr>
        <w:trPr>
          <w:trHeight w:val="195"/>
        </w:trPr>
        <w:tc>
          <w:tcPr>
            <w:tcW w:w="30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Anuj Aggarwal</w:t>
            </w:r>
          </w:p>
        </w:tc>
      </w:tr>
      <w:tr>
        <w:trPr>
          <w:trHeight w:val="216"/>
        </w:trPr>
        <w:tc>
          <w:tcPr>
            <w:tcW w:w="30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0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75"/>
        </w:trPr>
        <w:tc>
          <w:tcPr>
            <w:tcW w:w="3080" w:type="dxa"/>
            <w:vAlign w:val="bottom"/>
          </w:tcPr>
          <w:p>
            <w:pPr>
              <w:spacing w:after="0"/>
              <w:rPr>
                <w:sz w:val="24"/>
                <w:szCs w:val="24"/>
                <w:color w:val="auto"/>
              </w:rPr>
            </w:pPr>
          </w:p>
        </w:tc>
        <w:tc>
          <w:tcPr>
            <w:tcW w:w="2320" w:type="dxa"/>
            <w:vAlign w:val="bottom"/>
          </w:tcPr>
          <w:p>
            <w:pPr>
              <w:jc w:val="right"/>
              <w:ind w:right="770"/>
              <w:spacing w:after="0"/>
              <w:rPr>
                <w:sz w:val="20"/>
                <w:szCs w:val="20"/>
                <w:color w:val="auto"/>
              </w:rPr>
            </w:pPr>
            <w:r>
              <w:rPr>
                <w:rFonts w:ascii="Arial" w:cs="Arial" w:eastAsia="Arial" w:hAnsi="Arial"/>
                <w:sz w:val="18"/>
                <w:szCs w:val="18"/>
                <w:color w:val="auto"/>
              </w:rPr>
              <w:t>45</w:t>
            </w:r>
          </w:p>
        </w:tc>
        <w:tc>
          <w:tcPr>
            <w:tcW w:w="3520" w:type="dxa"/>
            <w:vAlign w:val="bottom"/>
          </w:tcPr>
          <w:p>
            <w:pPr>
              <w:spacing w:after="0"/>
              <w:rPr>
                <w:sz w:val="24"/>
                <w:szCs w:val="24"/>
                <w:color w:val="auto"/>
              </w:rPr>
            </w:pPr>
          </w:p>
        </w:tc>
      </w:tr>
      <w:tr>
        <w:trPr>
          <w:trHeight w:val="560"/>
        </w:trPr>
        <w:tc>
          <w:tcPr>
            <w:tcW w:w="30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10.1</w:t>
      </w:r>
    </w:p>
    <w:p>
      <w:pPr>
        <w:spacing w:after="0" w:line="221" w:lineRule="exact"/>
        <w:rPr>
          <w:sz w:val="20"/>
          <w:szCs w:val="20"/>
          <w:color w:val="auto"/>
        </w:rPr>
      </w:pPr>
    </w:p>
    <w:p>
      <w:pPr>
        <w:ind w:right="240" w:firstLine="8"/>
        <w:spacing w:after="0" w:line="267" w:lineRule="auto"/>
        <w:tabs>
          <w:tab w:leader="none" w:pos="28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 Certain information in this document has been excluded as such information is not material and is the type of information that Everspin treats as private or confidential.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STT-MRAM JOINT DEVELOPMENT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(“Agreement”) is entered into as of October 17 2014 (“Effective Date”) by and between:</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Everspin Technologies, Inc., a corporation under the laws of Delaware, having an office at 1347 North Alma School Road, Suite 220 Chandler, Arizona 85224 and</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GLOBALFOUNDRIES Inc., a Cayman Islands corporation, having an address at PO Box 309, Ugland House, Grand Cayman, KY1-1104, Cayman Islands.</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Individually Everspin or GLOBALFOUNDRIES are referred to in this Agreement as a “Party” whereas collectively Everspin and GLOBALFOUNDRIES are referred to in this Agreement as the “Parties”.</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WHEREAS Everspin is engaged in, among other things, the research, design, and development of MRAM products and related semiconductor manufacturing processes;</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WHEREAS GLOBALFOUNDRIES is engaged in, among other things, the research, design, and development of semiconductor manufacturing processes, and the manufacture of semiconductor products for customers;</w:t>
      </w:r>
    </w:p>
    <w:p>
      <w:pPr>
        <w:spacing w:after="0" w:line="170"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WHEREAS the Parties wish to engage in joint development of 40nm STT-MRAM process technology and joint development of Embedded STT-MRAM Devices and Discrete STT-MRAM Devices and associated process technology for 28nm and smaller nodes, under the terms and conditions set forth herein and in the respective Statement(s) of Work (each attached hereto as an exhibit);</w:t>
      </w:r>
    </w:p>
    <w:p>
      <w:pPr>
        <w:spacing w:after="0" w:line="149"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WHEREAS the Parties agree that the terms and conditions of a production agreement, including pricing and quantities shall be the subject of a distinct and separate agreement and are not included in the subject matter of this Agreement but shall be captured in a separate manufacturing agreement;</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WHEREAS the Parties agree that the terms and conditions associated with GLOBALFOUNDRIES equity investment in Everspin, including pricing and quantities shall be the subject of a distinct and separate agreement and are not included in the subject matter of this Agreement but shall be captured in a separate equity agreement, (the “Equity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Sheet 1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20"/>
          </w:cols>
          <w:pgMar w:left="980" w:top="665" w:right="1039" w:bottom="1440" w:gutter="0" w:footer="0" w:header="0"/>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NOW THEREFORE the Parties further agree as follows:</w:t>
      </w:r>
    </w:p>
    <w:p>
      <w:pPr>
        <w:sectPr>
          <w:pgSz w:w="11900" w:h="16838" w:orient="portrait"/>
          <w:cols w:equalWidth="0" w:num="1">
            <w:col w:w="9880"/>
          </w:cols>
          <w:pgMar w:left="980" w:top="665" w:right="1039" w:bottom="1440" w:gutter="0" w:footer="0" w:header="0"/>
          <w:type w:val="continuous"/>
        </w:sectPr>
      </w:pPr>
    </w:p>
    <w:p>
      <w:pPr>
        <w:spacing w:after="0" w:line="244"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Development Period</w:t>
      </w:r>
    </w:p>
    <w:p>
      <w:pPr>
        <w:spacing w:after="0" w:line="225"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color w:val="auto"/>
        </w:rPr>
        <w:t>The term of this Agreement shall have a period lasting four (4) years from the Effective Date; provided, however, that if the term of a duly executed Statement of Work extends beyond the term of this Agreement, this Agreement shall end when such Statement of Work is completed, expires or is terminated.</w:t>
      </w:r>
    </w:p>
    <w:p>
      <w:pPr>
        <w:spacing w:after="0" w:line="184" w:lineRule="exact"/>
        <w:rPr>
          <w:sz w:val="20"/>
          <w:szCs w:val="20"/>
          <w:color w:val="auto"/>
        </w:rPr>
      </w:pPr>
    </w:p>
    <w:p>
      <w:pPr>
        <w:ind w:left="1300" w:right="84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During the term of this Agreement, the Parties shall collaborate and cooperate with each other in good faith performance of the Joint Development Work (as defined below).</w:t>
      </w:r>
    </w:p>
    <w:p>
      <w:pPr>
        <w:spacing w:after="0" w:line="170" w:lineRule="exact"/>
        <w:rPr>
          <w:sz w:val="20"/>
          <w:szCs w:val="20"/>
          <w:color w:val="auto"/>
        </w:rPr>
      </w:pPr>
    </w:p>
    <w:p>
      <w:pPr>
        <w:ind w:left="240" w:hanging="178"/>
        <w:spacing w:after="0"/>
        <w:tabs>
          <w:tab w:leader="none" w:pos="2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Steering Committee and Program Managers</w:t>
      </w:r>
    </w:p>
    <w:p>
      <w:pPr>
        <w:spacing w:after="0" w:line="225" w:lineRule="exact"/>
        <w:rPr>
          <w:sz w:val="20"/>
          <w:szCs w:val="20"/>
          <w:color w:val="auto"/>
        </w:rPr>
      </w:pPr>
    </w:p>
    <w:p>
      <w:pPr>
        <w:ind w:left="1300" w:hanging="647"/>
        <w:spacing w:after="0" w:line="254" w:lineRule="auto"/>
        <w:tabs>
          <w:tab w:leader="none" w:pos="12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color w:val="auto"/>
        </w:rPr>
        <w:t>The Parties agree to establish a management group comprising an equal number of employees (at least 2) of each Party (the “Steering Committee”) to oversee each project and to define a regular review process for the Parties’ executive management teams. The reviews shall be held on no less than a quarterly basis and are to include an overall progress report to be prepared by the Program Managers who will be identified in the respective Statement of Work. The Steering Committee will be responsible for establishing and agreeing on a Business Plan and be responsible for updating the Business Plan as needed, including approving any increases in Project Costs. All decisions of the Steering Committee must be unanimous.</w:t>
      </w:r>
    </w:p>
    <w:p>
      <w:pPr>
        <w:spacing w:after="0" w:line="195" w:lineRule="exact"/>
        <w:rPr>
          <w:sz w:val="20"/>
          <w:szCs w:val="20"/>
          <w:color w:val="auto"/>
        </w:rPr>
      </w:pPr>
    </w:p>
    <w:p>
      <w:pPr>
        <w:ind w:left="1300" w:right="120" w:hanging="647"/>
        <w:spacing w:after="0" w:line="279" w:lineRule="auto"/>
        <w:tabs>
          <w:tab w:leader="none" w:pos="12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color w:val="auto"/>
        </w:rPr>
        <w:t>The Parties each agree to appoint a representative employee (the “Program Manager”) to manage, perform, and monitor the overall Joint Development Work and to resolve any conflicts between the Parties relative to any technical matters contemplated by this Agreement and relative to allocation of work efforts. The Program Managers shall be responsible for the exchange of information as defined in Section 5 below.</w:t>
      </w:r>
    </w:p>
    <w:p>
      <w:pPr>
        <w:spacing w:after="0" w:line="171" w:lineRule="exact"/>
        <w:rPr>
          <w:sz w:val="20"/>
          <w:szCs w:val="20"/>
          <w:color w:val="auto"/>
        </w:rPr>
      </w:pPr>
    </w:p>
    <w:p>
      <w:pPr>
        <w:ind w:left="1300" w:right="20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color w:val="auto"/>
        </w:rPr>
        <w:t>The Program Managers and Steering Committee members appointed by each Party shall be as set forth in the respective Statement of Work attached hereto. Each Party, in its sole discretion, may replace any of its Program Managers or Steering Committee members appointed by such Party and will provide as much prior written notice as reasonably possible thereof to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Sheet 2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60"/>
          </w:cols>
          <w:pgMar w:left="980" w:top="665" w:right="999" w:bottom="1440" w:gutter="0" w:footer="0" w:header="0"/>
        </w:sectPr>
      </w:pPr>
    </w:p>
    <w:p>
      <w:pPr>
        <w:spacing w:after="0" w:line="30" w:lineRule="exact"/>
        <w:rPr>
          <w:sz w:val="20"/>
          <w:szCs w:val="20"/>
          <w:color w:val="auto"/>
        </w:rPr>
      </w:pPr>
    </w:p>
    <w:p>
      <w:pPr>
        <w:ind w:left="1300" w:right="220" w:hanging="647"/>
        <w:spacing w:after="0" w:line="293" w:lineRule="auto"/>
        <w:tabs>
          <w:tab w:leader="none" w:pos="12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color w:val="auto"/>
        </w:rPr>
        <w:t>Any disagreements between GLOBALFOUNDRIES and Everspin with respect to this Agreement and respective Statements of Work will first be discussed by the Program Managers. If a resolution cannot be reached within fifteen</w:t>
      </w:r>
    </w:p>
    <w:p>
      <w:pPr>
        <w:spacing w:after="0" w:line="1" w:lineRule="exact"/>
        <w:rPr>
          <w:sz w:val="20"/>
          <w:szCs w:val="20"/>
          <w:color w:val="auto"/>
        </w:rPr>
      </w:pPr>
    </w:p>
    <w:p>
      <w:pPr>
        <w:ind w:left="1300" w:firstLine="4"/>
        <w:spacing w:after="0" w:line="252" w:lineRule="auto"/>
        <w:tabs>
          <w:tab w:leader="none" w:pos="164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days, the matter will be escalated to the Steering Committee for resolution. If resolution is not reached by the Steering Committee within fifteen (15) days thereafter, the matter will be turned over to a designated senior executive from each Party for resolution; provided, however, that if the Parties are unable to agree on a particular process or design to be developed in an SOW, or should they disagree as to continued development of a process or design that was previously selected, [*] shall be [*]; provided [*], and provided further that [*]. If, after all the aforementioned steps for escalation have been taken and a resolution cannot be reached, the matter will be decided by the process outlined in Section 15.5.</w:t>
      </w:r>
    </w:p>
    <w:p>
      <w:pPr>
        <w:spacing w:after="0" w:line="188" w:lineRule="exact"/>
        <w:rPr>
          <w:rFonts w:ascii="Arial" w:cs="Arial" w:eastAsia="Arial" w:hAnsi="Arial"/>
          <w:sz w:val="18"/>
          <w:szCs w:val="18"/>
          <w:color w:val="auto"/>
        </w:rPr>
      </w:pPr>
    </w:p>
    <w:p>
      <w:pPr>
        <w:ind w:left="240" w:hanging="178"/>
        <w:spacing w:after="0"/>
        <w:tabs>
          <w:tab w:leader="none" w:pos="2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Joint Development Cost and Responsibility</w:t>
      </w:r>
    </w:p>
    <w:p>
      <w:pPr>
        <w:spacing w:after="0" w:line="225" w:lineRule="exact"/>
        <w:rPr>
          <w:sz w:val="20"/>
          <w:szCs w:val="20"/>
          <w:color w:val="auto"/>
        </w:rPr>
      </w:pPr>
    </w:p>
    <w:p>
      <w:pPr>
        <w:ind w:left="1300" w:right="200" w:hanging="647"/>
        <w:spacing w:after="0" w:line="263" w:lineRule="auto"/>
        <w:tabs>
          <w:tab w:leader="none" w:pos="12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color w:val="auto"/>
        </w:rPr>
        <w:t>The Parties agree that Exhibit B constitutes the initial Business Plan including projected Project Costs for each anticipated Statement of Work as of the Effective Date. Material changes to the Business Plan, including to projected Project Costs, require the mutual agreement of the Parties.</w:t>
      </w:r>
    </w:p>
    <w:p>
      <w:pPr>
        <w:spacing w:after="0" w:line="184" w:lineRule="exact"/>
        <w:rPr>
          <w:sz w:val="20"/>
          <w:szCs w:val="20"/>
          <w:color w:val="auto"/>
        </w:rPr>
      </w:pPr>
    </w:p>
    <w:p>
      <w:pPr>
        <w:ind w:left="1300" w:right="60" w:hanging="647"/>
        <w:spacing w:after="0" w:line="263" w:lineRule="auto"/>
        <w:tabs>
          <w:tab w:leader="none" w:pos="12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color w:val="auto"/>
        </w:rPr>
        <w:t>Except where otherwise agreed to in the Agreement, in a duly executed Statement of Work or separately in writing, the Parties agree to equally share the Project Costs incurred during the execution thereof, not to exceed those set forth in the Business Plan without mutual agreement.</w:t>
      </w:r>
    </w:p>
    <w:p>
      <w:pPr>
        <w:spacing w:after="0" w:line="184" w:lineRule="exact"/>
        <w:rPr>
          <w:sz w:val="20"/>
          <w:szCs w:val="20"/>
          <w:color w:val="auto"/>
        </w:rPr>
      </w:pPr>
    </w:p>
    <w:p>
      <w:pPr>
        <w:ind w:left="1300" w:right="22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color w:val="auto"/>
        </w:rPr>
        <w:t>[*] the cost of the [*] to be used for [*]. Such [*]; provided, however, [*] if appropriate. Any agreed upon [*] will be cost-shared as a Project Cost.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color w:val="auto"/>
        </w:rPr>
        <w:t>Within sixty (60) days after the end of the first three (3) calendar quarters after the Effective Date, and within thirty</w:t>
      </w:r>
    </w:p>
    <w:p>
      <w:pPr>
        <w:spacing w:after="0" w:line="27" w:lineRule="exact"/>
        <w:rPr>
          <w:sz w:val="20"/>
          <w:szCs w:val="20"/>
          <w:color w:val="auto"/>
        </w:rPr>
      </w:pPr>
    </w:p>
    <w:p>
      <w:pPr>
        <w:ind w:left="1300" w:right="120" w:firstLine="4"/>
        <w:spacing w:after="0" w:line="290" w:lineRule="auto"/>
        <w:tabs>
          <w:tab w:leader="none" w:pos="1645" w:val="left"/>
        </w:tabs>
        <w:numPr>
          <w:ilvl w:val="0"/>
          <w:numId w:val="24"/>
        </w:numPr>
        <w:rPr>
          <w:rFonts w:ascii="Arial" w:cs="Arial" w:eastAsia="Arial" w:hAnsi="Arial"/>
          <w:sz w:val="16"/>
          <w:szCs w:val="16"/>
          <w:color w:val="auto"/>
        </w:rPr>
      </w:pPr>
      <w:r>
        <w:rPr>
          <w:rFonts w:ascii="Arial" w:cs="Arial" w:eastAsia="Arial" w:hAnsi="Arial"/>
          <w:sz w:val="16"/>
          <w:szCs w:val="16"/>
          <w:color w:val="auto"/>
        </w:rPr>
        <w:t>days after the end of the calendar quarters thereafter, the Program Manager of each Party shall submit a report to the Program Manager of the other Party (or their designees as mutually agreed upon) setting forth (a) the incurred Project Costs for the preceding quarter and (b) a forecast of the Project Costs with respect to the then-current quarter and the following quarter. After submission of such report, the Party that has incurred [*] Project Costs shall issue an invoice to the other Party for [*] for the preceding quarter. The invoiced party shall pay the other Party the undisputed amount stated in each such invoice no later than forty-five (45) days following receipt.</w:t>
      </w:r>
    </w:p>
    <w:p>
      <w:pPr>
        <w:spacing w:after="0" w:line="160" w:lineRule="exact"/>
        <w:rPr>
          <w:sz w:val="20"/>
          <w:szCs w:val="20"/>
          <w:color w:val="auto"/>
        </w:rPr>
      </w:pPr>
    </w:p>
    <w:p>
      <w:pPr>
        <w:ind w:left="1300" w:right="4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8"/>
          <w:szCs w:val="18"/>
          <w:color w:val="auto"/>
        </w:rPr>
        <w:t>Except where otherwise agreed to in this Agreement, in the relevant SOW or separately in writing, as related to the performance of the Joint Development Work, each Party shall respectively be responsible for, and shall bear: (a) all of its own costs and expenses other than Project Costs; and, for avoidance of doubt, (b) all responsibility, and fully loaded costs and expenses for personnel it 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Sheet 3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20"/>
          </w:cols>
          <w:pgMar w:left="980" w:top="665" w:right="1039" w:bottom="1440" w:gutter="0" w:footer="0" w:header="0"/>
        </w:sectPr>
      </w:pPr>
    </w:p>
    <w:p>
      <w:pPr>
        <w:spacing w:after="0" w:line="30" w:lineRule="exact"/>
        <w:rPr>
          <w:sz w:val="20"/>
          <w:szCs w:val="20"/>
          <w:color w:val="auto"/>
        </w:rPr>
      </w:pPr>
    </w:p>
    <w:p>
      <w:pPr>
        <w:ind w:left="1300" w:right="60" w:hanging="647"/>
        <w:spacing w:after="0" w:line="254" w:lineRule="auto"/>
        <w:tabs>
          <w:tab w:leader="none" w:pos="128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8"/>
          <w:szCs w:val="18"/>
          <w:color w:val="auto"/>
        </w:rPr>
        <w:t>If the Parties mutually agree in writing to have Everspin or GLOBALFOUNDRIES dispatch its engineers and/or its technicians to the other Party’s facilities, the hosting Party shall provide such visiting personnel with reasonable office accommodations and access to equipment and tools as reasonably necessary for the Joint Development Work, consistent with such Party’s own workplace standards for its own employees, at no cost to the visiting Party; provided that such engineers and technicians shall comply with all applicable workplace rules, confidentiality, safety and security policies, rules and regulations applied by the hosting Party in accordance with the terms and conditions set forth in Section 18 and Section 19.</w:t>
      </w:r>
    </w:p>
    <w:p>
      <w:pPr>
        <w:spacing w:after="0" w:line="195" w:lineRule="exact"/>
        <w:rPr>
          <w:sz w:val="20"/>
          <w:szCs w:val="20"/>
          <w:color w:val="auto"/>
        </w:rPr>
      </w:pPr>
    </w:p>
    <w:p>
      <w:pPr>
        <w:ind w:left="1300" w:hanging="647"/>
        <w:spacing w:after="0" w:line="268" w:lineRule="auto"/>
        <w:tabs>
          <w:tab w:leader="none" w:pos="128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7"/>
          <w:szCs w:val="17"/>
          <w:color w:val="auto"/>
        </w:rPr>
        <w:t>Upon mutual agreement by the Parties, Everspin can pay all or some portion of their share of the Project Costs, invoiced according to Section 3.2 above, in the form of shares of common stock in Everspin pursuant to the terms and conditions of the Equity Agreement (“Pay by Stock” or “Payment by Stock”). For clarity, Everspin shall have no obligation to Pay by Stock and GLOBALFOUNDRIES shall have no obligation to accept Payment by Stock. The number of shares of common stock to be issued shall be agreed upon by the Parties at the time such Project Costs payments are due and shall be based on reasonable valuation methodologies; provided, however, that the valuation of Everspin stock shall not be valued at less than [*]. The Parties will discuss the timing of the payment dates for the Project Costs and issue date of the shares of common stock if such Project Costs will be paid in common stock and any such agreement will be captured in a supplement to the Equity Agreement. Everspin will provide GLOBALFOUNDRIES with written notice within fourteen days of receipt of the respective Project Cost invoice if it desires to Pay by Stock, and GLOBALFOUNDRIES will respond to such notice within thirty (30) days, indicating whether it wishes to accept Payment by Stock. No invoice for Project Costs under this Agreement shall be deemed to be overdue while the Parties are discussing Payment by Stock for such invoice.</w:t>
      </w:r>
    </w:p>
    <w:p>
      <w:pPr>
        <w:spacing w:after="0" w:line="186" w:lineRule="exact"/>
        <w:rPr>
          <w:sz w:val="20"/>
          <w:szCs w:val="20"/>
          <w:color w:val="auto"/>
        </w:rPr>
      </w:pPr>
    </w:p>
    <w:p>
      <w:pPr>
        <w:jc w:val="both"/>
        <w:ind w:left="1300" w:right="240" w:hanging="647"/>
        <w:spacing w:after="0" w:line="263" w:lineRule="auto"/>
        <w:tabs>
          <w:tab w:leader="none" w:pos="128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8"/>
          <w:szCs w:val="18"/>
          <w:color w:val="auto"/>
        </w:rPr>
        <w:t>For avoidance of doubt, Project Costs do not include any [*], the payment of which will be determined by the terms and conditions of the MA. For purposes of clarification, Project Costs do include those associated with or related to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Sheet 4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40"/>
          </w:cols>
          <w:pgMar w:left="980" w:top="665" w:right="1019" w:bottom="1440" w:gutter="0" w:footer="0" w:header="0"/>
        </w:sectPr>
      </w:pPr>
    </w:p>
    <w:p>
      <w:pPr>
        <w:spacing w:after="0" w:line="30"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 for Purposes of this Agreement</w:t>
      </w:r>
    </w:p>
    <w:p>
      <w:pPr>
        <w:spacing w:after="0" w:line="225" w:lineRule="exact"/>
        <w:rPr>
          <w:sz w:val="20"/>
          <w:szCs w:val="20"/>
          <w:color w:val="auto"/>
        </w:rPr>
      </w:pPr>
    </w:p>
    <w:p>
      <w:pPr>
        <w:ind w:left="1300" w:hanging="647"/>
        <w:spacing w:after="0" w:line="254" w:lineRule="auto"/>
        <w:tabs>
          <w:tab w:leader="none" w:pos="12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color w:val="auto"/>
        </w:rPr>
        <w:t>“Affiliate” of a Party means any entity that now or hereafter, directly or indirectly, controls, is controlled by, or is under common control with, either Party. The term “control” (including the terms “controlled by” and “under common control with”) means ownership of more than fifty percent 50% of the (i) outstanding shares or securities that represent the right to vote for the entity’s managing authority or (ii) ownership interest representing the right to (a) make the decisions for such entity, or (b) vote for, designate, or otherwise select members of the highest governing or decision making body, managing body or authority of such entity. An entity shall be deemed to be an Affiliate only so long as such ownership or control exists.</w:t>
      </w:r>
    </w:p>
    <w:p>
      <w:pPr>
        <w:spacing w:after="0" w:line="195" w:lineRule="exact"/>
        <w:rPr>
          <w:sz w:val="20"/>
          <w:szCs w:val="20"/>
          <w:color w:val="auto"/>
        </w:rPr>
      </w:pPr>
    </w:p>
    <w:p>
      <w:pPr>
        <w:ind w:left="1300" w:right="160" w:hanging="647"/>
        <w:spacing w:after="0" w:line="263" w:lineRule="auto"/>
        <w:tabs>
          <w:tab w:leader="none" w:pos="12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color w:val="auto"/>
        </w:rPr>
        <w:t>“Background IP” of a Party means Intellectual Property that is already established (i.e., owned or controlled) by such Party as of the Effective Date or is developed or acquired by such Party outside the scope of the Joint Development Work during the term of the Agreement.</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color w:val="auto"/>
        </w:rPr>
        <w:t>“Business Plan” means (collectively) (a) the business plan for the Statements of Work(s) agreed to by the Parties and</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the annual operating plan including projected Project Costs for each Statement of Work.</w:t>
      </w:r>
    </w:p>
    <w:p>
      <w:pPr>
        <w:spacing w:after="0" w:line="207" w:lineRule="exact"/>
        <w:rPr>
          <w:sz w:val="20"/>
          <w:szCs w:val="20"/>
          <w:color w:val="auto"/>
        </w:rPr>
      </w:pPr>
    </w:p>
    <w:p>
      <w:pPr>
        <w:ind w:left="1300" w:right="80" w:hanging="647"/>
        <w:spacing w:after="0" w:line="290" w:lineRule="auto"/>
        <w:tabs>
          <w:tab w:leader="none" w:pos="128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color w:val="auto"/>
        </w:rPr>
        <w:t>“Confidential Information” means all non-public and/or proprietary information and technical information (including, but not limited to, the terms of this Agreement including those set forth in a valid SOW) disclosed or generated during the term of this Agreement by either Party pursuant to this Agreement, whether disclosed in oral, written, graphic, machine recognizable (including computer programs or data bases), model or sample form, or any derivation thereof, provided that all Project Results shall be considered Confidential Information and any Confidential Information shall be clearly marked as confidential or with words of similar importance, or, if disclosed orally or in other intangible forms, shall be identified as being Confidential Information at the time of disclosure and reduced to writing within 15 days after such disclosure. However, “Confidential Information” does not include information:</w:t>
      </w:r>
    </w:p>
    <w:p>
      <w:pPr>
        <w:spacing w:after="0" w:line="165" w:lineRule="exact"/>
        <w:rPr>
          <w:sz w:val="20"/>
          <w:szCs w:val="20"/>
          <w:color w:val="auto"/>
        </w:rPr>
      </w:pPr>
    </w:p>
    <w:p>
      <w:pPr>
        <w:ind w:left="1960" w:right="260" w:hanging="647"/>
        <w:spacing w:after="0" w:line="277" w:lineRule="auto"/>
        <w:tabs>
          <w:tab w:leader="none" w:pos="1940" w:val="left"/>
        </w:tabs>
        <w:rPr>
          <w:sz w:val="20"/>
          <w:szCs w:val="20"/>
          <w:color w:val="auto"/>
        </w:rPr>
      </w:pPr>
      <w:r>
        <w:rPr>
          <w:rFonts w:ascii="Arial" w:cs="Arial" w:eastAsia="Arial" w:hAnsi="Arial"/>
          <w:sz w:val="18"/>
          <w:szCs w:val="18"/>
          <w:b w:val="1"/>
          <w:bCs w:val="1"/>
          <w:color w:val="auto"/>
        </w:rPr>
        <w:t>4.4.1</w:t>
      </w:r>
      <w:r>
        <w:rPr>
          <w:sz w:val="20"/>
          <w:szCs w:val="20"/>
          <w:color w:val="auto"/>
        </w:rPr>
        <w:tab/>
      </w:r>
      <w:r>
        <w:rPr>
          <w:rFonts w:ascii="Arial" w:cs="Arial" w:eastAsia="Arial" w:hAnsi="Arial"/>
          <w:sz w:val="18"/>
          <w:szCs w:val="18"/>
          <w:color w:val="auto"/>
        </w:rPr>
        <w:t>of which the receiving Party (“Recipient”) was rightfully in possession prior to disclosure, as evidenced by appropriate 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Sheet 5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00"/>
          </w:cols>
          <w:pgMar w:left="980" w:top="665" w:right="1059" w:bottom="1440" w:gutter="0" w:footer="0" w:header="0"/>
        </w:sectPr>
      </w:pPr>
    </w:p>
    <w:p>
      <w:pPr>
        <w:spacing w:after="0" w:line="30" w:lineRule="exact"/>
        <w:rPr>
          <w:sz w:val="20"/>
          <w:szCs w:val="20"/>
          <w:color w:val="auto"/>
        </w:rPr>
      </w:pPr>
    </w:p>
    <w:p>
      <w:pPr>
        <w:ind w:left="1960" w:right="140" w:hanging="647"/>
        <w:spacing w:after="0" w:line="277" w:lineRule="auto"/>
        <w:tabs>
          <w:tab w:leader="none" w:pos="1940" w:val="left"/>
        </w:tabs>
        <w:rPr>
          <w:sz w:val="20"/>
          <w:szCs w:val="20"/>
          <w:color w:val="auto"/>
        </w:rPr>
      </w:pPr>
      <w:r>
        <w:rPr>
          <w:rFonts w:ascii="Arial" w:cs="Arial" w:eastAsia="Arial" w:hAnsi="Arial"/>
          <w:sz w:val="18"/>
          <w:szCs w:val="18"/>
          <w:b w:val="1"/>
          <w:bCs w:val="1"/>
          <w:color w:val="auto"/>
        </w:rPr>
        <w:t>4.4.2</w:t>
      </w:r>
      <w:r>
        <w:rPr>
          <w:sz w:val="20"/>
          <w:szCs w:val="20"/>
          <w:color w:val="auto"/>
        </w:rPr>
        <w:tab/>
      </w:r>
      <w:r>
        <w:rPr>
          <w:rFonts w:ascii="Arial" w:cs="Arial" w:eastAsia="Arial" w:hAnsi="Arial"/>
          <w:sz w:val="18"/>
          <w:szCs w:val="18"/>
          <w:color w:val="auto"/>
        </w:rPr>
        <w:t>independently developed by employees and/or Consultants of Recipient who have not received any relevant information provided by the disclosing Party (“Provider”) hereunder;</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4.4.3</w:t>
      </w:r>
      <w:r>
        <w:rPr>
          <w:sz w:val="20"/>
          <w:szCs w:val="20"/>
          <w:color w:val="auto"/>
        </w:rPr>
        <w:tab/>
      </w:r>
      <w:r>
        <w:rPr>
          <w:rFonts w:ascii="Arial" w:cs="Arial" w:eastAsia="Arial" w:hAnsi="Arial"/>
          <w:sz w:val="16"/>
          <w:szCs w:val="16"/>
          <w:color w:val="auto"/>
        </w:rPr>
        <w:t>Recipient rightfully receives from a third party not owing a duty of confidentiality to Provider;</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4.4.4</w:t>
      </w:r>
      <w:r>
        <w:rPr>
          <w:sz w:val="20"/>
          <w:szCs w:val="20"/>
          <w:color w:val="auto"/>
        </w:rPr>
        <w:tab/>
      </w:r>
      <w:r>
        <w:rPr>
          <w:rFonts w:ascii="Arial" w:cs="Arial" w:eastAsia="Arial" w:hAnsi="Arial"/>
          <w:sz w:val="16"/>
          <w:szCs w:val="16"/>
          <w:color w:val="auto"/>
        </w:rPr>
        <w:t>that becomes publicly available without fault of Recipient; or</w:t>
      </w:r>
    </w:p>
    <w:p>
      <w:pPr>
        <w:spacing w:after="0" w:line="225" w:lineRule="exact"/>
        <w:rPr>
          <w:sz w:val="20"/>
          <w:szCs w:val="20"/>
          <w:color w:val="auto"/>
        </w:rPr>
      </w:pPr>
    </w:p>
    <w:p>
      <w:pPr>
        <w:jc w:val="center"/>
        <w:ind w:left="1220"/>
        <w:spacing w:after="0"/>
        <w:tabs>
          <w:tab w:leader="none" w:pos="280" w:val="left"/>
        </w:tabs>
        <w:rPr>
          <w:sz w:val="20"/>
          <w:szCs w:val="20"/>
          <w:color w:val="auto"/>
        </w:rPr>
      </w:pPr>
      <w:r>
        <w:rPr>
          <w:rFonts w:ascii="Arial" w:cs="Arial" w:eastAsia="Arial" w:hAnsi="Arial"/>
          <w:sz w:val="18"/>
          <w:szCs w:val="18"/>
          <w:b w:val="1"/>
          <w:bCs w:val="1"/>
          <w:color w:val="auto"/>
        </w:rPr>
        <w:t>4.4.5</w:t>
      </w:r>
      <w:r>
        <w:rPr>
          <w:sz w:val="20"/>
          <w:szCs w:val="20"/>
          <w:color w:val="auto"/>
        </w:rPr>
        <w:tab/>
      </w:r>
      <w:r>
        <w:rPr>
          <w:rFonts w:ascii="Arial" w:cs="Arial" w:eastAsia="Arial" w:hAnsi="Arial"/>
          <w:sz w:val="16"/>
          <w:szCs w:val="16"/>
          <w:color w:val="auto"/>
        </w:rPr>
        <w:t>whose disclosure is required by order of a court or governmental authority, but only to the extent required and</w:t>
      </w:r>
    </w:p>
    <w:p>
      <w:pPr>
        <w:spacing w:after="0" w:line="27" w:lineRule="exact"/>
        <w:rPr>
          <w:sz w:val="20"/>
          <w:szCs w:val="20"/>
          <w:color w:val="auto"/>
        </w:rPr>
      </w:pPr>
    </w:p>
    <w:p>
      <w:pPr>
        <w:ind w:left="1960" w:right="640"/>
        <w:spacing w:after="0" w:line="290" w:lineRule="auto"/>
        <w:rPr>
          <w:sz w:val="20"/>
          <w:szCs w:val="20"/>
          <w:color w:val="auto"/>
        </w:rPr>
      </w:pPr>
      <w:r>
        <w:rPr>
          <w:rFonts w:ascii="Arial" w:cs="Arial" w:eastAsia="Arial" w:hAnsi="Arial"/>
          <w:sz w:val="17"/>
          <w:szCs w:val="17"/>
          <w:color w:val="auto"/>
        </w:rPr>
        <w:t>provided that Provider shall have been given timely notice by Recipient of such requirement and that Recipient shall cooperate with Provider to limit the scope and effect of such order.</w:t>
      </w:r>
    </w:p>
    <w:p>
      <w:pPr>
        <w:spacing w:after="0" w:line="157" w:lineRule="exact"/>
        <w:rPr>
          <w:sz w:val="20"/>
          <w:szCs w:val="20"/>
          <w:color w:val="auto"/>
        </w:rPr>
      </w:pPr>
    </w:p>
    <w:p>
      <w:pPr>
        <w:ind w:left="1300" w:right="42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8"/>
          <w:szCs w:val="18"/>
          <w:color w:val="auto"/>
        </w:rPr>
        <w:t>“Consultants” of a Party means consultants, agents, representatives, partners, subcontractors and the like who are engaged by a Party to perform Joint Development Work on behalf of that Party.</w:t>
      </w:r>
    </w:p>
    <w:p>
      <w:pPr>
        <w:spacing w:after="0" w:line="170" w:lineRule="exact"/>
        <w:rPr>
          <w:sz w:val="20"/>
          <w:szCs w:val="20"/>
          <w:color w:val="auto"/>
        </w:rPr>
      </w:pPr>
    </w:p>
    <w:p>
      <w:pPr>
        <w:ind w:left="1300" w:right="22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8"/>
          <w:szCs w:val="18"/>
          <w:color w:val="auto"/>
        </w:rPr>
        <w:t>“Customer” means third parties that are evaluating or utilizing GLOBALFOUNDRIES for the manufacture of STT-MRAM Devices in the form of wafers for such third party’s use or sale.</w:t>
      </w:r>
    </w:p>
    <w:p>
      <w:pPr>
        <w:spacing w:after="0" w:line="170" w:lineRule="exact"/>
        <w:rPr>
          <w:sz w:val="20"/>
          <w:szCs w:val="20"/>
          <w:color w:val="auto"/>
        </w:rPr>
      </w:pPr>
    </w:p>
    <w:p>
      <w:pPr>
        <w:ind w:left="1300" w:right="34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8"/>
          <w:szCs w:val="18"/>
          <w:color w:val="auto"/>
        </w:rPr>
        <w:t>“Design Information” means the portion of the Project Results that are (i) the design libraries, standard cells or memory compilers, (ii) design information within a design kit used in the design and manufacture of STT-MRAM Devices, and/or (iii) chip designs embodied in test chips or test vehicles used solely to test and qualify the Joint Development Work.</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6"/>
          <w:szCs w:val="16"/>
          <w:color w:val="auto"/>
        </w:rPr>
        <w:t>“Discrete STT-MRAM Devices” means integrated circuit devices (i) having STT-MRAM memory cells thereon and</w:t>
      </w:r>
    </w:p>
    <w:p>
      <w:pPr>
        <w:spacing w:after="0" w:line="27" w:lineRule="exact"/>
        <w:rPr>
          <w:sz w:val="20"/>
          <w:szCs w:val="20"/>
          <w:color w:val="auto"/>
        </w:rPr>
      </w:pPr>
    </w:p>
    <w:p>
      <w:pPr>
        <w:ind w:left="1300" w:right="20" w:firstLine="4"/>
        <w:spacing w:after="0" w:line="260" w:lineRule="auto"/>
        <w:tabs>
          <w:tab w:leader="none" w:pos="15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whose primary function is memory storage, wherein the memory cells of the STT-MRAM are either In-Plane STT-MRAM or Perpendicular STT-MRAM.</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6"/>
          <w:szCs w:val="16"/>
          <w:color w:val="auto"/>
        </w:rPr>
        <w:t>“Embedded STT-MRAM Devices” means integrated circuit devices (i) having STT-MRAM memory cells thereon and</w:t>
      </w:r>
    </w:p>
    <w:p>
      <w:pPr>
        <w:spacing w:after="0" w:line="27" w:lineRule="exact"/>
        <w:rPr>
          <w:sz w:val="20"/>
          <w:szCs w:val="20"/>
          <w:color w:val="auto"/>
        </w:rPr>
      </w:pPr>
    </w:p>
    <w:p>
      <w:pPr>
        <w:ind w:left="1300" w:right="160" w:firstLine="4"/>
        <w:spacing w:after="0" w:line="260" w:lineRule="auto"/>
        <w:tabs>
          <w:tab w:leader="none" w:pos="15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whose primary function is not memory storage, wherein the memory cells of the STT-MRAM are either In-Plane STT-MRAM or Perpendicular STT-MRAM.</w:t>
      </w:r>
    </w:p>
    <w:p>
      <w:pPr>
        <w:spacing w:after="0" w:line="181" w:lineRule="exact"/>
        <w:rPr>
          <w:sz w:val="20"/>
          <w:szCs w:val="20"/>
          <w:color w:val="auto"/>
        </w:rPr>
      </w:pPr>
    </w:p>
    <w:p>
      <w:pPr>
        <w:jc w:val="both"/>
        <w:ind w:left="1300" w:right="140" w:hanging="647"/>
        <w:spacing w:after="0" w:line="263" w:lineRule="auto"/>
        <w:tabs>
          <w:tab w:leader="none" w:pos="1280" w:val="left"/>
        </w:tabs>
        <w:rPr>
          <w:sz w:val="20"/>
          <w:szCs w:val="20"/>
          <w:color w:val="auto"/>
        </w:rPr>
      </w:pPr>
      <w:r>
        <w:rPr>
          <w:rFonts w:ascii="Arial" w:cs="Arial" w:eastAsia="Arial" w:hAnsi="Arial"/>
          <w:sz w:val="18"/>
          <w:szCs w:val="18"/>
          <w:b w:val="1"/>
          <w:bCs w:val="1"/>
          <w:color w:val="auto"/>
        </w:rPr>
        <w:t>4.10</w:t>
      </w:r>
      <w:r>
        <w:rPr>
          <w:sz w:val="20"/>
          <w:szCs w:val="20"/>
          <w:color w:val="auto"/>
        </w:rPr>
        <w:tab/>
      </w:r>
      <w:r>
        <w:rPr>
          <w:rFonts w:ascii="Arial" w:cs="Arial" w:eastAsia="Arial" w:hAnsi="Arial"/>
          <w:sz w:val="18"/>
          <w:szCs w:val="18"/>
          <w:color w:val="auto"/>
        </w:rPr>
        <w:t>“Everspin IP” means Foreground IP that is: (i) created, made, conceived or reduced to practice solely by Everspin or their respective Consultants during the term of this Agreement and in the performance of this Agreement and (ii) any Joint Invention allocated to Everspin through the Invention Allocation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Sheet 6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60"/>
          </w:cols>
          <w:pgMar w:left="980" w:top="665" w:right="999" w:bottom="1440" w:gutter="0" w:footer="0" w:header="0"/>
        </w:sectPr>
      </w:pPr>
    </w:p>
    <w:p>
      <w:pPr>
        <w:spacing w:after="0" w:line="3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color w:val="auto"/>
        </w:rPr>
        <w:t>“Everspin” means Everspin Technologies, Inc., and its Affiliates.</w:t>
      </w:r>
    </w:p>
    <w:p>
      <w:pPr>
        <w:spacing w:after="0" w:line="225" w:lineRule="exact"/>
        <w:rPr>
          <w:sz w:val="20"/>
          <w:szCs w:val="20"/>
          <w:color w:val="auto"/>
        </w:rPr>
      </w:pPr>
    </w:p>
    <w:p>
      <w:pPr>
        <w:ind w:left="1300" w:right="14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8"/>
          <w:szCs w:val="18"/>
          <w:color w:val="auto"/>
        </w:rPr>
        <w:t>“Exclusivity Period” means for Discrete STT-MRAM Devices and Embedded STT-MRAM Devices, the time period from the Effective Date until three (3) years after the M6 Qualification of such STT-MRAM Device for the respective technology node, but in no event longer than four (4) years from the completion of the relevant Statement of Work under which the STT-MRAM Device was developed.</w:t>
      </w:r>
    </w:p>
    <w:p>
      <w:pPr>
        <w:spacing w:after="0" w:line="187" w:lineRule="exact"/>
        <w:rPr>
          <w:sz w:val="20"/>
          <w:szCs w:val="20"/>
          <w:color w:val="auto"/>
        </w:rPr>
      </w:pPr>
    </w:p>
    <w:p>
      <w:pPr>
        <w:ind w:left="1300" w:hanging="647"/>
        <w:spacing w:after="0" w:line="257" w:lineRule="auto"/>
        <w:tabs>
          <w:tab w:leader="none" w:pos="128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8"/>
          <w:szCs w:val="18"/>
          <w:color w:val="auto"/>
        </w:rPr>
        <w:t>“Foreground IP” means Intellectual Property that may be either solely or jointly created, made, conceived or reduced to practice by the Parties or their respective Consultants during the course of and as part of the Joint Development Work that results from the Joint Development Work contemplated by, set forth in, and/or performed under, this Agreement including any Statements of Work during the term of this Agreement and in the performance of this Agreement. Foreground IP shall not include Background IP.</w:t>
      </w:r>
    </w:p>
    <w:p>
      <w:pPr>
        <w:spacing w:after="0" w:line="188" w:lineRule="exact"/>
        <w:rPr>
          <w:sz w:val="20"/>
          <w:szCs w:val="20"/>
          <w:color w:val="auto"/>
        </w:rPr>
      </w:pPr>
    </w:p>
    <w:p>
      <w:pPr>
        <w:ind w:left="1300" w:right="2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4.14</w:t>
      </w:r>
      <w:r>
        <w:rPr>
          <w:sz w:val="20"/>
          <w:szCs w:val="20"/>
          <w:color w:val="auto"/>
        </w:rPr>
        <w:tab/>
      </w:r>
      <w:r>
        <w:rPr>
          <w:rFonts w:ascii="Arial" w:cs="Arial" w:eastAsia="Arial" w:hAnsi="Arial"/>
          <w:sz w:val="18"/>
          <w:szCs w:val="18"/>
          <w:color w:val="auto"/>
        </w:rPr>
        <w:t>“GLOBALFOUNDRIES IP” means Foreground IP that is: (i) created, made, conceived or reduced to practice solely by GLOBALFOUNDRIES or their respective Consultants during the term of this Agreement and in the performance of this Agreement and (ii) any Joint Invention allocated to GLOBALFOUNDRIES through the Invention Allocation Procedure.</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4.15</w:t>
      </w:r>
      <w:r>
        <w:rPr>
          <w:sz w:val="20"/>
          <w:szCs w:val="20"/>
          <w:color w:val="auto"/>
        </w:rPr>
        <w:tab/>
      </w:r>
      <w:r>
        <w:rPr>
          <w:rFonts w:ascii="Arial" w:cs="Arial" w:eastAsia="Arial" w:hAnsi="Arial"/>
          <w:sz w:val="17"/>
          <w:szCs w:val="17"/>
          <w:color w:val="auto"/>
        </w:rPr>
        <w:t>“GLOBALFOUNDRIES” means GLOBALFOUNDRIES Inc. and its Affiliates.</w:t>
      </w:r>
    </w:p>
    <w:p>
      <w:pPr>
        <w:spacing w:after="0" w:line="225" w:lineRule="exact"/>
        <w:rPr>
          <w:sz w:val="20"/>
          <w:szCs w:val="20"/>
          <w:color w:val="auto"/>
        </w:rPr>
      </w:pPr>
    </w:p>
    <w:p>
      <w:pPr>
        <w:ind w:left="1300" w:right="8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4.16</w:t>
      </w:r>
      <w:r>
        <w:rPr>
          <w:sz w:val="20"/>
          <w:szCs w:val="20"/>
          <w:color w:val="auto"/>
        </w:rPr>
        <w:tab/>
      </w:r>
      <w:r>
        <w:rPr>
          <w:rFonts w:ascii="Arial" w:cs="Arial" w:eastAsia="Arial" w:hAnsi="Arial"/>
          <w:sz w:val="18"/>
          <w:szCs w:val="18"/>
          <w:color w:val="auto"/>
        </w:rPr>
        <w:t>“In-Plane STT-MRAM” means STT-MRAM technology where the pinned and free layer field orientation is within the plane of these layers.</w:t>
      </w:r>
    </w:p>
    <w:p>
      <w:pPr>
        <w:spacing w:after="0" w:line="170" w:lineRule="exact"/>
        <w:rPr>
          <w:sz w:val="20"/>
          <w:szCs w:val="20"/>
          <w:color w:val="auto"/>
        </w:rPr>
      </w:pPr>
    </w:p>
    <w:p>
      <w:pPr>
        <w:ind w:left="1300" w:right="100" w:hanging="647"/>
        <w:spacing w:after="0" w:line="263" w:lineRule="auto"/>
        <w:tabs>
          <w:tab w:leader="none" w:pos="1280" w:val="left"/>
        </w:tabs>
        <w:rPr>
          <w:sz w:val="20"/>
          <w:szCs w:val="20"/>
          <w:color w:val="auto"/>
        </w:rPr>
      </w:pPr>
      <w:r>
        <w:rPr>
          <w:rFonts w:ascii="Arial" w:cs="Arial" w:eastAsia="Arial" w:hAnsi="Arial"/>
          <w:sz w:val="18"/>
          <w:szCs w:val="18"/>
          <w:b w:val="1"/>
          <w:bCs w:val="1"/>
          <w:color w:val="auto"/>
        </w:rPr>
        <w:t>4.17</w:t>
      </w:r>
      <w:r>
        <w:rPr>
          <w:sz w:val="20"/>
          <w:szCs w:val="20"/>
          <w:color w:val="auto"/>
        </w:rPr>
        <w:tab/>
      </w:r>
      <w:r>
        <w:rPr>
          <w:rFonts w:ascii="Arial" w:cs="Arial" w:eastAsia="Arial" w:hAnsi="Arial"/>
          <w:sz w:val="18"/>
          <w:szCs w:val="18"/>
          <w:color w:val="auto"/>
        </w:rPr>
        <w:t>“Intellectual Property” means discoveries; ideas; drawings; improvements; inventions; know-how; knowledge; processes; products; trade secrets; copyrights; patents; maskworks or other intellectual property, whether patentable or not.</w:t>
      </w:r>
    </w:p>
    <w:p>
      <w:pPr>
        <w:spacing w:after="0" w:line="184" w:lineRule="exact"/>
        <w:rPr>
          <w:sz w:val="20"/>
          <w:szCs w:val="20"/>
          <w:color w:val="auto"/>
        </w:rPr>
      </w:pPr>
    </w:p>
    <w:p>
      <w:pPr>
        <w:ind w:left="1300" w:right="140" w:hanging="647"/>
        <w:spacing w:after="0" w:line="342" w:lineRule="auto"/>
        <w:tabs>
          <w:tab w:leader="none" w:pos="1280" w:val="left"/>
        </w:tabs>
        <w:rPr>
          <w:sz w:val="20"/>
          <w:szCs w:val="20"/>
          <w:color w:val="auto"/>
        </w:rPr>
      </w:pPr>
      <w:r>
        <w:rPr>
          <w:rFonts w:ascii="Arial" w:cs="Arial" w:eastAsia="Arial" w:hAnsi="Arial"/>
          <w:sz w:val="18"/>
          <w:szCs w:val="18"/>
          <w:b w:val="1"/>
          <w:bCs w:val="1"/>
          <w:color w:val="auto"/>
        </w:rPr>
        <w:t>4.18</w:t>
      </w:r>
      <w:r>
        <w:rPr>
          <w:sz w:val="20"/>
          <w:szCs w:val="20"/>
          <w:color w:val="auto"/>
        </w:rPr>
        <w:tab/>
      </w:r>
      <w:r>
        <w:rPr>
          <w:rFonts w:ascii="Arial" w:cs="Arial" w:eastAsia="Arial" w:hAnsi="Arial"/>
          <w:sz w:val="16"/>
          <w:szCs w:val="16"/>
          <w:color w:val="auto"/>
        </w:rPr>
        <w:t>“Invention Allocation Procedure” means the procedure set forth in Exhibit A for allocating a Joint Invention, and title to all patent applications filed thereon and all patents issued thereon, to either Everspin or GLOBALFOUNDRIES.</w:t>
      </w:r>
    </w:p>
    <w:p>
      <w:pPr>
        <w:spacing w:after="0" w:line="124" w:lineRule="exact"/>
        <w:rPr>
          <w:sz w:val="20"/>
          <w:szCs w:val="20"/>
          <w:color w:val="auto"/>
        </w:rPr>
      </w:pPr>
    </w:p>
    <w:p>
      <w:pPr>
        <w:ind w:left="1300" w:right="44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4.19</w:t>
      </w:r>
      <w:r>
        <w:rPr>
          <w:sz w:val="20"/>
          <w:szCs w:val="20"/>
          <w:color w:val="auto"/>
        </w:rPr>
        <w:tab/>
      </w:r>
      <w:r>
        <w:rPr>
          <w:rFonts w:ascii="Arial" w:cs="Arial" w:eastAsia="Arial" w:hAnsi="Arial"/>
          <w:sz w:val="18"/>
          <w:szCs w:val="18"/>
          <w:color w:val="auto"/>
        </w:rPr>
        <w:t>“Joint Development Work” means all development work contemplated by this Agreement and carried out under a Statement of Work.</w:t>
      </w:r>
    </w:p>
    <w:p>
      <w:pPr>
        <w:spacing w:after="0" w:line="170" w:lineRule="exact"/>
        <w:rPr>
          <w:sz w:val="20"/>
          <w:szCs w:val="20"/>
          <w:color w:val="auto"/>
        </w:rPr>
      </w:pPr>
    </w:p>
    <w:p>
      <w:pPr>
        <w:ind w:left="1300" w:right="12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4.20</w:t>
      </w:r>
      <w:r>
        <w:rPr>
          <w:sz w:val="20"/>
          <w:szCs w:val="20"/>
          <w:color w:val="auto"/>
        </w:rPr>
        <w:tab/>
      </w:r>
      <w:r>
        <w:rPr>
          <w:rFonts w:ascii="Arial" w:cs="Arial" w:eastAsia="Arial" w:hAnsi="Arial"/>
          <w:sz w:val="18"/>
          <w:szCs w:val="18"/>
          <w:color w:val="auto"/>
        </w:rPr>
        <w:t>“Joint Invention” means, with respect to the JOINT IP, each invention, discovery, design, and improvement conceived or first actually reduced to practice jointly by one or more employees or Consultants of GLOBALFOUNDRIES with one or more employees or Consultants of Everspin for which a written invention disclosure has been submitted to a Party’s legal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Sheet 7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20"/>
          </w:cols>
          <w:pgMar w:left="980" w:top="665" w:right="1039" w:bottom="1440" w:gutter="0" w:footer="0" w:header="0"/>
        </w:sectPr>
      </w:pPr>
    </w:p>
    <w:p>
      <w:pPr>
        <w:spacing w:after="0" w:line="30" w:lineRule="exact"/>
        <w:rPr>
          <w:sz w:val="20"/>
          <w:szCs w:val="20"/>
          <w:color w:val="auto"/>
        </w:rPr>
      </w:pPr>
    </w:p>
    <w:p>
      <w:pPr>
        <w:ind w:left="1300" w:right="20" w:hanging="647"/>
        <w:spacing w:after="0" w:line="275" w:lineRule="auto"/>
        <w:tabs>
          <w:tab w:leader="none" w:pos="1280" w:val="left"/>
        </w:tabs>
        <w:rPr>
          <w:sz w:val="20"/>
          <w:szCs w:val="20"/>
          <w:color w:val="auto"/>
        </w:rPr>
      </w:pPr>
      <w:r>
        <w:rPr>
          <w:rFonts w:ascii="Arial" w:cs="Arial" w:eastAsia="Arial" w:hAnsi="Arial"/>
          <w:sz w:val="18"/>
          <w:szCs w:val="18"/>
          <w:b w:val="1"/>
          <w:bCs w:val="1"/>
          <w:color w:val="auto"/>
        </w:rPr>
        <w:t>4.21</w:t>
      </w:r>
      <w:r>
        <w:rPr>
          <w:sz w:val="20"/>
          <w:szCs w:val="20"/>
          <w:color w:val="auto"/>
        </w:rPr>
        <w:tab/>
      </w:r>
      <w:r>
        <w:rPr>
          <w:rFonts w:ascii="Arial" w:cs="Arial" w:eastAsia="Arial" w:hAnsi="Arial"/>
          <w:sz w:val="17"/>
          <w:szCs w:val="17"/>
          <w:color w:val="auto"/>
        </w:rPr>
        <w:t>“JOINT IP” means all Foreground IP which does not fall under the definition of either GLOBALFOUNDRIES IP or Everspin IP, wherein GLOBALFOUNDRIES and Everspin and/or their Consultants both made substantial contributions to its development. Where a layout, circuit design, product, technique, material, structure, method or process consists of multiple parts, elements or steps, each of which is capable of being subject to a claim of ownership, each such part, element or step will be analyzed separately to determine if it constitutes JOINT IP.</w:t>
      </w:r>
    </w:p>
    <w:p>
      <w:pPr>
        <w:spacing w:after="0" w:line="176" w:lineRule="exact"/>
        <w:rPr>
          <w:sz w:val="20"/>
          <w:szCs w:val="20"/>
          <w:color w:val="auto"/>
        </w:rPr>
      </w:pPr>
    </w:p>
    <w:p>
      <w:pPr>
        <w:ind w:left="1300" w:right="2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4.22</w:t>
      </w:r>
      <w:r>
        <w:rPr>
          <w:sz w:val="20"/>
          <w:szCs w:val="20"/>
          <w:color w:val="auto"/>
        </w:rPr>
        <w:tab/>
      </w:r>
      <w:r>
        <w:rPr>
          <w:rFonts w:ascii="Arial" w:cs="Arial" w:eastAsia="Arial" w:hAnsi="Arial"/>
          <w:sz w:val="18"/>
          <w:szCs w:val="18"/>
          <w:color w:val="auto"/>
        </w:rPr>
        <w:t>“M6 Qualification” means, for a respective STT-MRAM Device, the yield, process and reliability demonstration on an integrated process test chip, as defined for the qualification in GLOBALFOUNDRIES Facilities for production in limited volumes. Such qualification includes passing intrinsic and circuit level reliability, yield metrics including D0 targets, and process design kit maturity.</w:t>
      </w:r>
    </w:p>
    <w:p>
      <w:pPr>
        <w:spacing w:after="0" w:line="187" w:lineRule="exact"/>
        <w:rPr>
          <w:sz w:val="20"/>
          <w:szCs w:val="20"/>
          <w:color w:val="auto"/>
        </w:rPr>
      </w:pPr>
    </w:p>
    <w:p>
      <w:pPr>
        <w:ind w:left="1300" w:hanging="647"/>
        <w:spacing w:after="0" w:line="342" w:lineRule="auto"/>
        <w:tabs>
          <w:tab w:leader="none" w:pos="1280" w:val="left"/>
        </w:tabs>
        <w:rPr>
          <w:sz w:val="20"/>
          <w:szCs w:val="20"/>
          <w:color w:val="auto"/>
        </w:rPr>
      </w:pPr>
      <w:r>
        <w:rPr>
          <w:rFonts w:ascii="Arial" w:cs="Arial" w:eastAsia="Arial" w:hAnsi="Arial"/>
          <w:sz w:val="18"/>
          <w:szCs w:val="18"/>
          <w:b w:val="1"/>
          <w:bCs w:val="1"/>
          <w:color w:val="auto"/>
        </w:rPr>
        <w:t>4.23</w:t>
      </w:r>
      <w:r>
        <w:rPr>
          <w:sz w:val="20"/>
          <w:szCs w:val="20"/>
          <w:color w:val="auto"/>
        </w:rPr>
        <w:tab/>
      </w:r>
      <w:r>
        <w:rPr>
          <w:rFonts w:ascii="Arial" w:cs="Arial" w:eastAsia="Arial" w:hAnsi="Arial"/>
          <w:sz w:val="16"/>
          <w:szCs w:val="16"/>
          <w:color w:val="auto"/>
        </w:rPr>
        <w:t>“MA” means the manufacturing agreement between the Parties with an effective date of October 23, 2014 that governs the terms and conditions for wafers supplied to Everspin, including any amendments or attachments thereto.</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4.24</w:t>
      </w:r>
      <w:r>
        <w:rPr>
          <w:sz w:val="20"/>
          <w:szCs w:val="20"/>
          <w:color w:val="auto"/>
        </w:rPr>
        <w:tab/>
      </w:r>
      <w:r>
        <w:rPr>
          <w:rFonts w:ascii="Arial" w:cs="Arial" w:eastAsia="Arial" w:hAnsi="Arial"/>
          <w:sz w:val="16"/>
          <w:szCs w:val="16"/>
          <w:color w:val="auto"/>
        </w:rPr>
        <w:t>“MRAM” means magnetoresistive random access memory.</w:t>
      </w:r>
    </w:p>
    <w:p>
      <w:pPr>
        <w:spacing w:after="0" w:line="225" w:lineRule="exact"/>
        <w:rPr>
          <w:sz w:val="20"/>
          <w:szCs w:val="20"/>
          <w:color w:val="auto"/>
        </w:rPr>
      </w:pPr>
    </w:p>
    <w:p>
      <w:pPr>
        <w:ind w:left="1300" w:right="6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4.25</w:t>
      </w:r>
      <w:r>
        <w:rPr>
          <w:sz w:val="20"/>
          <w:szCs w:val="20"/>
          <w:color w:val="auto"/>
        </w:rPr>
        <w:tab/>
      </w:r>
      <w:r>
        <w:rPr>
          <w:rFonts w:ascii="Arial" w:cs="Arial" w:eastAsia="Arial" w:hAnsi="Arial"/>
          <w:sz w:val="18"/>
          <w:szCs w:val="18"/>
          <w:color w:val="auto"/>
        </w:rPr>
        <w:t>“Perpendicular STT-MRAM” means STT-MRAM where the pinned and free layer field orientation is perpendicular to the plane of these layers.</w:t>
      </w:r>
    </w:p>
    <w:p>
      <w:pPr>
        <w:spacing w:after="0" w:line="170" w:lineRule="exact"/>
        <w:rPr>
          <w:sz w:val="20"/>
          <w:szCs w:val="20"/>
          <w:color w:val="auto"/>
        </w:rPr>
      </w:pPr>
    </w:p>
    <w:p>
      <w:pPr>
        <w:ind w:left="1300" w:right="120" w:hanging="647"/>
        <w:spacing w:after="0" w:line="257" w:lineRule="auto"/>
        <w:tabs>
          <w:tab w:leader="none" w:pos="1280" w:val="left"/>
        </w:tabs>
        <w:rPr>
          <w:sz w:val="20"/>
          <w:szCs w:val="20"/>
          <w:color w:val="auto"/>
        </w:rPr>
      </w:pPr>
      <w:r>
        <w:rPr>
          <w:rFonts w:ascii="Arial" w:cs="Arial" w:eastAsia="Arial" w:hAnsi="Arial"/>
          <w:sz w:val="18"/>
          <w:szCs w:val="18"/>
          <w:b w:val="1"/>
          <w:bCs w:val="1"/>
          <w:color w:val="auto"/>
        </w:rPr>
        <w:t>4.26</w:t>
      </w:r>
      <w:r>
        <w:rPr>
          <w:sz w:val="20"/>
          <w:szCs w:val="20"/>
          <w:color w:val="auto"/>
        </w:rPr>
        <w:tab/>
      </w:r>
      <w:r>
        <w:rPr>
          <w:rFonts w:ascii="Arial" w:cs="Arial" w:eastAsia="Arial" w:hAnsi="Arial"/>
          <w:sz w:val="18"/>
          <w:szCs w:val="18"/>
          <w:color w:val="auto"/>
        </w:rPr>
        <w:t>“Project Costs” means the cost and related expenses (such as necessary shipping costs) of process consumables, including but not limited to chemicals, targets and gases that are consumed during the operation of the semiconductor manufacturing processes, wafers, test chips and reticle costs, to the extent utilized or incurred in connection with the Joint Development Work. For the avoidance of doubt, Project Costs do not include any portion of costs related to human resources.</w:t>
      </w:r>
    </w:p>
    <w:p>
      <w:pPr>
        <w:spacing w:after="0" w:line="188" w:lineRule="exact"/>
        <w:rPr>
          <w:sz w:val="20"/>
          <w:szCs w:val="20"/>
          <w:color w:val="auto"/>
        </w:rPr>
      </w:pPr>
    </w:p>
    <w:p>
      <w:pPr>
        <w:ind w:left="1300" w:right="140" w:hanging="647"/>
        <w:spacing w:after="0" w:line="279" w:lineRule="auto"/>
        <w:tabs>
          <w:tab w:leader="none" w:pos="1280" w:val="left"/>
        </w:tabs>
        <w:rPr>
          <w:sz w:val="20"/>
          <w:szCs w:val="20"/>
          <w:color w:val="auto"/>
        </w:rPr>
      </w:pPr>
      <w:r>
        <w:rPr>
          <w:rFonts w:ascii="Arial" w:cs="Arial" w:eastAsia="Arial" w:hAnsi="Arial"/>
          <w:sz w:val="18"/>
          <w:szCs w:val="18"/>
          <w:b w:val="1"/>
          <w:bCs w:val="1"/>
          <w:color w:val="auto"/>
        </w:rPr>
        <w:t>4.27</w:t>
      </w:r>
      <w:r>
        <w:rPr>
          <w:sz w:val="20"/>
          <w:szCs w:val="20"/>
          <w:color w:val="auto"/>
        </w:rPr>
        <w:tab/>
      </w:r>
      <w:r>
        <w:rPr>
          <w:rFonts w:ascii="Arial" w:cs="Arial" w:eastAsia="Arial" w:hAnsi="Arial"/>
          <w:sz w:val="17"/>
          <w:szCs w:val="17"/>
          <w:color w:val="auto"/>
        </w:rPr>
        <w:t>“Project Result” means (a) any product, material, structure, layout, circuit design, method or process (i) developed pursuant to the Joint Development Work, and/or (ii) which is or uses Foreground IP and/or Everspin Background IP, and (b) all tangible and intangible results and items arising out of or constituting the results of the Joint Development Work, including, without limitation, all deliverables and 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Sheet 8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40"/>
          </w:cols>
          <w:pgMar w:left="980" w:top="665" w:right="1019" w:bottom="1440" w:gutter="0" w:footer="0" w:header="0"/>
        </w:sectPr>
      </w:pPr>
    </w:p>
    <w:p>
      <w:pPr>
        <w:spacing w:after="0" w:line="30" w:lineRule="exact"/>
        <w:rPr>
          <w:sz w:val="20"/>
          <w:szCs w:val="20"/>
          <w:color w:val="auto"/>
        </w:rPr>
      </w:pPr>
    </w:p>
    <w:p>
      <w:pPr>
        <w:ind w:left="1300" w:right="10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4.28</w:t>
      </w:r>
      <w:r>
        <w:rPr>
          <w:sz w:val="20"/>
          <w:szCs w:val="20"/>
          <w:color w:val="auto"/>
        </w:rPr>
        <w:tab/>
      </w:r>
      <w:r>
        <w:rPr>
          <w:rFonts w:ascii="Arial" w:cs="Arial" w:eastAsia="Arial" w:hAnsi="Arial"/>
          <w:sz w:val="18"/>
          <w:szCs w:val="18"/>
          <w:color w:val="auto"/>
        </w:rPr>
        <w:t>“Specifications” means the technical and other specifications for the Joint Development Work agreed to by the Parties pursuant to a Statement of Work.</w:t>
      </w:r>
    </w:p>
    <w:p>
      <w:pPr>
        <w:spacing w:after="0" w:line="170" w:lineRule="exact"/>
        <w:rPr>
          <w:sz w:val="20"/>
          <w:szCs w:val="20"/>
          <w:color w:val="auto"/>
        </w:rPr>
      </w:pPr>
    </w:p>
    <w:p>
      <w:pPr>
        <w:ind w:left="1300" w:hanging="647"/>
        <w:spacing w:after="0" w:line="257" w:lineRule="auto"/>
        <w:tabs>
          <w:tab w:leader="none" w:pos="1280" w:val="left"/>
        </w:tabs>
        <w:rPr>
          <w:sz w:val="20"/>
          <w:szCs w:val="20"/>
          <w:color w:val="auto"/>
        </w:rPr>
      </w:pPr>
      <w:r>
        <w:rPr>
          <w:rFonts w:ascii="Arial" w:cs="Arial" w:eastAsia="Arial" w:hAnsi="Arial"/>
          <w:sz w:val="18"/>
          <w:szCs w:val="18"/>
          <w:b w:val="1"/>
          <w:bCs w:val="1"/>
          <w:color w:val="auto"/>
        </w:rPr>
        <w:t>4.29</w:t>
      </w:r>
      <w:r>
        <w:rPr>
          <w:sz w:val="20"/>
          <w:szCs w:val="20"/>
          <w:color w:val="auto"/>
        </w:rPr>
        <w:tab/>
      </w:r>
      <w:r>
        <w:rPr>
          <w:rFonts w:ascii="Arial" w:cs="Arial" w:eastAsia="Arial" w:hAnsi="Arial"/>
          <w:sz w:val="18"/>
          <w:szCs w:val="18"/>
          <w:color w:val="auto"/>
        </w:rPr>
        <w:t>“Statement of Work” or “SOW” means the description of each joint development project which the Parties agree to pursue. Each Statement of Work will document various aspects of each development project, including but not limited to scope, expected results, deliverables, milestones, resource plan, schedule, Party responsibilities, project management plan and additional partners, if any. In order for a SOW to be valid, it shall be signed by an authorized representative of each Party.</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4.30</w:t>
      </w:r>
      <w:r>
        <w:rPr>
          <w:sz w:val="20"/>
          <w:szCs w:val="20"/>
          <w:color w:val="auto"/>
        </w:rPr>
        <w:tab/>
      </w:r>
      <w:r>
        <w:rPr>
          <w:rFonts w:ascii="Arial" w:cs="Arial" w:eastAsia="Arial" w:hAnsi="Arial"/>
          <w:sz w:val="16"/>
          <w:szCs w:val="16"/>
          <w:color w:val="auto"/>
        </w:rPr>
        <w:t>“STT-MRAM Devices” means collectively Discrete STT-MRAM Devices and Embedded STT-MRAM Devices.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6"/>
          <w:szCs w:val="16"/>
          <w:color w:val="auto"/>
        </w:rPr>
        <w:t>“STT-MRAM” means spin transfer torque MRAM technology.</w:t>
      </w:r>
    </w:p>
    <w:p>
      <w:pPr>
        <w:spacing w:after="0" w:line="225" w:lineRule="exact"/>
        <w:rPr>
          <w:sz w:val="20"/>
          <w:szCs w:val="20"/>
          <w:color w:val="auto"/>
        </w:rPr>
      </w:pPr>
    </w:p>
    <w:p>
      <w:pPr>
        <w:ind w:left="240" w:hanging="178"/>
        <w:spacing w:after="0"/>
        <w:tabs>
          <w:tab w:leader="none" w:pos="2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Joint Development Work and Technology Transfer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color w:val="auto"/>
        </w:rPr>
        <w:t>The Parties will perform the Joint Development Work as collectively set forth in one or more Statement(s) of Work.</w:t>
      </w:r>
    </w:p>
    <w:p>
      <w:pPr>
        <w:spacing w:after="0" w:line="225" w:lineRule="exact"/>
        <w:rPr>
          <w:sz w:val="20"/>
          <w:szCs w:val="20"/>
          <w:color w:val="auto"/>
        </w:rPr>
      </w:pPr>
    </w:p>
    <w:p>
      <w:pPr>
        <w:jc w:val="both"/>
        <w:ind w:left="1300" w:right="460" w:hanging="647"/>
        <w:spacing w:after="0" w:line="263" w:lineRule="auto"/>
        <w:tabs>
          <w:tab w:leader="none" w:pos="12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color w:val="auto"/>
        </w:rPr>
        <w:t>SOWs will include, but are not limited to, projects related to the development of Design Information and process technology for In-Plane STT-MRAM at the 40nm technology node and Perpendicular STT-MRAM at the 28nm technology node for STT-MRAM Devices.</w:t>
      </w:r>
    </w:p>
    <w:p>
      <w:pPr>
        <w:spacing w:after="0" w:line="184" w:lineRule="exact"/>
        <w:rPr>
          <w:sz w:val="20"/>
          <w:szCs w:val="20"/>
          <w:color w:val="auto"/>
        </w:rPr>
      </w:pPr>
    </w:p>
    <w:p>
      <w:pPr>
        <w:ind w:left="1300" w:right="80" w:hanging="647"/>
        <w:spacing w:after="0" w:line="311" w:lineRule="auto"/>
        <w:tabs>
          <w:tab w:leader="none" w:pos="12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color w:val="auto"/>
        </w:rPr>
        <w:t>The Parties recognize that owing to the research and development nature of the work to be undertaken, completing the Joint Development Work within the specified timeframe, scope or within the limits of financial support allocated cannot be guaranteed. The risk of success or failure of the Joint Development Work is shared by both Parties.</w:t>
      </w:r>
    </w:p>
    <w:p>
      <w:pPr>
        <w:spacing w:after="0" w:line="149" w:lineRule="exact"/>
        <w:rPr>
          <w:sz w:val="20"/>
          <w:szCs w:val="20"/>
          <w:color w:val="auto"/>
        </w:rPr>
      </w:pPr>
    </w:p>
    <w:p>
      <w:pPr>
        <w:ind w:left="1300" w:right="100" w:hanging="647"/>
        <w:spacing w:after="0" w:line="254" w:lineRule="auto"/>
        <w:tabs>
          <w:tab w:leader="none" w:pos="12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8"/>
          <w:szCs w:val="18"/>
          <w:color w:val="auto"/>
        </w:rPr>
        <w:t>Subject to the execution of an applicable SOW within thirty (30) days of the Effective Date, within sixty (60) days of the Effective Date, Everspin shall deliver to GLOBALFOUNDRIES the technical materials, training, services and assistance related to [*] (Project 1) (“Technical Transfer”). To the extent not already adapted by Everspin prior to the Effective Date, the Parties will adapt such process to enable [*] pursuant to the terms of the MA. The Technical Transfer will include Everspin engineers on-site at GLOBALFOUNDRIES premises and GLOBALFOUNDRIES engineers on-site at Everspin premises, for the number of weeks set forth in an SOW or as agreed by the Program Managers. The names and skill sets for such engineers shall be defined in an SOW, and subject to the terms in Section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Sheet 9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60"/>
          </w:cols>
          <w:pgMar w:left="980" w:top="665" w:right="999" w:bottom="1440" w:gutter="0" w:footer="0" w:header="0"/>
        </w:sectPr>
      </w:pPr>
    </w:p>
    <w:p>
      <w:pPr>
        <w:spacing w:after="0" w:line="30"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Ownership of IP Rights</w:t>
      </w:r>
    </w:p>
    <w:p>
      <w:pPr>
        <w:spacing w:after="0" w:line="225" w:lineRule="exact"/>
        <w:rPr>
          <w:sz w:val="20"/>
          <w:szCs w:val="20"/>
          <w:color w:val="auto"/>
        </w:rPr>
      </w:pPr>
    </w:p>
    <w:p>
      <w:pPr>
        <w:ind w:left="1300" w:right="120" w:hanging="647"/>
        <w:spacing w:after="0" w:line="263" w:lineRule="auto"/>
        <w:tabs>
          <w:tab w:leader="none" w:pos="12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color w:val="auto"/>
        </w:rPr>
        <w:t>Everspin shall solely own all right, title and interest in the Everspin IP, including the right to sublicense Everspin IP to third parties, with no obligation to account to GLOBALFOUNDRIES for the use of such Everspin IP, except as otherwise provided in this Agreement.</w:t>
      </w:r>
    </w:p>
    <w:p>
      <w:pPr>
        <w:spacing w:after="0" w:line="184" w:lineRule="exact"/>
        <w:rPr>
          <w:sz w:val="20"/>
          <w:szCs w:val="20"/>
          <w:color w:val="auto"/>
        </w:rPr>
      </w:pPr>
    </w:p>
    <w:p>
      <w:pPr>
        <w:ind w:left="1300" w:right="140" w:hanging="647"/>
        <w:spacing w:after="0" w:line="263" w:lineRule="auto"/>
        <w:tabs>
          <w:tab w:leader="none" w:pos="12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color w:val="auto"/>
        </w:rPr>
        <w:t>GLOBALFOUNDRIES shall solely own all right, title and interest in the GLOBALFOUNDRIES IP, including the right to sublicense GLOBALFOUNDRIES IP to third parties, with no obligation to account to Everspin for the use of such GLOBALFOUNDRIES IP, except as otherwise provided in this Agreement.</w:t>
      </w:r>
    </w:p>
    <w:p>
      <w:pPr>
        <w:spacing w:after="0" w:line="184" w:lineRule="exact"/>
        <w:rPr>
          <w:sz w:val="20"/>
          <w:szCs w:val="20"/>
          <w:color w:val="auto"/>
        </w:rPr>
      </w:pPr>
    </w:p>
    <w:p>
      <w:pPr>
        <w:ind w:left="1300" w:hanging="647"/>
        <w:spacing w:after="0" w:line="290" w:lineRule="auto"/>
        <w:tabs>
          <w:tab w:leader="none" w:pos="12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color w:val="auto"/>
        </w:rPr>
        <w:t>Other than Joint Inventions, all JOINT IP shall be jointly owned by GLOBALFOUNDRIES and Everspin, each to have an equal and undivided interest therein. Except as otherwise provided in this Agreement, neither Party is required to obtain the consent, joinder or participation of, or account or make payment to, the other Party when disclosing, using, licensing or otherwise exploiting such JOINT IP. The Parties agree that, in the case where such JOINT IP is: (a) a copyrighted work, the work was intended to be jointly owned and that each Party intended its contributions to such work to be merged into inseparable or interdependent parts of a unitary whole; and (b) protected by the Semiconductor Chip Protection Act, the work was intended to be jointly owned and that each Party intended its contributions to such work to be merged into inseparable or interdependent parts of a unitary whole.</w:t>
      </w:r>
    </w:p>
    <w:p>
      <w:pPr>
        <w:spacing w:after="0" w:line="165" w:lineRule="exact"/>
        <w:rPr>
          <w:sz w:val="20"/>
          <w:szCs w:val="20"/>
          <w:color w:val="auto"/>
        </w:rPr>
      </w:pPr>
    </w:p>
    <w:p>
      <w:pPr>
        <w:ind w:left="1300" w:right="220" w:hanging="647"/>
        <w:spacing w:after="0" w:line="272" w:lineRule="auto"/>
        <w:tabs>
          <w:tab w:leader="none" w:pos="12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7"/>
          <w:szCs w:val="17"/>
          <w:color w:val="auto"/>
        </w:rPr>
        <w:t>The Parties agree that each Joint Invention, and title to all patent applications filed thereon and all patents issued thereon, shall be allocated to either Everspin or GLOBALFOUNDRIES in accordance with the Invention Allocation Procedure, such that either Everspin or GLOBALFOUNDRIES (the “Allocated Party”) shall solely own such Joint Invention and all patent rights with respect to such Joint Invention and all patent applications filed, and all patents issued, on such Joint Invention. To the extent that a Party has or acquires any ownership interest in a Joint Invention allocated to the Allocated Party, such Party hereby assigns to the Allocated Party all of its right, title, and interest in and to the Joint Invention and all Intellectual Property rights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Sheet 10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20"/>
          </w:cols>
          <w:pgMar w:left="980" w:top="665" w:right="1039" w:bottom="1440" w:gutter="0" w:footer="0" w:header="0"/>
        </w:sectPr>
      </w:pPr>
    </w:p>
    <w:p>
      <w:pPr>
        <w:spacing w:after="0" w:line="30" w:lineRule="exact"/>
        <w:rPr>
          <w:sz w:val="20"/>
          <w:szCs w:val="20"/>
          <w:color w:val="auto"/>
        </w:rPr>
      </w:pPr>
    </w:p>
    <w:p>
      <w:pPr>
        <w:jc w:val="right"/>
        <w:ind w:left="660" w:right="320"/>
        <w:spacing w:after="0" w:line="347" w:lineRule="auto"/>
        <w:rPr>
          <w:sz w:val="20"/>
          <w:szCs w:val="20"/>
          <w:color w:val="auto"/>
        </w:rPr>
      </w:pPr>
      <w:r>
        <w:rPr>
          <w:rFonts w:ascii="Arial" w:cs="Arial" w:eastAsia="Arial" w:hAnsi="Arial"/>
          <w:sz w:val="16"/>
          <w:szCs w:val="16"/>
          <w:b w:val="1"/>
          <w:bCs w:val="1"/>
          <w:color w:val="auto"/>
        </w:rPr>
        <w:t xml:space="preserve">6.5     </w:t>
      </w:r>
      <w:r>
        <w:rPr>
          <w:rFonts w:ascii="Arial" w:cs="Arial" w:eastAsia="Arial" w:hAnsi="Arial"/>
          <w:sz w:val="16"/>
          <w:szCs w:val="16"/>
          <w:color w:val="auto"/>
        </w:rPr>
        <w:t>Each Party agrees to use commercially reasonable efforts to cooperate with the other Party, if requested,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limitation, in preparing Joint Invention documents in accordance with the Invention Allocation Procedure.</w:t>
      </w:r>
    </w:p>
    <w:p>
      <w:pPr>
        <w:spacing w:after="0" w:line="116" w:lineRule="exact"/>
        <w:rPr>
          <w:sz w:val="20"/>
          <w:szCs w:val="20"/>
          <w:color w:val="auto"/>
        </w:rPr>
      </w:pPr>
    </w:p>
    <w:p>
      <w:pPr>
        <w:jc w:val="both"/>
        <w:ind w:left="1300" w:right="240" w:hanging="647"/>
        <w:spacing w:after="0" w:line="263" w:lineRule="auto"/>
        <w:tabs>
          <w:tab w:leader="none" w:pos="128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8"/>
          <w:szCs w:val="18"/>
          <w:color w:val="auto"/>
        </w:rPr>
        <w:t>The usual and reasonable costs of disclosure, preparation, filing, assignment, prosecution, grant/issue, maintenance, licensing, litigation, enforcement and the like of any Joint Invention, including any related patent application and/or patent will be the responsibility of the Allocated Party.</w:t>
      </w:r>
    </w:p>
    <w:p>
      <w:pPr>
        <w:spacing w:after="0" w:line="184" w:lineRule="exact"/>
        <w:rPr>
          <w:sz w:val="20"/>
          <w:szCs w:val="20"/>
          <w:color w:val="auto"/>
        </w:rPr>
      </w:pPr>
    </w:p>
    <w:p>
      <w:pPr>
        <w:ind w:left="1300" w:right="120" w:hanging="647"/>
        <w:spacing w:after="0" w:line="279" w:lineRule="auto"/>
        <w:tabs>
          <w:tab w:leader="none" w:pos="128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7"/>
          <w:szCs w:val="17"/>
          <w:color w:val="auto"/>
        </w:rPr>
        <w:t>Each Party agrees that each and every individual participating in the Joint Development Work shall either be an employee or Consultant acting under a valid and enforceable agreement pursuant to which such employee or Consultant has either (i) assigned and or (ii) granted a license (including a right to sublicense) to all proprietary rights to Intellectual Property developed during the term of such employment or consultancy to such Party.</w:t>
      </w:r>
    </w:p>
    <w:p>
      <w:pPr>
        <w:spacing w:after="0" w:line="171" w:lineRule="exact"/>
        <w:rPr>
          <w:sz w:val="20"/>
          <w:szCs w:val="20"/>
          <w:color w:val="auto"/>
        </w:rPr>
      </w:pPr>
    </w:p>
    <w:p>
      <w:pPr>
        <w:ind w:left="240" w:hanging="178"/>
        <w:spacing w:after="0"/>
        <w:tabs>
          <w:tab w:leader="none" w:pos="2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Foreground IP</w:t>
      </w:r>
    </w:p>
    <w:p>
      <w:pPr>
        <w:spacing w:after="0" w:line="225" w:lineRule="exact"/>
        <w:rPr>
          <w:sz w:val="20"/>
          <w:szCs w:val="20"/>
          <w:color w:val="auto"/>
        </w:rPr>
      </w:pPr>
    </w:p>
    <w:p>
      <w:pPr>
        <w:ind w:left="1300" w:right="22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8"/>
          <w:szCs w:val="18"/>
          <w:color w:val="auto"/>
        </w:rPr>
        <w:t>Subject to the terms and conditions hereof, GLOBALFOUNDRIES grants to Everspin a world-wide, non-exclusive, non-transferable, royalty-free, perpetual license under the GLOBALFOUNDRIES IP to:</w:t>
      </w:r>
    </w:p>
    <w:p>
      <w:pPr>
        <w:spacing w:after="0" w:line="170" w:lineRule="exact"/>
        <w:rPr>
          <w:sz w:val="20"/>
          <w:szCs w:val="20"/>
          <w:color w:val="auto"/>
        </w:rPr>
      </w:pPr>
    </w:p>
    <w:p>
      <w:pPr>
        <w:jc w:val="both"/>
        <w:ind w:left="1960" w:right="840" w:hanging="647"/>
        <w:spacing w:after="0" w:line="263" w:lineRule="auto"/>
        <w:tabs>
          <w:tab w:leader="none" w:pos="194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8"/>
          <w:szCs w:val="18"/>
          <w:color w:val="auto"/>
        </w:rPr>
        <w:t>(a) design, have designed, develop, have developed, and manufacture (but not have manufactured) semiconductor products, and (b) use, sell, offer to sell, lease, import and otherwise dispose of such semiconductor products;</w:t>
      </w:r>
    </w:p>
    <w:p>
      <w:pPr>
        <w:spacing w:after="0" w:line="184" w:lineRule="exact"/>
        <w:rPr>
          <w:sz w:val="20"/>
          <w:szCs w:val="20"/>
          <w:color w:val="auto"/>
        </w:rPr>
      </w:pPr>
    </w:p>
    <w:p>
      <w:pPr>
        <w:jc w:val="both"/>
        <w:ind w:left="1960" w:right="120" w:hanging="647"/>
        <w:spacing w:after="0" w:line="263" w:lineRule="auto"/>
        <w:tabs>
          <w:tab w:leader="none" w:pos="1940" w:val="left"/>
        </w:tabs>
        <w:rPr>
          <w:sz w:val="20"/>
          <w:szCs w:val="20"/>
          <w:color w:val="auto"/>
        </w:rPr>
      </w:pPr>
      <w:r>
        <w:rPr>
          <w:rFonts w:ascii="Arial" w:cs="Arial" w:eastAsia="Arial" w:hAnsi="Arial"/>
          <w:sz w:val="18"/>
          <w:szCs w:val="18"/>
          <w:b w:val="1"/>
          <w:bCs w:val="1"/>
          <w:color w:val="auto"/>
        </w:rPr>
        <w:t>7.1.2</w:t>
      </w:r>
      <w:r>
        <w:rPr>
          <w:sz w:val="20"/>
          <w:szCs w:val="20"/>
          <w:color w:val="auto"/>
        </w:rPr>
        <w:tab/>
      </w:r>
      <w:r>
        <w:rPr>
          <w:rFonts w:ascii="Arial" w:cs="Arial" w:eastAsia="Arial" w:hAnsi="Arial"/>
          <w:sz w:val="18"/>
          <w:szCs w:val="18"/>
          <w:color w:val="auto"/>
        </w:rPr>
        <w:t>practice any improvement, process or method falling within the scope of the GLOBALFOUNDRIES IP, by itself or together with its Consultants, in connection with the exercise of the license set forth in Section 7.1.1 above;</w:t>
      </w:r>
    </w:p>
    <w:p>
      <w:pPr>
        <w:spacing w:after="0" w:line="184" w:lineRule="exact"/>
        <w:rPr>
          <w:sz w:val="20"/>
          <w:szCs w:val="20"/>
          <w:color w:val="auto"/>
        </w:rPr>
      </w:pPr>
    </w:p>
    <w:p>
      <w:pPr>
        <w:ind w:left="1960" w:hanging="647"/>
        <w:spacing w:after="0" w:line="255" w:lineRule="auto"/>
        <w:tabs>
          <w:tab w:leader="none" w:pos="1940" w:val="left"/>
        </w:tabs>
        <w:rPr>
          <w:sz w:val="20"/>
          <w:szCs w:val="20"/>
          <w:color w:val="auto"/>
        </w:rPr>
      </w:pPr>
      <w:r>
        <w:rPr>
          <w:rFonts w:ascii="Arial" w:cs="Arial" w:eastAsia="Arial" w:hAnsi="Arial"/>
          <w:sz w:val="18"/>
          <w:szCs w:val="18"/>
          <w:b w:val="1"/>
          <w:bCs w:val="1"/>
          <w:color w:val="auto"/>
        </w:rPr>
        <w:t>7.1.3</w:t>
      </w:r>
      <w:r>
        <w:rPr>
          <w:sz w:val="20"/>
          <w:szCs w:val="20"/>
          <w:color w:val="auto"/>
        </w:rPr>
        <w:tab/>
      </w:r>
      <w:r>
        <w:rPr>
          <w:rFonts w:ascii="Arial" w:cs="Arial" w:eastAsia="Arial" w:hAnsi="Arial"/>
          <w:sz w:val="18"/>
          <w:szCs w:val="18"/>
          <w:color w:val="auto"/>
        </w:rPr>
        <w:t>grant sublicenses thereunder (to the extent contained in the Design Information) solely to its customers, contractors and IP providers/EDA vendors, and to such customers’ contractors and IP providers/EDA vendors (collectively, “Everspin Sublicensees”), the sublicenses so granted to be of scope that includes only the GLOBALFOUNDRIES IP that is necessary to design, develop and test, or assist Everspin or Everspin customers with designing, developing and testing, STT-MRAM Devices to be manufactured solely by GLOBALFOUNDRIES, and that restricts such Everspin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Sheet 11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20"/>
          </w:cols>
          <w:pgMar w:left="980" w:top="665" w:right="1039" w:bottom="1440" w:gutter="0" w:footer="0" w:header="0"/>
        </w:sectPr>
      </w:pPr>
    </w:p>
    <w:p>
      <w:pPr>
        <w:spacing w:after="0" w:line="34" w:lineRule="exact"/>
        <w:rPr>
          <w:sz w:val="20"/>
          <w:szCs w:val="20"/>
          <w:color w:val="auto"/>
        </w:rPr>
      </w:pPr>
    </w:p>
    <w:p>
      <w:pPr>
        <w:jc w:val="both"/>
        <w:ind w:left="1960" w:right="160"/>
        <w:spacing w:after="0" w:line="263" w:lineRule="auto"/>
        <w:rPr>
          <w:sz w:val="20"/>
          <w:szCs w:val="20"/>
          <w:color w:val="auto"/>
        </w:rPr>
      </w:pPr>
      <w:r>
        <w:rPr>
          <w:rFonts w:ascii="Arial" w:cs="Arial" w:eastAsia="Arial" w:hAnsi="Arial"/>
          <w:sz w:val="18"/>
          <w:szCs w:val="18"/>
          <w:color w:val="auto"/>
        </w:rPr>
        <w:t>Sublicensees from using such GLOBALFOUNDRIES IP for any purposes other than designing, developing and testing, or assisting Everspin or Everspin customers with designing, developing and testing, such STT-MRAM Devices; and</w:t>
      </w:r>
    </w:p>
    <w:p>
      <w:pPr>
        <w:spacing w:after="0" w:line="180" w:lineRule="exact"/>
        <w:rPr>
          <w:sz w:val="20"/>
          <w:szCs w:val="20"/>
          <w:color w:val="auto"/>
        </w:rPr>
      </w:pPr>
    </w:p>
    <w:p>
      <w:pPr>
        <w:ind w:left="1960" w:right="460" w:hanging="647"/>
        <w:spacing w:after="0" w:line="277" w:lineRule="auto"/>
        <w:tabs>
          <w:tab w:leader="none" w:pos="1940" w:val="left"/>
        </w:tabs>
        <w:rPr>
          <w:sz w:val="20"/>
          <w:szCs w:val="20"/>
          <w:color w:val="auto"/>
        </w:rPr>
      </w:pPr>
      <w:r>
        <w:rPr>
          <w:rFonts w:ascii="Arial" w:cs="Arial" w:eastAsia="Arial" w:hAnsi="Arial"/>
          <w:sz w:val="18"/>
          <w:szCs w:val="18"/>
          <w:b w:val="1"/>
          <w:bCs w:val="1"/>
          <w:color w:val="auto"/>
        </w:rPr>
        <w:t>7.1.4</w:t>
      </w:r>
      <w:r>
        <w:rPr>
          <w:sz w:val="20"/>
          <w:szCs w:val="20"/>
          <w:color w:val="auto"/>
        </w:rPr>
        <w:tab/>
      </w:r>
      <w:r>
        <w:rPr>
          <w:rFonts w:ascii="Arial" w:cs="Arial" w:eastAsia="Arial" w:hAnsi="Arial"/>
          <w:sz w:val="18"/>
          <w:szCs w:val="18"/>
          <w:color w:val="auto"/>
        </w:rPr>
        <w:t>except as otherwise provided herein, retain revenues derived from the exercise of the foregoing licenses without any obligation to account to GLOBALFOUNDRIES.</w:t>
      </w:r>
    </w:p>
    <w:p>
      <w:pPr>
        <w:spacing w:after="0" w:line="170" w:lineRule="exact"/>
        <w:rPr>
          <w:sz w:val="20"/>
          <w:szCs w:val="20"/>
          <w:color w:val="auto"/>
        </w:rPr>
      </w:pPr>
    </w:p>
    <w:p>
      <w:pPr>
        <w:ind w:left="1300" w:right="220" w:hanging="647"/>
        <w:spacing w:after="0" w:line="342" w:lineRule="auto"/>
        <w:tabs>
          <w:tab w:leader="none" w:pos="12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color w:val="auto"/>
        </w:rPr>
        <w:t>Subject to the terms and conditions hereof, Everspin grants to GLOBALFOUNDRIES a world-wide, non-exclusive, non-transferable, royalty-free (except as stated in Section 17), perpetual license under the Everspin IP to:</w:t>
      </w:r>
    </w:p>
    <w:p>
      <w:pPr>
        <w:spacing w:after="0" w:line="124" w:lineRule="exact"/>
        <w:rPr>
          <w:sz w:val="20"/>
          <w:szCs w:val="20"/>
          <w:color w:val="auto"/>
        </w:rPr>
      </w:pPr>
    </w:p>
    <w:p>
      <w:pPr>
        <w:jc w:val="both"/>
        <w:ind w:left="1960" w:right="840" w:hanging="647"/>
        <w:spacing w:after="0" w:line="263" w:lineRule="auto"/>
        <w:tabs>
          <w:tab w:leader="none" w:pos="1940" w:val="left"/>
        </w:tabs>
        <w:rPr>
          <w:sz w:val="20"/>
          <w:szCs w:val="20"/>
          <w:color w:val="auto"/>
        </w:rPr>
      </w:pPr>
      <w:r>
        <w:rPr>
          <w:rFonts w:ascii="Arial" w:cs="Arial" w:eastAsia="Arial" w:hAnsi="Arial"/>
          <w:sz w:val="18"/>
          <w:szCs w:val="18"/>
          <w:b w:val="1"/>
          <w:bCs w:val="1"/>
          <w:color w:val="auto"/>
        </w:rPr>
        <w:t>7.2.1</w:t>
      </w:r>
      <w:r>
        <w:rPr>
          <w:sz w:val="20"/>
          <w:szCs w:val="20"/>
          <w:color w:val="auto"/>
        </w:rPr>
        <w:tab/>
      </w:r>
      <w:r>
        <w:rPr>
          <w:rFonts w:ascii="Arial" w:cs="Arial" w:eastAsia="Arial" w:hAnsi="Arial"/>
          <w:sz w:val="18"/>
          <w:szCs w:val="18"/>
          <w:color w:val="auto"/>
        </w:rPr>
        <w:t>(a) design, have designed, develop, have developed, and manufacture (but not have manufactured) semiconductor products, and (b) use, sell, offer to sell, lease, import and otherwise dispose of such semiconductor products;</w:t>
      </w:r>
    </w:p>
    <w:p>
      <w:pPr>
        <w:spacing w:after="0" w:line="184" w:lineRule="exact"/>
        <w:rPr>
          <w:sz w:val="20"/>
          <w:szCs w:val="20"/>
          <w:color w:val="auto"/>
        </w:rPr>
      </w:pPr>
    </w:p>
    <w:p>
      <w:pPr>
        <w:ind w:left="1960" w:right="60" w:hanging="647"/>
        <w:spacing w:after="0" w:line="342" w:lineRule="auto"/>
        <w:tabs>
          <w:tab w:leader="none" w:pos="1940" w:val="left"/>
        </w:tabs>
        <w:rPr>
          <w:sz w:val="20"/>
          <w:szCs w:val="20"/>
          <w:color w:val="auto"/>
        </w:rPr>
      </w:pPr>
      <w:r>
        <w:rPr>
          <w:rFonts w:ascii="Arial" w:cs="Arial" w:eastAsia="Arial" w:hAnsi="Arial"/>
          <w:sz w:val="18"/>
          <w:szCs w:val="18"/>
          <w:b w:val="1"/>
          <w:bCs w:val="1"/>
          <w:color w:val="auto"/>
        </w:rPr>
        <w:t>7.2.2</w:t>
      </w:r>
      <w:r>
        <w:rPr>
          <w:sz w:val="20"/>
          <w:szCs w:val="20"/>
          <w:color w:val="auto"/>
        </w:rPr>
        <w:tab/>
      </w:r>
      <w:r>
        <w:rPr>
          <w:rFonts w:ascii="Arial" w:cs="Arial" w:eastAsia="Arial" w:hAnsi="Arial"/>
          <w:sz w:val="16"/>
          <w:szCs w:val="16"/>
          <w:color w:val="auto"/>
        </w:rPr>
        <w:t>practice any improvement, process or method falling within the scope of the Everspin IP, by itself or together with its Consultants, in connection with the exercise of the license set forth in Section 7.2.1 above;</w:t>
      </w:r>
    </w:p>
    <w:p>
      <w:pPr>
        <w:spacing w:after="0" w:line="124" w:lineRule="exact"/>
        <w:rPr>
          <w:sz w:val="20"/>
          <w:szCs w:val="20"/>
          <w:color w:val="auto"/>
        </w:rPr>
      </w:pPr>
    </w:p>
    <w:p>
      <w:pPr>
        <w:ind w:left="1960" w:hanging="647"/>
        <w:spacing w:after="0" w:line="269" w:lineRule="auto"/>
        <w:tabs>
          <w:tab w:leader="none" w:pos="1940" w:val="left"/>
        </w:tabs>
        <w:rPr>
          <w:sz w:val="20"/>
          <w:szCs w:val="20"/>
          <w:color w:val="auto"/>
        </w:rPr>
      </w:pPr>
      <w:r>
        <w:rPr>
          <w:rFonts w:ascii="Arial" w:cs="Arial" w:eastAsia="Arial" w:hAnsi="Arial"/>
          <w:sz w:val="18"/>
          <w:szCs w:val="18"/>
          <w:b w:val="1"/>
          <w:bCs w:val="1"/>
          <w:color w:val="auto"/>
        </w:rPr>
        <w:t>7.2.3</w:t>
      </w:r>
      <w:r>
        <w:rPr>
          <w:sz w:val="20"/>
          <w:szCs w:val="20"/>
          <w:color w:val="auto"/>
        </w:rPr>
        <w:tab/>
      </w:r>
      <w:r>
        <w:rPr>
          <w:rFonts w:ascii="Arial" w:cs="Arial" w:eastAsia="Arial" w:hAnsi="Arial"/>
          <w:sz w:val="17"/>
          <w:szCs w:val="17"/>
          <w:color w:val="auto"/>
        </w:rPr>
        <w:t>grant sublicenses thereunder (to the extent contained in the Design Information) to its Customers, contractors and IP providers/EDA vendors, and to such customers’ contractors and IP providers/EDA vendors (collectively, “GLOBALFOUNDRIES Sublicensees”), the sublicenses so granted to be of scope that includes only the Everspin IP that is necessary to design, develop and test, or assist GLOBALFOUNDRIES or GLOBALFOUNDRIES Customers with designing, developing and testing, STT-MRAM Devices to be manufactured solely by GLOBALFOUNDRIES, and that restricts such GLOBALFOUNDRIES Sublicensees from using such Everspin IP for any purposes other than designing, developing and testing, or assisting GLOBALFOUNDRIES or GLOBALFOUNDRIES Customers with designing, developing and testing, such STT-MRAM Devices; provided that during the Exclusivity Period for any STT-MRAM Device, no sublicense granted pursuant to this Section 7.2.3 shall include the ability for the third party to design and develop STT-MRAM cores without becoming an Everspin licensee;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Sheet 12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60"/>
          </w:cols>
          <w:pgMar w:left="980" w:top="665" w:right="999" w:bottom="1440" w:gutter="0" w:footer="0" w:header="0"/>
        </w:sectPr>
      </w:pPr>
    </w:p>
    <w:p>
      <w:pPr>
        <w:spacing w:after="0" w:line="30" w:lineRule="exact"/>
        <w:rPr>
          <w:sz w:val="20"/>
          <w:szCs w:val="20"/>
          <w:color w:val="auto"/>
        </w:rPr>
      </w:pPr>
    </w:p>
    <w:p>
      <w:pPr>
        <w:ind w:left="1960" w:right="500" w:hanging="647"/>
        <w:spacing w:after="0" w:line="277" w:lineRule="auto"/>
        <w:tabs>
          <w:tab w:leader="none" w:pos="1940" w:val="left"/>
        </w:tabs>
        <w:rPr>
          <w:sz w:val="20"/>
          <w:szCs w:val="20"/>
          <w:color w:val="auto"/>
        </w:rPr>
      </w:pPr>
      <w:r>
        <w:rPr>
          <w:rFonts w:ascii="Arial" w:cs="Arial" w:eastAsia="Arial" w:hAnsi="Arial"/>
          <w:sz w:val="18"/>
          <w:szCs w:val="18"/>
          <w:b w:val="1"/>
          <w:bCs w:val="1"/>
          <w:color w:val="auto"/>
        </w:rPr>
        <w:t>7.2.4</w:t>
      </w:r>
      <w:r>
        <w:rPr>
          <w:sz w:val="20"/>
          <w:szCs w:val="20"/>
          <w:color w:val="auto"/>
        </w:rPr>
        <w:tab/>
      </w:r>
      <w:r>
        <w:rPr>
          <w:rFonts w:ascii="Arial" w:cs="Arial" w:eastAsia="Arial" w:hAnsi="Arial"/>
          <w:sz w:val="18"/>
          <w:szCs w:val="18"/>
          <w:color w:val="auto"/>
        </w:rPr>
        <w:t>except as otherwise provided herein, retain revenues derived from the exercise of the foregoing licenses without any obligation to account to Everspin.</w:t>
      </w:r>
    </w:p>
    <w:p>
      <w:pPr>
        <w:spacing w:after="0" w:line="170" w:lineRule="exact"/>
        <w:rPr>
          <w:sz w:val="20"/>
          <w:szCs w:val="20"/>
          <w:color w:val="auto"/>
        </w:rPr>
      </w:pPr>
    </w:p>
    <w:p>
      <w:pPr>
        <w:ind w:left="1300" w:hanging="647"/>
        <w:spacing w:after="0" w:line="293" w:lineRule="auto"/>
        <w:tabs>
          <w:tab w:leader="none" w:pos="12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color w:val="auto"/>
        </w:rPr>
        <w:t>With respect to the GLOBALFOUNDRIES IP, JOINT IP and the licenses granted to GLOBALFOUNDRIES in Section 7.2, the ability for GLOBALFOUNDRIES to utilize, disclose, license or sublicense Foreground IP for the purpose of designing, developing and manufacturing Discrete STT-MRAM Devices shall solely be to enable the manufacture of such devices for Everspin, Everspin’s customers and/or Everspin licensees at GLOBALFOUNDRIES. Any such Discrete STT-MRAM Devices manufactured and sold by GLOBALFOUNDRIES to Everspin pursuant to the MA, to Everspin’s customers or to Everspin licensees shall not be deemed a Royalty Wafer as defined in Section 17.1.</w:t>
      </w:r>
    </w:p>
    <w:p>
      <w:pPr>
        <w:spacing w:after="0" w:line="164" w:lineRule="exact"/>
        <w:rPr>
          <w:sz w:val="20"/>
          <w:szCs w:val="20"/>
          <w:color w:val="auto"/>
        </w:rPr>
      </w:pPr>
    </w:p>
    <w:p>
      <w:pPr>
        <w:ind w:left="1960" w:right="20" w:hanging="647"/>
        <w:spacing w:after="0" w:line="275" w:lineRule="auto"/>
        <w:tabs>
          <w:tab w:leader="none" w:pos="1940" w:val="left"/>
        </w:tabs>
        <w:rPr>
          <w:sz w:val="20"/>
          <w:szCs w:val="20"/>
          <w:color w:val="auto"/>
        </w:rPr>
      </w:pPr>
      <w:r>
        <w:rPr>
          <w:rFonts w:ascii="Arial" w:cs="Arial" w:eastAsia="Arial" w:hAnsi="Arial"/>
          <w:sz w:val="18"/>
          <w:szCs w:val="18"/>
          <w:b w:val="1"/>
          <w:bCs w:val="1"/>
          <w:color w:val="auto"/>
        </w:rPr>
        <w:t>7.3.1</w:t>
      </w:r>
      <w:r>
        <w:rPr>
          <w:sz w:val="20"/>
          <w:szCs w:val="20"/>
          <w:color w:val="auto"/>
        </w:rPr>
        <w:tab/>
      </w:r>
      <w:r>
        <w:rPr>
          <w:rFonts w:ascii="Arial" w:cs="Arial" w:eastAsia="Arial" w:hAnsi="Arial"/>
          <w:sz w:val="17"/>
          <w:szCs w:val="17"/>
          <w:color w:val="auto"/>
        </w:rPr>
        <w:t>Upon GLOBALFOUNDRIES’ request, Everspin agrees to negotiate in good faith, a license under commercially reasonable terms, to Everspin IP, JOINT IP, and Everspin Background IP contained in the Design Information with a third party Customer that engages GLOBALFOUNDRIES to manufacture Discrete STT-MRAM Devices; such licenses to be of a scope that permits the Customer to design, develop and/or have Discrete STT-MRAM Devices manufactured at GLOBALFOUNDRIES.</w:t>
      </w:r>
    </w:p>
    <w:p>
      <w:pPr>
        <w:spacing w:after="0" w:line="176" w:lineRule="exact"/>
        <w:rPr>
          <w:sz w:val="20"/>
          <w:szCs w:val="20"/>
          <w:color w:val="auto"/>
        </w:rPr>
      </w:pPr>
    </w:p>
    <w:p>
      <w:pPr>
        <w:ind w:left="1300" w:right="20" w:hanging="647"/>
        <w:spacing w:after="0" w:line="254" w:lineRule="auto"/>
        <w:tabs>
          <w:tab w:leader="none" w:pos="12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8"/>
          <w:szCs w:val="18"/>
          <w:color w:val="auto"/>
        </w:rPr>
        <w:t>Provided [*], the Parties understand and agree that any Everspin product that contains or embodies any GLOBALFOUNDRIES IP, Everspin IP or JOINT IP shall be manufactured solely by GLOBALFOUNDRIES during the Exclusivity Period for such STT-MRAM Devices. After the expiration of such Exclusivity Period, upon Everspin’s request, GLOBALFOUNDRIES agrees to negotiate in good faith a fee-bearing and/or royalty-bearing, have-made license to Everspin under the GLOBALFOUNDRIES IP. After the expiration of such Exclusivity Period, upon GLOBALFOUNDRIES’ request, Everspin agrees to negotiate in good faith a fee-bearing and/or royalty-bearing, have-made license to GLOBALFOUNDRIES under the Everspin IP.</w:t>
      </w:r>
    </w:p>
    <w:p>
      <w:pPr>
        <w:spacing w:after="0" w:line="195" w:lineRule="exact"/>
        <w:rPr>
          <w:sz w:val="20"/>
          <w:szCs w:val="20"/>
          <w:color w:val="auto"/>
        </w:rPr>
      </w:pPr>
    </w:p>
    <w:p>
      <w:pPr>
        <w:ind w:left="1960" w:right="40" w:hanging="647"/>
        <w:spacing w:after="0" w:line="257" w:lineRule="auto"/>
        <w:tabs>
          <w:tab w:leader="none" w:pos="1940" w:val="left"/>
        </w:tabs>
        <w:rPr>
          <w:sz w:val="20"/>
          <w:szCs w:val="20"/>
          <w:color w:val="auto"/>
        </w:rPr>
      </w:pPr>
      <w:r>
        <w:rPr>
          <w:rFonts w:ascii="Arial" w:cs="Arial" w:eastAsia="Arial" w:hAnsi="Arial"/>
          <w:sz w:val="18"/>
          <w:szCs w:val="18"/>
          <w:b w:val="1"/>
          <w:bCs w:val="1"/>
          <w:color w:val="auto"/>
        </w:rPr>
        <w:t>7.4.1</w:t>
      </w:r>
      <w:r>
        <w:rPr>
          <w:sz w:val="20"/>
          <w:szCs w:val="20"/>
          <w:color w:val="auto"/>
        </w:rPr>
        <w:tab/>
      </w:r>
      <w:r>
        <w:rPr>
          <w:rFonts w:ascii="Arial" w:cs="Arial" w:eastAsia="Arial" w:hAnsi="Arial"/>
          <w:sz w:val="18"/>
          <w:szCs w:val="18"/>
          <w:color w:val="auto"/>
        </w:rPr>
        <w:t>Only in the event that the MA is terminated due to a material breach by GLOBALFOUNDRIES, GLOBALFOUNDRIES grants to Everspin a royalty-free license under GLOBALFOUNDRIES IP to have Discrete STT-MRAM Devices made and Everspin shall be released from the disclosure restrictions associated with the Exclusivity Period under Section 7.8 only as necessary to enable the manufacture of STT-MRAM Devices for Everspin.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Sheet 13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60"/>
          </w:cols>
          <w:pgMar w:left="980" w:top="665" w:right="999" w:bottom="1440" w:gutter="0" w:footer="0" w:header="0"/>
        </w:sectPr>
      </w:pPr>
    </w:p>
    <w:p>
      <w:pPr>
        <w:spacing w:after="0" w:line="30" w:lineRule="exact"/>
        <w:rPr>
          <w:sz w:val="20"/>
          <w:szCs w:val="20"/>
          <w:color w:val="auto"/>
        </w:rPr>
      </w:pPr>
    </w:p>
    <w:p>
      <w:pPr>
        <w:ind w:left="1960" w:hanging="647"/>
        <w:spacing w:after="0" w:line="289" w:lineRule="auto"/>
        <w:tabs>
          <w:tab w:leader="none" w:pos="1940" w:val="left"/>
        </w:tabs>
        <w:rPr>
          <w:sz w:val="20"/>
          <w:szCs w:val="20"/>
          <w:color w:val="auto"/>
        </w:rPr>
      </w:pPr>
      <w:r>
        <w:rPr>
          <w:rFonts w:ascii="Arial" w:cs="Arial" w:eastAsia="Arial" w:hAnsi="Arial"/>
          <w:sz w:val="18"/>
          <w:szCs w:val="18"/>
          <w:b w:val="1"/>
          <w:bCs w:val="1"/>
          <w:color w:val="auto"/>
        </w:rPr>
        <w:t>7.4.2</w:t>
      </w:r>
      <w:r>
        <w:rPr>
          <w:sz w:val="20"/>
          <w:szCs w:val="20"/>
          <w:color w:val="auto"/>
        </w:rPr>
        <w:tab/>
      </w:r>
      <w:r>
        <w:rPr>
          <w:rFonts w:ascii="Arial" w:cs="Arial" w:eastAsia="Arial" w:hAnsi="Arial"/>
          <w:sz w:val="16"/>
          <w:szCs w:val="16"/>
          <w:color w:val="auto"/>
        </w:rPr>
        <w:t>In the event that, prior to the expiration of the relevant Exclusivity Period, the Parties mutually agree (acting in good faith) that, under the circumstances, business requirements for Everspin STT-MRAM Devices manufactured by GLOBALFOUNDRIES necessitate additional manufacturing capacity (including, but not limited to, a need (i) to satisfy unmet additional demand or (ii) for a second source), the Parties will meet and discuss options to license and/or sublicense the JOINT IP, Everspin IP and/or GLOBALFOUNDRIES IP to another foundry. Such license or sublicense, if any, shall be negotiated in good faith and include a scope that is limited to only the JOINT IP, Everspin IP and/or GLOBALFOUNDRIES IP that is necessary to manufacture such STT-MRAM Devices for Everspin. The Parties shall [*] associated with the ability to use such JOINT IP, Everspin IP and/or GLOBALFOUNDRIES IP.</w:t>
      </w:r>
    </w:p>
    <w:p>
      <w:pPr>
        <w:spacing w:after="0" w:line="166" w:lineRule="exact"/>
        <w:rPr>
          <w:sz w:val="20"/>
          <w:szCs w:val="20"/>
          <w:color w:val="auto"/>
        </w:rPr>
      </w:pPr>
    </w:p>
    <w:p>
      <w:pPr>
        <w:ind w:left="1300" w:right="26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8"/>
          <w:szCs w:val="18"/>
          <w:color w:val="auto"/>
        </w:rPr>
        <w:t>Upon a Party’s written request, GLOBALFOUNDRIES and Everspin agree to negotiate, in good faith, a broader sublicense grant for third party use under the Everspin IP, GLOBALFOUNDRIES IP and/or JOINT IP, where such grant shall be subject to mutually agreed minimum license fees and/or royalty payments that will be shared between the Parties.</w:t>
      </w:r>
    </w:p>
    <w:p>
      <w:pPr>
        <w:spacing w:after="0" w:line="187" w:lineRule="exact"/>
        <w:rPr>
          <w:sz w:val="20"/>
          <w:szCs w:val="20"/>
          <w:color w:val="auto"/>
        </w:rPr>
      </w:pPr>
    </w:p>
    <w:p>
      <w:pPr>
        <w:ind w:left="1300" w:right="60" w:hanging="647"/>
        <w:spacing w:after="0" w:line="301" w:lineRule="auto"/>
        <w:tabs>
          <w:tab w:leader="none" w:pos="12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color w:val="auto"/>
        </w:rPr>
        <w:t>In addition to the other licenses granted in this Section 7, each Party grants to the other Party, during the term of the Agreement, a world-wide, royalty-free, non-exclusive, non-transferable, limited license, without the right to sublicense except as otherwise expressly provided herein, under the Everspin IP, GLOBALFOUNDRIES IP and/or Joint IP solely to the extent required for the other Party to perform the work allocated to it under the Agreement.</w:t>
      </w:r>
    </w:p>
    <w:p>
      <w:pPr>
        <w:spacing w:after="0" w:line="157" w:lineRule="exact"/>
        <w:rPr>
          <w:sz w:val="20"/>
          <w:szCs w:val="20"/>
          <w:color w:val="auto"/>
        </w:rPr>
      </w:pPr>
    </w:p>
    <w:p>
      <w:pPr>
        <w:ind w:left="1300" w:right="80" w:hanging="647"/>
        <w:spacing w:after="0" w:line="255" w:lineRule="auto"/>
        <w:tabs>
          <w:tab w:leader="none" w:pos="128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8"/>
          <w:szCs w:val="18"/>
          <w:color w:val="auto"/>
        </w:rPr>
        <w:t>Subject to Everspin’s compliance with the non-disclosure and licensing restrictions corresponding to Background IP and Foreground IP as set forth herein, GLOBALFOUNDRIES shall not disclose, dispose of or license any Foreground IP to Everspin Competitors during the Exclusivity Period associated with the relevant STT-MRAM Device. For purposes of this Section 7.7, Everspin Competitors means Avalanche, Crocus, Cypress, Inston Inc., Spin Transfer Technologies, and TDK. The restriction in this Section 7.7 shall not apply after the Exclusivity Period associated with such Foreground IP has expired.</w:t>
      </w:r>
    </w:p>
    <w:p>
      <w:pPr>
        <w:spacing w:after="0" w:line="192" w:lineRule="exact"/>
        <w:rPr>
          <w:sz w:val="20"/>
          <w:szCs w:val="20"/>
          <w:color w:val="auto"/>
        </w:rPr>
      </w:pPr>
    </w:p>
    <w:p>
      <w:pPr>
        <w:ind w:left="1300" w:right="4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8"/>
          <w:szCs w:val="18"/>
          <w:color w:val="auto"/>
        </w:rPr>
        <w:t>Subject to GLOBALFOUNDRIES’ compliance with the non-disclosure and licensing restrictions corresponding to Background IP and Foreground IP as set forth herein, Everspin shall not disclose, dispose of or license any Foreground IP to any foundry during the Exclusivity Period associated with the relevant STT-MRAM Device. For purposes of this Section 7.8,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Sheet 14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00"/>
          </w:cols>
          <w:pgMar w:left="980" w:top="665" w:right="1059" w:bottom="1440" w:gutter="0" w:footer="0" w:header="0"/>
        </w:sectPr>
      </w:pPr>
    </w:p>
    <w:p>
      <w:pPr>
        <w:spacing w:after="0" w:line="34" w:lineRule="exact"/>
        <w:rPr>
          <w:sz w:val="20"/>
          <w:szCs w:val="20"/>
          <w:color w:val="auto"/>
        </w:rPr>
      </w:pPr>
    </w:p>
    <w:p>
      <w:pPr>
        <w:ind w:left="1300"/>
        <w:spacing w:after="0" w:line="289" w:lineRule="auto"/>
        <w:rPr>
          <w:sz w:val="20"/>
          <w:szCs w:val="20"/>
          <w:color w:val="auto"/>
        </w:rPr>
      </w:pPr>
      <w:r>
        <w:rPr>
          <w:rFonts w:ascii="Arial" w:cs="Arial" w:eastAsia="Arial" w:hAnsi="Arial"/>
          <w:sz w:val="16"/>
          <w:szCs w:val="16"/>
          <w:color w:val="auto"/>
        </w:rPr>
        <w:t>foundry is an entity whose primary business is manufacturing semiconductor devices with a customer defined function or design implementing or utilizing entity’s process design rules, process design kit, and/or IP libraries designed for (whether by such entity or a third party) such entity’s manufacturing process, and provides such devices to its customers in wafer or die form, or a fully packaged solution. Everspin may disclose, dispose of or license Everspin IP to an entity that includes an operating unit, division, subsidiary, or the like which operates as a foundry (collectively “Secondary Business Unit”), provided Everspin shall not authorize or license such Secondary Business Unit to use in any way Everspin IP, nor disclose to or allow disclosures of Everspin IP to such Secondary Business Unit, during the Exclusivity Period associated with the relevant STT-MRAM Device. The restriction in this Section 7.8 shall not apply after the Exclusivity Period associated with such Foreground IP has expired.</w:t>
      </w:r>
    </w:p>
    <w:p>
      <w:pPr>
        <w:spacing w:after="0" w:line="162" w:lineRule="exact"/>
        <w:rPr>
          <w:sz w:val="20"/>
          <w:szCs w:val="20"/>
          <w:color w:val="auto"/>
        </w:rPr>
      </w:pPr>
    </w:p>
    <w:p>
      <w:pPr>
        <w:ind w:left="1300" w:right="60" w:hanging="647"/>
        <w:spacing w:after="0" w:line="255" w:lineRule="auto"/>
        <w:tabs>
          <w:tab w:leader="none" w:pos="128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8"/>
          <w:szCs w:val="18"/>
          <w:color w:val="auto"/>
        </w:rPr>
        <w:t>Subject to the Parties compliance with the non-disclosure and licensing restrictions corresponding to Background IP and Foreground IP as set forth herein, neither Party may [*] during the Exclusivity Period associated with the relevant STT-MRAM Device except as reasonably necessary to (i) perform the Joint Development Work as a Consultant of GLOBALFOUNDRIES or Everspin or (ii) conduct proprietary research which would solely be for the benefit of the disclosing Party. The restriction in this Section 7.9 shall not apply after the Exclusivity Period associated with such Foreground IP has expired.</w:t>
      </w:r>
    </w:p>
    <w:p>
      <w:pPr>
        <w:spacing w:after="0" w:line="192" w:lineRule="exact"/>
        <w:rPr>
          <w:sz w:val="20"/>
          <w:szCs w:val="20"/>
          <w:color w:val="auto"/>
        </w:rPr>
      </w:pPr>
    </w:p>
    <w:p>
      <w:pPr>
        <w:ind w:left="240" w:hanging="178"/>
        <w:spacing w:after="0"/>
        <w:tabs>
          <w:tab w:leader="none" w:pos="2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Background IP</w:t>
      </w:r>
    </w:p>
    <w:p>
      <w:pPr>
        <w:spacing w:after="0" w:line="225" w:lineRule="exact"/>
        <w:rPr>
          <w:sz w:val="20"/>
          <w:szCs w:val="20"/>
          <w:color w:val="auto"/>
        </w:rPr>
      </w:pPr>
    </w:p>
    <w:p>
      <w:pPr>
        <w:ind w:left="1300" w:right="40" w:hanging="647"/>
        <w:spacing w:after="0" w:line="253" w:lineRule="auto"/>
        <w:tabs>
          <w:tab w:leader="none" w:pos="12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8"/>
          <w:szCs w:val="18"/>
          <w:color w:val="auto"/>
        </w:rPr>
        <w:t>Except as otherwise stated herein, each Party shall retain all right, title and interest in its respective Background IP, including the right to license and assign its rights therein. Except as expressly granted in this Agreement, including Sections 8.2, 8.3, and 8.4, nothing in this Agreement shall give either Party any rights, by license or otherwise, expressly, impliedly or otherwise, to the other Party’s Background IP, nor shall the sale, lease or other disposal by either Party of any products or processes covered by GLOBALFOUNDRIES IP, Everspin IP, and/or JOINT IP be construed as granting to the purchaser of such processes or products any license, express or implied, under any patents of either Party other than those included in GLOBALFOUNDRIES IP, Everspin IP, and/or JOINT IP. Other than the rights and licenses explicitly granted in this Agreement, each Party reserves all rights to its intellectual property and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Sheet 15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40"/>
          </w:cols>
          <w:pgMar w:left="980" w:top="665" w:right="1019" w:bottom="1440" w:gutter="0" w:footer="0" w:header="0"/>
        </w:sectPr>
      </w:pPr>
    </w:p>
    <w:p>
      <w:pPr>
        <w:spacing w:after="0" w:line="30" w:lineRule="exact"/>
        <w:rPr>
          <w:sz w:val="20"/>
          <w:szCs w:val="20"/>
          <w:color w:val="auto"/>
        </w:rPr>
      </w:pPr>
    </w:p>
    <w:p>
      <w:pPr>
        <w:ind w:left="1300" w:right="16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8"/>
          <w:szCs w:val="18"/>
          <w:color w:val="auto"/>
        </w:rPr>
        <w:t>With respect to Background IP, each Party grants to the other Party, during the term of this Agreement, a world-wide, royalty-free, non-exclusive, non-transferable, limited license, without the right to sublicense, under such Party’s Background IP solely to the extent required for the other Party to perform the Joint Development Work allocated to it under an SOW.</w:t>
      </w:r>
    </w:p>
    <w:p>
      <w:pPr>
        <w:spacing w:after="0" w:line="187" w:lineRule="exact"/>
        <w:rPr>
          <w:sz w:val="20"/>
          <w:szCs w:val="20"/>
          <w:color w:val="auto"/>
        </w:rPr>
      </w:pPr>
    </w:p>
    <w:p>
      <w:pPr>
        <w:ind w:left="1300" w:hanging="647"/>
        <w:spacing w:after="0" w:line="267" w:lineRule="auto"/>
        <w:tabs>
          <w:tab w:leader="none" w:pos="12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7"/>
          <w:szCs w:val="17"/>
          <w:color w:val="auto"/>
        </w:rPr>
        <w:t>With respect to Background IP, which Background IP is owned or controlled by Everspin and which Background IP pertains to the STT-MRAM technologies, including without limitation the semiconductor process enablement information to be developed and/or furnished in the course of performing the Joint Development Work under this Agreement, subject to GLOBALFOUNDRIES compliance with its payment obligations set forth in Section 17, Everspin hereby grants and will grant and will cause to be granted a world-wide, non-exclusive, non-transferable, perpetual, irrevocable license to GLOBALFOUNDRIES under such Background IP as needed for GLOBALFOUNDRIES to practice the Foreground IP to (i) design, develop, manufacture, use, sell, offer to sell, lease, import and otherwise dispose of Discrete STT-MRAM Devices for only Everspin, Everspin customers and licensees of Everspin, and (ii) design, have designed by GLOBALFOUNDRIES Sublicensees, develop, have developed by GLOBALFOUNDRIES Sublicensees, manufacture, use, sell, offer to sell, lease, import and otherwise dispose of Embedded STT-MRAM Devices that utilize Design Information, and (iii) design, develop and manufacture, but not sell or resell, non-production qualified wafers that utilize the Project Results. For purposes of clarification, nothing herein is intended, nor shall be construed, to be a license for GLOBALFOUNDRIES, a third party, or GLOBALFOUNDRIES with a third party, to use Everspin Background IP to design, develop, test, manufacture, use, sell, offer to sell, lease, import and/or otherwise dispose of products that are competitive with (a) Discrete STT-MRAM Devices of Everspin, Everspin customers or Everspin licensees, and/or (b) Royalty Wafers. Upon GLOBALFOUNDRIES’ request, Everspin agrees to negotiate in good faith a fee-bearing and/or royalty-bearing (to be agreed upon by the Parties) license to use the Everspin Background IP to design, develop, test, manufacture, use, sell, offer to sell, lease, import and/or otherwise dispose of semiconductor products (other than as provided for STT-MRAM Devices described in (i), (ii) and (iii) above) that utilize the Project Results; provided such use is not with a competitive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Sheet 16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00"/>
          </w:cols>
          <w:pgMar w:left="980" w:top="665" w:right="1059" w:bottom="1440" w:gutter="0" w:footer="0" w:header="0"/>
        </w:sectPr>
      </w:pPr>
    </w:p>
    <w:p>
      <w:pPr>
        <w:spacing w:after="0" w:line="30" w:lineRule="exact"/>
        <w:rPr>
          <w:sz w:val="20"/>
          <w:szCs w:val="20"/>
          <w:color w:val="auto"/>
        </w:rPr>
      </w:pPr>
    </w:p>
    <w:p>
      <w:pPr>
        <w:ind w:left="1300" w:right="40" w:hanging="647"/>
        <w:spacing w:after="0" w:line="293" w:lineRule="auto"/>
        <w:tabs>
          <w:tab w:leader="none" w:pos="12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color w:val="auto"/>
        </w:rPr>
        <w:t>With respect to Background IP, which Background IP is owned or controlled by GLOBALFOUNDRIES and which Background IP pertains to the STT-MRAM technologies to be developed and/or furnished in the course of performing the Joint Development Work under this Agreement, GLOBALFOUNDRIES hereby grants and will grant and will cause to be granted a world-wide, non-exclusive, non-transferable, royalty-free, perpetual license to Everspin under such Background IP as needed for Everspin to design, have designed by Everspin Sublicensees, develop, have developed by Everspin Sublicensees and test STT-MRAM Devices for manufacture solely at GLOBALFOUNDRIES.</w:t>
      </w:r>
    </w:p>
    <w:p>
      <w:pPr>
        <w:spacing w:after="0" w:line="164" w:lineRule="exact"/>
        <w:rPr>
          <w:sz w:val="20"/>
          <w:szCs w:val="20"/>
          <w:color w:val="auto"/>
        </w:rPr>
      </w:pPr>
    </w:p>
    <w:p>
      <w:pPr>
        <w:ind w:left="240" w:hanging="178"/>
        <w:spacing w:after="0"/>
        <w:tabs>
          <w:tab w:leader="none" w:pos="2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Infringement</w:t>
      </w:r>
    </w:p>
    <w:p>
      <w:pPr>
        <w:spacing w:after="0" w:line="225" w:lineRule="exact"/>
        <w:rPr>
          <w:sz w:val="20"/>
          <w:szCs w:val="20"/>
          <w:color w:val="auto"/>
        </w:rPr>
      </w:pPr>
    </w:p>
    <w:p>
      <w:pPr>
        <w:ind w:left="1300" w:right="80" w:hanging="647"/>
        <w:spacing w:after="0" w:line="275" w:lineRule="auto"/>
        <w:tabs>
          <w:tab w:leader="none" w:pos="12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7"/>
          <w:szCs w:val="17"/>
          <w:color w:val="auto"/>
        </w:rPr>
        <w:t>Each Party shall use commercially reasonable efforts to promptly notify the other Party in the event it becomes aware of a third party claim of infringement of any patent, trademark, maskwork right, copyright, trade secret or other proprietary interest arising from the use of the Background IP licensed in Section 8, GLOBALFOUNDRIES IP, Everspin IP and/or JOINT IP as contemplated in this Agreement and such Party becomes reasonably certain that such claim is attributable to such Background IP, GLOBALFOUNDRIES IP, Everspin IP and/or JOINT IP.</w:t>
      </w:r>
    </w:p>
    <w:p>
      <w:pPr>
        <w:spacing w:after="0" w:line="176" w:lineRule="exact"/>
        <w:rPr>
          <w:sz w:val="20"/>
          <w:szCs w:val="20"/>
          <w:color w:val="auto"/>
        </w:rPr>
      </w:pPr>
    </w:p>
    <w:p>
      <w:pPr>
        <w:ind w:left="340" w:hanging="278"/>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Laws</w:t>
      </w:r>
    </w:p>
    <w:p>
      <w:pPr>
        <w:spacing w:after="0" w:line="225" w:lineRule="exact"/>
        <w:rPr>
          <w:sz w:val="20"/>
          <w:szCs w:val="20"/>
          <w:color w:val="auto"/>
        </w:rPr>
      </w:pPr>
    </w:p>
    <w:p>
      <w:pPr>
        <w:jc w:val="both"/>
        <w:ind w:left="1300" w:right="60" w:hanging="647"/>
        <w:spacing w:after="0" w:line="301" w:lineRule="auto"/>
        <w:tabs>
          <w:tab w:leader="none" w:pos="12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color w:val="auto"/>
        </w:rPr>
        <w:t>GLOBALFOUNDRIES and Everspin and all persons furnished by either Party shall comply with the relevant federal, state, and local laws, ordinances, regulations and codes, including identification and procurement of required permits, certificates, approvals and inspections, in performance under this Agreement and each Party agrees to indemnify and hold the other Party harmless for any loss or damage that may be sustained by reason of its failure to do so.</w:t>
      </w:r>
    </w:p>
    <w:p>
      <w:pPr>
        <w:spacing w:after="0" w:line="157" w:lineRule="exact"/>
        <w:rPr>
          <w:sz w:val="20"/>
          <w:szCs w:val="20"/>
          <w:color w:val="auto"/>
        </w:rPr>
      </w:pPr>
    </w:p>
    <w:p>
      <w:pPr>
        <w:ind w:left="1300" w:hanging="647"/>
        <w:spacing w:after="0" w:line="269" w:lineRule="auto"/>
        <w:tabs>
          <w:tab w:leader="none" w:pos="12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7"/>
          <w:szCs w:val="17"/>
          <w:color w:val="auto"/>
        </w:rPr>
        <w:t>In performing their respective obligations hereunder, GLOBALFOUNDRIES and Everspin and their respective employees and Consultants shall adhere to all applicable export laws and regulations, including but not limited to the U.S. Export Administration Regulations (“EAR”) and cooperate with one another in connection therewith. Pursuant to the EAR, certain controlled technology may be exported under an EAR license exception referred to as “TSR,” if the exporter obtains a written assurance. (See 15 CFR 740.6.) In accordance with the TSR requirements, for technology that is exported to a Party pursuant to the TSR license exception, each Party hereby certifies that, except pursuant to a license granted by the U.S. Department of Commerce Bureau of Industry and Security or as otherwise permitted pursuant to a License Exception under the EAR, a Party shall not (1) export, re-export or release any restricted technology, software, or any source code it receives from the other to a national of a country in Country Groups D:1 or E:1, or (2) export to Country Groups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Sheet 17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60"/>
          </w:cols>
          <w:pgMar w:left="980" w:top="665" w:right="999" w:bottom="1440" w:gutter="0" w:footer="0" w:header="0"/>
        </w:sectPr>
      </w:pPr>
    </w:p>
    <w:p>
      <w:pPr>
        <w:spacing w:after="0" w:line="34" w:lineRule="exact"/>
        <w:rPr>
          <w:sz w:val="20"/>
          <w:szCs w:val="20"/>
          <w:color w:val="auto"/>
        </w:rPr>
      </w:pPr>
    </w:p>
    <w:p>
      <w:pPr>
        <w:ind w:left="1300" w:right="240"/>
        <w:spacing w:after="0" w:line="286" w:lineRule="auto"/>
        <w:rPr>
          <w:sz w:val="20"/>
          <w:szCs w:val="20"/>
          <w:color w:val="auto"/>
        </w:rPr>
      </w:pPr>
      <w:r>
        <w:rPr>
          <w:rFonts w:ascii="Arial" w:cs="Arial" w:eastAsia="Arial" w:hAnsi="Arial"/>
          <w:sz w:val="17"/>
          <w:szCs w:val="17"/>
          <w:color w:val="auto"/>
        </w:rPr>
        <w:t>D:1 or E:1 the direct product of such technology or software, if such foreign produced direct product is subject to national security controls as identified on the Commerce Control List (Supplement 1 to Part 774 of the EAR). These export requirements shall survive any expiration or termination of this Agreement.</w:t>
      </w:r>
    </w:p>
    <w:p>
      <w:pPr>
        <w:spacing w:after="0" w:line="161" w:lineRule="exact"/>
        <w:rPr>
          <w:sz w:val="20"/>
          <w:szCs w:val="20"/>
          <w:color w:val="auto"/>
        </w:rPr>
      </w:pPr>
    </w:p>
    <w:p>
      <w:pPr>
        <w:ind w:left="320" w:hanging="258"/>
        <w:spacing w:after="0"/>
        <w:tabs>
          <w:tab w:leader="none" w:pos="3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5" w:lineRule="exact"/>
        <w:rPr>
          <w:sz w:val="20"/>
          <w:szCs w:val="20"/>
          <w:color w:val="auto"/>
        </w:rPr>
      </w:pPr>
    </w:p>
    <w:p>
      <w:pPr>
        <w:ind w:left="1300" w:right="20" w:hanging="647"/>
        <w:spacing w:after="0" w:line="270" w:lineRule="auto"/>
        <w:tabs>
          <w:tab w:leader="none" w:pos="128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7"/>
          <w:szCs w:val="17"/>
          <w:color w:val="auto"/>
        </w:rPr>
        <w:t>The Parties agree to use Confidential Information only for the purposes of this Agreement and/or the purpose of the relevant Statements of Work as the case may be. It is agreed that the transfer of Confidential Information shall not be construed as a grant of any right or license with respect to the Confidential Information delivered except as set forth herein. For the avoidance of doubt, except as otherwise expressly stated herein, neither Party may disclose the other Party’s Background IP for any reason or purpose except to the extent required for a Party to perform the work allocated to it under the Agreement and to manufacture STT-MRAM Devices at GLOBALFOUNDRIES as provided under the Agreement. The Parties agree to use firewalls and password protection to limit access to Confidential Information (such as recipe details) on any equipment being used in connection with the Joint Development Work to those individuals with proper permission.</w:t>
      </w:r>
    </w:p>
    <w:p>
      <w:pPr>
        <w:spacing w:after="0" w:line="181" w:lineRule="exact"/>
        <w:rPr>
          <w:sz w:val="20"/>
          <w:szCs w:val="20"/>
          <w:color w:val="auto"/>
        </w:rPr>
      </w:pPr>
    </w:p>
    <w:p>
      <w:pPr>
        <w:ind w:left="1300" w:hanging="647"/>
        <w:spacing w:after="0" w:line="269" w:lineRule="auto"/>
        <w:tabs>
          <w:tab w:leader="none" w:pos="12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color w:val="auto"/>
        </w:rPr>
        <w:t>A Party has the right to disclose Confidential Information of the other Party to (i) any sublicensee that is sublicensed under Section 7 and (ii) as necessary to exercise a Party’s license rights in Section 8 to manufacture STT-MRAM Devices at GLOBALFOUNDRIES, and for avoidance of doubt allow such recipients to further disclose such Confidential Information, in all cases solely to the extent necessary to exercise the rights granted in Section 7 and Section 8 subject to the terms and restrictions set forth therein. For clarity, such Party shall be responsible for any such third party’s breach of such terms and restrictions set forth in Section 7 and/or Section 8 and applicable confidentiality terms set forth in the following Section 11.3. The Party disclosing such Confidential Information to permitted third parties may replace the Provider’s markings with its own markings when reasonable under the circumstances (e.g., when using a watermark in connection with bundled materials), and not for the purpose of representing that the original source of such Confidential Information is the Party disclosing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Sheet 18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40"/>
          </w:cols>
          <w:pgMar w:left="980" w:top="665" w:right="1019" w:bottom="1440" w:gutter="0" w:footer="0" w:header="0"/>
        </w:sectPr>
      </w:pPr>
    </w:p>
    <w:p>
      <w:pPr>
        <w:spacing w:after="0" w:line="30" w:lineRule="exact"/>
        <w:rPr>
          <w:sz w:val="20"/>
          <w:szCs w:val="20"/>
          <w:color w:val="auto"/>
        </w:rPr>
      </w:pPr>
    </w:p>
    <w:p>
      <w:pPr>
        <w:ind w:left="1300" w:right="400" w:hanging="647"/>
        <w:spacing w:after="0" w:line="342" w:lineRule="auto"/>
        <w:tabs>
          <w:tab w:leader="none" w:pos="12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color w:val="auto"/>
        </w:rPr>
        <w:t>Disclosure of Confidential Information as allowed in Section 11.2 will not be made without a signed, written agreement between the disclosing and recipient parties. Such written agreement shall contain the following terms:</w:t>
      </w:r>
    </w:p>
    <w:p>
      <w:pPr>
        <w:spacing w:after="0" w:line="124" w:lineRule="exact"/>
        <w:rPr>
          <w:sz w:val="20"/>
          <w:szCs w:val="20"/>
          <w:color w:val="auto"/>
        </w:rPr>
      </w:pPr>
    </w:p>
    <w:p>
      <w:pPr>
        <w:ind w:left="1960" w:right="120" w:hanging="647"/>
        <w:spacing w:after="0" w:line="277" w:lineRule="auto"/>
        <w:tabs>
          <w:tab w:leader="none" w:pos="1940" w:val="left"/>
        </w:tabs>
        <w:rPr>
          <w:sz w:val="20"/>
          <w:szCs w:val="20"/>
          <w:color w:val="auto"/>
        </w:rPr>
      </w:pPr>
      <w:r>
        <w:rPr>
          <w:rFonts w:ascii="Arial" w:cs="Arial" w:eastAsia="Arial" w:hAnsi="Arial"/>
          <w:sz w:val="18"/>
          <w:szCs w:val="18"/>
          <w:b w:val="1"/>
          <w:bCs w:val="1"/>
          <w:color w:val="auto"/>
        </w:rPr>
        <w:t>11.3.1</w:t>
      </w:r>
      <w:r>
        <w:rPr>
          <w:sz w:val="20"/>
          <w:szCs w:val="20"/>
          <w:color w:val="auto"/>
        </w:rPr>
        <w:tab/>
      </w:r>
      <w:r>
        <w:rPr>
          <w:rFonts w:ascii="Arial" w:cs="Arial" w:eastAsia="Arial" w:hAnsi="Arial"/>
          <w:sz w:val="18"/>
          <w:szCs w:val="18"/>
          <w:color w:val="auto"/>
        </w:rPr>
        <w:t>an obligation on the recipient to utilize the disclosed Confidential Information for the benefit of the discloser and in compliance with applicable restrictions set forth in Section 7 and/or Section 8; and</w:t>
      </w:r>
    </w:p>
    <w:p>
      <w:pPr>
        <w:spacing w:after="0" w:line="170" w:lineRule="exact"/>
        <w:rPr>
          <w:sz w:val="20"/>
          <w:szCs w:val="20"/>
          <w:color w:val="auto"/>
        </w:rPr>
      </w:pPr>
    </w:p>
    <w:p>
      <w:pPr>
        <w:ind w:left="1960" w:right="660" w:hanging="647"/>
        <w:spacing w:after="0" w:line="259" w:lineRule="auto"/>
        <w:tabs>
          <w:tab w:leader="none" w:pos="1940" w:val="left"/>
        </w:tabs>
        <w:rPr>
          <w:sz w:val="20"/>
          <w:szCs w:val="20"/>
          <w:color w:val="auto"/>
        </w:rPr>
      </w:pPr>
      <w:r>
        <w:rPr>
          <w:rFonts w:ascii="Arial" w:cs="Arial" w:eastAsia="Arial" w:hAnsi="Arial"/>
          <w:sz w:val="18"/>
          <w:szCs w:val="18"/>
          <w:b w:val="1"/>
          <w:bCs w:val="1"/>
          <w:color w:val="auto"/>
        </w:rPr>
        <w:t>11.3.2</w:t>
      </w:r>
      <w:r>
        <w:rPr>
          <w:sz w:val="20"/>
          <w:szCs w:val="20"/>
          <w:color w:val="auto"/>
        </w:rPr>
        <w:tab/>
      </w:r>
      <w:r>
        <w:rPr>
          <w:rFonts w:ascii="Arial" w:cs="Arial" w:eastAsia="Arial" w:hAnsi="Arial"/>
          <w:sz w:val="18"/>
          <w:szCs w:val="18"/>
          <w:color w:val="auto"/>
        </w:rPr>
        <w:t>a requirement that such disclosures are subject to confidentiality terms and conditions that are no less restrictive than those non-disclosure related terms set forth herein, and at a minimum must have a confidentiality term that is no shorter than [*] years from the scheduled SOW termination date of the respective Statement of Work.</w:t>
      </w:r>
    </w:p>
    <w:p>
      <w:pPr>
        <w:spacing w:after="0" w:line="187" w:lineRule="exact"/>
        <w:rPr>
          <w:sz w:val="20"/>
          <w:szCs w:val="20"/>
          <w:color w:val="auto"/>
        </w:rPr>
      </w:pPr>
    </w:p>
    <w:p>
      <w:pPr>
        <w:ind w:left="1300" w:hanging="647"/>
        <w:spacing w:after="0" w:line="290" w:lineRule="auto"/>
        <w:tabs>
          <w:tab w:leader="none" w:pos="128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color w:val="auto"/>
        </w:rPr>
        <w:t>With respect to information that does not relate to the Joint Development Work and which is considered confidential by either Party, it is not the intention of any Party to disclose to or obtain from the other Party any such information. In particular, the Parties acknowledge that each has other development projects and relationships being conducted in their respective facilities, and the Parties shall take reasonable precautions to limit the disclosure and receipt of Information unrelated to the Joint Development Work. In the event that either Party obtains such information of the other Party that is designated as confidential and is not related with the Joint Development Work or which should from its nature be understood to be confidential and not related with the Joint Development Work, the Program Managers shall be informed, and any such information shall promptly be returned.</w:t>
      </w:r>
    </w:p>
    <w:p>
      <w:pPr>
        <w:spacing w:after="0" w:line="165" w:lineRule="exact"/>
        <w:rPr>
          <w:sz w:val="20"/>
          <w:szCs w:val="20"/>
          <w:color w:val="auto"/>
        </w:rPr>
      </w:pPr>
    </w:p>
    <w:p>
      <w:pPr>
        <w:ind w:left="1300" w:right="60" w:hanging="647"/>
        <w:spacing w:after="0" w:line="255" w:lineRule="auto"/>
        <w:tabs>
          <w:tab w:leader="none" w:pos="128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8"/>
          <w:szCs w:val="18"/>
          <w:color w:val="auto"/>
        </w:rPr>
        <w:t>Using such measures as Recipient uses to protect the confidentiality of its own Confidential Information of like importance, but in no event using less than reasonable care, the Parties shall treat all Confidential Information as confidential and for a period of [*] years after disclosure shall not disclose Confidential Information to any third party, other than to its employees and/or Consultants on a need to know basis, except as otherwise expressly set forth herein, or as otherwise expressly authorized by Discloser in a writing that states the title of this Agreement and its Effective Date.</w:t>
      </w:r>
    </w:p>
    <w:p>
      <w:pPr>
        <w:spacing w:after="0" w:line="192" w:lineRule="exact"/>
        <w:rPr>
          <w:sz w:val="20"/>
          <w:szCs w:val="20"/>
          <w:color w:val="auto"/>
        </w:rPr>
      </w:pPr>
    </w:p>
    <w:p>
      <w:pPr>
        <w:ind w:left="1300" w:right="140" w:hanging="647"/>
        <w:spacing w:after="0" w:line="263" w:lineRule="auto"/>
        <w:tabs>
          <w:tab w:leader="none" w:pos="128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8"/>
          <w:szCs w:val="18"/>
          <w:color w:val="auto"/>
        </w:rPr>
        <w:t>On termination of this Agreement and upon request of the terminating Party, all Confidential Information of the other Party in each Party’s possession or control will be destroyed or returned to the Party to whom such Confidential Information belongs.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Sheet 19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40"/>
          </w:cols>
          <w:pgMar w:left="980" w:top="665" w:right="1019" w:bottom="1440" w:gutter="0" w:footer="0" w:header="0"/>
        </w:sectPr>
      </w:pPr>
    </w:p>
    <w:p>
      <w:pPr>
        <w:spacing w:after="0" w:line="30" w:lineRule="exact"/>
        <w:rPr>
          <w:sz w:val="20"/>
          <w:szCs w:val="20"/>
          <w:color w:val="auto"/>
        </w:rPr>
      </w:pPr>
    </w:p>
    <w:p>
      <w:pPr>
        <w:ind w:left="1300" w:right="160" w:hanging="647"/>
        <w:spacing w:after="0" w:line="291" w:lineRule="auto"/>
        <w:tabs>
          <w:tab w:leader="none" w:pos="128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color w:val="auto"/>
        </w:rPr>
        <w:t>Subject to any patent rights, copyrights and trademark rights, the Parties agree that as a result of exposure to Confidential Information of the Provider, personnel of the Recipient may gain or enhance general knowledge, skills and experience related to the Confidential Information (“General Knowledge”). The subsequent internal use by these personnel of such General Knowledge as retained in their unaided memories, without reference to Confidential Information in written, electronic or other fixed form, shall not constitute a breach of the confidentiality obligation under this Section 11. A person’s memory is considered unaided if the employee has not intentionally memorized the Confidential Information for the purpose of retaining and subsequently using or disclosing it.</w:t>
      </w:r>
    </w:p>
    <w:p>
      <w:pPr>
        <w:spacing w:after="0" w:line="166" w:lineRule="exact"/>
        <w:rPr>
          <w:sz w:val="20"/>
          <w:szCs w:val="20"/>
          <w:color w:val="auto"/>
        </w:rPr>
      </w:pPr>
    </w:p>
    <w:p>
      <w:pPr>
        <w:ind w:left="1300" w:hanging="647"/>
        <w:spacing w:after="0" w:line="279" w:lineRule="auto"/>
        <w:tabs>
          <w:tab w:leader="none" w:pos="128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7"/>
          <w:szCs w:val="17"/>
          <w:color w:val="auto"/>
        </w:rPr>
        <w:t>In the event that either Party engages with a third party to develop MRAM technology, the engaging Party agrees, prior to and concurrently with such engagement, to implement, as commercially reasonable, access control measures (electronic and physical) to prevent unauthorized access to Background IP and Foreground IP, however, with respect to Foreground IP, only during the Exclusivity Period for such STT-MRAM Devices.</w:t>
      </w:r>
    </w:p>
    <w:p>
      <w:pPr>
        <w:spacing w:after="0" w:line="171" w:lineRule="exact"/>
        <w:rPr>
          <w:sz w:val="20"/>
          <w:szCs w:val="20"/>
          <w:color w:val="auto"/>
        </w:rPr>
      </w:pPr>
    </w:p>
    <w:p>
      <w:pPr>
        <w:ind w:left="340" w:hanging="278"/>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u w:val="single" w:color="auto"/>
          <w:color w:val="auto"/>
        </w:rPr>
        <w:t>Termination for cause</w:t>
      </w:r>
      <w:r>
        <w:rPr>
          <w:rFonts w:ascii="Arial" w:cs="Arial" w:eastAsia="Arial" w:hAnsi="Arial"/>
          <w:sz w:val="16"/>
          <w:szCs w:val="16"/>
          <w:color w:val="auto"/>
        </w:rPr>
        <w:t>. Either Party will have the right to terminate this Agreement at any time if:</w:t>
      </w:r>
    </w:p>
    <w:p>
      <w:pPr>
        <w:spacing w:after="0" w:line="225" w:lineRule="exact"/>
        <w:rPr>
          <w:sz w:val="20"/>
          <w:szCs w:val="20"/>
          <w:color w:val="auto"/>
        </w:rPr>
      </w:pPr>
    </w:p>
    <w:p>
      <w:pPr>
        <w:ind w:left="1960" w:right="60" w:hanging="647"/>
        <w:spacing w:after="0" w:line="263" w:lineRule="auto"/>
        <w:tabs>
          <w:tab w:leader="none" w:pos="1940" w:val="left"/>
        </w:tabs>
        <w:rPr>
          <w:sz w:val="20"/>
          <w:szCs w:val="20"/>
          <w:color w:val="auto"/>
        </w:rPr>
      </w:pPr>
      <w:r>
        <w:rPr>
          <w:rFonts w:ascii="Arial" w:cs="Arial" w:eastAsia="Arial" w:hAnsi="Arial"/>
          <w:sz w:val="18"/>
          <w:szCs w:val="18"/>
          <w:b w:val="1"/>
          <w:bCs w:val="1"/>
          <w:color w:val="auto"/>
        </w:rPr>
        <w:t>12.1.1</w:t>
      </w:r>
      <w:r>
        <w:rPr>
          <w:sz w:val="20"/>
          <w:szCs w:val="20"/>
          <w:color w:val="auto"/>
        </w:rPr>
        <w:tab/>
      </w:r>
      <w:r>
        <w:rPr>
          <w:rFonts w:ascii="Arial" w:cs="Arial" w:eastAsia="Arial" w:hAnsi="Arial"/>
          <w:sz w:val="18"/>
          <w:szCs w:val="18"/>
          <w:color w:val="auto"/>
        </w:rPr>
        <w:t>The other Party is in material breach of any warranty, term, condition or covenant of this Agreement and fails to cure that breach within sixty (60) days after receiving written notice of that breach and the other Party’s intention to terminate.</w:t>
      </w:r>
    </w:p>
    <w:p>
      <w:pPr>
        <w:spacing w:after="0" w:line="184" w:lineRule="exact"/>
        <w:rPr>
          <w:sz w:val="20"/>
          <w:szCs w:val="20"/>
          <w:color w:val="auto"/>
        </w:rPr>
      </w:pPr>
    </w:p>
    <w:p>
      <w:pPr>
        <w:ind w:left="1960" w:right="160" w:hanging="647"/>
        <w:spacing w:after="0" w:line="277" w:lineRule="auto"/>
        <w:tabs>
          <w:tab w:leader="none" w:pos="1940" w:val="left"/>
        </w:tabs>
        <w:rPr>
          <w:sz w:val="20"/>
          <w:szCs w:val="20"/>
          <w:color w:val="auto"/>
        </w:rPr>
      </w:pPr>
      <w:r>
        <w:rPr>
          <w:rFonts w:ascii="Arial" w:cs="Arial" w:eastAsia="Arial" w:hAnsi="Arial"/>
          <w:sz w:val="18"/>
          <w:szCs w:val="18"/>
          <w:b w:val="1"/>
          <w:bCs w:val="1"/>
          <w:color w:val="auto"/>
        </w:rPr>
        <w:t>12.1.2</w:t>
      </w:r>
      <w:r>
        <w:rPr>
          <w:sz w:val="20"/>
          <w:szCs w:val="20"/>
          <w:color w:val="auto"/>
        </w:rPr>
        <w:tab/>
      </w:r>
      <w:r>
        <w:rPr>
          <w:rFonts w:ascii="Arial" w:cs="Arial" w:eastAsia="Arial" w:hAnsi="Arial"/>
          <w:sz w:val="18"/>
          <w:szCs w:val="18"/>
          <w:color w:val="auto"/>
        </w:rPr>
        <w:t>Such Party terminates the MA as a result of the other Party’s material breach of the MA (in accordance with and as such terms and conditions are defined in the MA).</w:t>
      </w:r>
    </w:p>
    <w:p>
      <w:pPr>
        <w:spacing w:after="0" w:line="170" w:lineRule="exact"/>
        <w:rPr>
          <w:sz w:val="20"/>
          <w:szCs w:val="20"/>
          <w:color w:val="auto"/>
        </w:rPr>
      </w:pPr>
    </w:p>
    <w:p>
      <w:pPr>
        <w:ind w:left="1960" w:right="20" w:hanging="647"/>
        <w:spacing w:after="0" w:line="259" w:lineRule="auto"/>
        <w:tabs>
          <w:tab w:leader="none" w:pos="1940" w:val="left"/>
        </w:tabs>
        <w:rPr>
          <w:sz w:val="20"/>
          <w:szCs w:val="20"/>
          <w:color w:val="auto"/>
        </w:rPr>
      </w:pPr>
      <w:r>
        <w:rPr>
          <w:rFonts w:ascii="Arial" w:cs="Arial" w:eastAsia="Arial" w:hAnsi="Arial"/>
          <w:sz w:val="18"/>
          <w:szCs w:val="18"/>
          <w:b w:val="1"/>
          <w:bCs w:val="1"/>
          <w:color w:val="auto"/>
        </w:rPr>
        <w:t>12.1.3</w:t>
      </w:r>
      <w:r>
        <w:rPr>
          <w:sz w:val="20"/>
          <w:szCs w:val="20"/>
          <w:color w:val="auto"/>
        </w:rPr>
        <w:tab/>
      </w:r>
      <w:r>
        <w:rPr>
          <w:rFonts w:ascii="Arial" w:cs="Arial" w:eastAsia="Arial" w:hAnsi="Arial"/>
          <w:sz w:val="18"/>
          <w:szCs w:val="18"/>
          <w:color w:val="auto"/>
        </w:rPr>
        <w:t>The other Party becomes the subject of any voluntary or involuntary proceeding in bankruptcy, liquidation, dissolution, receivership, attachment or composition or general assignment for the benefit of creditors; provided that if such condition is assumed involuntarily it has not been dismissed with prejudice within ninety (90) days after it begins.</w:t>
      </w:r>
    </w:p>
    <w:p>
      <w:pPr>
        <w:spacing w:after="0" w:line="187" w:lineRule="exact"/>
        <w:rPr>
          <w:sz w:val="20"/>
          <w:szCs w:val="20"/>
          <w:color w:val="auto"/>
        </w:rPr>
      </w:pPr>
    </w:p>
    <w:p>
      <w:pPr>
        <w:ind w:left="1960" w:right="20" w:hanging="647"/>
        <w:spacing w:after="0" w:line="263" w:lineRule="auto"/>
        <w:tabs>
          <w:tab w:leader="none" w:pos="1940" w:val="left"/>
        </w:tabs>
        <w:rPr>
          <w:sz w:val="20"/>
          <w:szCs w:val="20"/>
          <w:color w:val="auto"/>
        </w:rPr>
      </w:pPr>
      <w:r>
        <w:rPr>
          <w:rFonts w:ascii="Arial" w:cs="Arial" w:eastAsia="Arial" w:hAnsi="Arial"/>
          <w:sz w:val="18"/>
          <w:szCs w:val="18"/>
          <w:b w:val="1"/>
          <w:bCs w:val="1"/>
          <w:color w:val="auto"/>
        </w:rPr>
        <w:t>12.1.4</w:t>
      </w:r>
      <w:r>
        <w:rPr>
          <w:sz w:val="20"/>
          <w:szCs w:val="20"/>
          <w:color w:val="auto"/>
        </w:rPr>
        <w:tab/>
      </w:r>
      <w:r>
        <w:rPr>
          <w:rFonts w:ascii="Arial" w:cs="Arial" w:eastAsia="Arial" w:hAnsi="Arial"/>
          <w:sz w:val="18"/>
          <w:szCs w:val="18"/>
          <w:color w:val="auto"/>
        </w:rPr>
        <w:t>The other Party is purchased by a third party or otherwise experiences a change of control of more than fifty percent of its outstanding stock, except in connection with an authorized assignment or transfer as provided in Section 20, with such termination effective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Sheet 20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60"/>
          </w:cols>
          <w:pgMar w:left="980" w:top="665" w:right="999" w:bottom="1440" w:gutter="0" w:footer="0" w:header="0"/>
        </w:sectPr>
      </w:pPr>
    </w:p>
    <w:p>
      <w:pPr>
        <w:spacing w:after="0" w:line="30" w:lineRule="exact"/>
        <w:rPr>
          <w:sz w:val="20"/>
          <w:szCs w:val="20"/>
          <w:color w:val="auto"/>
        </w:rPr>
      </w:pPr>
    </w:p>
    <w:p>
      <w:pPr>
        <w:ind w:left="1300" w:hanging="647"/>
        <w:spacing w:after="0" w:line="273" w:lineRule="auto"/>
        <w:tabs>
          <w:tab w:leader="none" w:pos="12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7"/>
          <w:szCs w:val="17"/>
          <w:color w:val="auto"/>
        </w:rPr>
        <w:t>In the event that GLOBALFOUNDRIES no longer retains observer rights on the Everspin board of directors under the terms of the Equity Agreement and Everspin (i) becomes insolvent or (ii) admits in writing its insolvency or inability to pay its debts or perform its obligations as they mature; upon GLOBALFOUNDRIES request, Everspin shall submit documentation to GLOBALFOUNDRIES within ninety (90) days thereof detailing actions that Everspin will take to become solvent within the subsequent ninety (90) days. If Everspin does not provide such documentation then GLOBALFOUNDRIES shall have the right to terminate the Agreement.</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color w:val="auto"/>
        </w:rPr>
        <w:t>Effect of Termination</w:t>
      </w:r>
    </w:p>
    <w:p>
      <w:pPr>
        <w:spacing w:after="0" w:line="225" w:lineRule="exact"/>
        <w:rPr>
          <w:sz w:val="20"/>
          <w:szCs w:val="20"/>
          <w:color w:val="auto"/>
        </w:rPr>
      </w:pPr>
    </w:p>
    <w:p>
      <w:pPr>
        <w:ind w:left="1960" w:right="20" w:hanging="647"/>
        <w:spacing w:after="0" w:line="255" w:lineRule="auto"/>
        <w:tabs>
          <w:tab w:leader="none" w:pos="1940" w:val="left"/>
        </w:tabs>
        <w:rPr>
          <w:sz w:val="20"/>
          <w:szCs w:val="20"/>
          <w:color w:val="auto"/>
        </w:rPr>
      </w:pPr>
      <w:r>
        <w:rPr>
          <w:rFonts w:ascii="Arial" w:cs="Arial" w:eastAsia="Arial" w:hAnsi="Arial"/>
          <w:sz w:val="18"/>
          <w:szCs w:val="18"/>
          <w:b w:val="1"/>
          <w:bCs w:val="1"/>
          <w:color w:val="auto"/>
        </w:rPr>
        <w:t>12.3.1</w:t>
      </w:r>
      <w:r>
        <w:rPr>
          <w:sz w:val="20"/>
          <w:szCs w:val="20"/>
          <w:color w:val="auto"/>
        </w:rPr>
        <w:tab/>
      </w:r>
      <w:r>
        <w:rPr>
          <w:rFonts w:ascii="Arial" w:cs="Arial" w:eastAsia="Arial" w:hAnsi="Arial"/>
          <w:sz w:val="18"/>
          <w:szCs w:val="18"/>
          <w:color w:val="auto"/>
        </w:rPr>
        <w:t>Should either GLOBALFOUNDRIES or Everspin terminate this Agreement for cause per Section 12.1 or Section 12.2, the Party that terminates this Agreement will be released from all restrictions associated with the Exclusivity Period. Should GLOBALFOUNDRIES terminate this Agreement for cause per Section 12.1 or Section 12.2, GLOBALFOUNDRIES will remain obligated to pay royalties to Everspin as set forth in Section 17.1; provided, however, the percentage of the Royalty Amount owed shall be as follows based upon when the termination occurs: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Less than [*] from the Effective Date: [*]%</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Within [*] from the Effective Date: [*]%</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Within [*] of the Effective Date: [*]%</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Within [*] from the Effective Date: [*]% plus a [*] proration of the remaining [*]% royalty.</w:t>
      </w:r>
    </w:p>
    <w:p>
      <w:pPr>
        <w:spacing w:after="0" w:line="225" w:lineRule="exact"/>
        <w:rPr>
          <w:sz w:val="20"/>
          <w:szCs w:val="20"/>
          <w:color w:val="auto"/>
        </w:rPr>
      </w:pPr>
    </w:p>
    <w:p>
      <w:pPr>
        <w:ind w:left="60" w:right="240"/>
        <w:spacing w:after="0" w:line="277" w:lineRule="auto"/>
        <w:rPr>
          <w:sz w:val="20"/>
          <w:szCs w:val="20"/>
          <w:color w:val="auto"/>
        </w:rPr>
      </w:pPr>
      <w:r>
        <w:rPr>
          <w:rFonts w:ascii="Arial" w:cs="Arial" w:eastAsia="Arial" w:hAnsi="Arial"/>
          <w:sz w:val="18"/>
          <w:szCs w:val="18"/>
          <w:color w:val="auto"/>
        </w:rPr>
        <w:t>In addition, Sections 2.4, 3.4, 3.7, 4, 6 through 9 (other than 7.6 and 8.2), and 12 through 17 (other than 13.2), 20, 21.4, and 21.8, will survive termination of this Agreement.</w:t>
      </w:r>
    </w:p>
    <w:p>
      <w:pPr>
        <w:spacing w:after="0" w:line="166" w:lineRule="exact"/>
        <w:rPr>
          <w:sz w:val="20"/>
          <w:szCs w:val="20"/>
          <w:color w:val="auto"/>
        </w:rPr>
      </w:pPr>
    </w:p>
    <w:p>
      <w:pPr>
        <w:jc w:val="center"/>
        <w:ind w:left="1220"/>
        <w:spacing w:after="0"/>
        <w:tabs>
          <w:tab w:leader="none" w:pos="180" w:val="left"/>
        </w:tabs>
        <w:rPr>
          <w:sz w:val="20"/>
          <w:szCs w:val="20"/>
          <w:color w:val="auto"/>
        </w:rPr>
      </w:pPr>
      <w:r>
        <w:rPr>
          <w:rFonts w:ascii="Arial" w:cs="Arial" w:eastAsia="Arial" w:hAnsi="Arial"/>
          <w:sz w:val="18"/>
          <w:szCs w:val="18"/>
          <w:b w:val="1"/>
          <w:bCs w:val="1"/>
          <w:color w:val="auto"/>
        </w:rPr>
        <w:t>12.3.2</w:t>
      </w:r>
      <w:r>
        <w:rPr>
          <w:sz w:val="20"/>
          <w:szCs w:val="20"/>
          <w:color w:val="auto"/>
        </w:rPr>
        <w:tab/>
      </w:r>
      <w:r>
        <w:rPr>
          <w:rFonts w:ascii="Arial" w:cs="Arial" w:eastAsia="Arial" w:hAnsi="Arial"/>
          <w:sz w:val="16"/>
          <w:szCs w:val="16"/>
          <w:color w:val="auto"/>
        </w:rPr>
        <w:t>In the event that GLOBALFOUNDRIES is the Party that terminates this Agreement pursuant to Section 12.1,</w:t>
      </w:r>
    </w:p>
    <w:p>
      <w:pPr>
        <w:spacing w:after="0" w:line="27" w:lineRule="exact"/>
        <w:rPr>
          <w:sz w:val="20"/>
          <w:szCs w:val="20"/>
          <w:color w:val="auto"/>
        </w:rPr>
      </w:pPr>
    </w:p>
    <w:p>
      <w:pPr>
        <w:ind w:left="1960" w:right="140"/>
        <w:spacing w:after="0" w:line="253" w:lineRule="auto"/>
        <w:rPr>
          <w:sz w:val="20"/>
          <w:szCs w:val="20"/>
          <w:color w:val="auto"/>
        </w:rPr>
      </w:pPr>
      <w:r>
        <w:rPr>
          <w:rFonts w:ascii="Arial" w:cs="Arial" w:eastAsia="Arial" w:hAnsi="Arial"/>
          <w:sz w:val="18"/>
          <w:szCs w:val="18"/>
          <w:color w:val="auto"/>
        </w:rPr>
        <w:t>Everspin shall reimburse GLOBALFOUNDRIES solely for direct costs (i.e., [*], not already paid by Everspin) incurred by GLOBALFOUNDRIES that are [*] less the [*]. GLOBALFOUNDRIES shall provide Everspin with reasonable supporting documentation of such costs. Everspin’s obligation to reimburse GLOBALFOUNDRIES for such direct costs shall terminate in the event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Sheet 21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60"/>
          </w:cols>
          <w:pgMar w:left="980" w:top="665" w:right="999" w:bottom="1440" w:gutter="0" w:footer="0" w:header="0"/>
        </w:sectPr>
      </w:pPr>
    </w:p>
    <w:p>
      <w:pPr>
        <w:spacing w:after="0" w:line="30" w:lineRule="exact"/>
        <w:rPr>
          <w:sz w:val="20"/>
          <w:szCs w:val="20"/>
          <w:color w:val="auto"/>
        </w:rPr>
      </w:pPr>
    </w:p>
    <w:p>
      <w:pPr>
        <w:ind w:left="1960" w:right="260" w:hanging="647"/>
        <w:spacing w:after="0" w:line="259" w:lineRule="auto"/>
        <w:tabs>
          <w:tab w:leader="none" w:pos="1940" w:val="left"/>
        </w:tabs>
        <w:rPr>
          <w:sz w:val="20"/>
          <w:szCs w:val="20"/>
          <w:color w:val="auto"/>
        </w:rPr>
      </w:pPr>
      <w:r>
        <w:rPr>
          <w:rFonts w:ascii="Arial" w:cs="Arial" w:eastAsia="Arial" w:hAnsi="Arial"/>
          <w:sz w:val="18"/>
          <w:szCs w:val="18"/>
          <w:b w:val="1"/>
          <w:bCs w:val="1"/>
          <w:color w:val="auto"/>
        </w:rPr>
        <w:t>12.3.3</w:t>
      </w:r>
      <w:r>
        <w:rPr>
          <w:sz w:val="20"/>
          <w:szCs w:val="20"/>
          <w:color w:val="auto"/>
        </w:rPr>
        <w:tab/>
      </w:r>
      <w:r>
        <w:rPr>
          <w:rFonts w:ascii="Arial" w:cs="Arial" w:eastAsia="Arial" w:hAnsi="Arial"/>
          <w:sz w:val="18"/>
          <w:szCs w:val="18"/>
          <w:color w:val="auto"/>
        </w:rPr>
        <w:t>Should this Agreement expire by its natural term per Section 1.1, each Party will be released from all obligations and liabilities to the other occurring or arising after the date of such expiration, except that Sections 2.4, 3.4, 3.7, 4, 6 through 9 (other than 7.6 and 8.2), and 12 through 17 (other than 13.2), 20, 21.4, and 21.8 will survive expiration of this Agreement.</w:t>
      </w:r>
    </w:p>
    <w:p>
      <w:pPr>
        <w:spacing w:after="0" w:line="187" w:lineRule="exact"/>
        <w:rPr>
          <w:sz w:val="20"/>
          <w:szCs w:val="20"/>
          <w:color w:val="auto"/>
        </w:rPr>
      </w:pPr>
    </w:p>
    <w:p>
      <w:pPr>
        <w:ind w:left="1960" w:hanging="647"/>
        <w:spacing w:after="0" w:line="277" w:lineRule="auto"/>
        <w:tabs>
          <w:tab w:leader="none" w:pos="1940" w:val="left"/>
        </w:tabs>
        <w:rPr>
          <w:sz w:val="20"/>
          <w:szCs w:val="20"/>
          <w:color w:val="auto"/>
        </w:rPr>
      </w:pPr>
      <w:r>
        <w:rPr>
          <w:rFonts w:ascii="Arial" w:cs="Arial" w:eastAsia="Arial" w:hAnsi="Arial"/>
          <w:sz w:val="18"/>
          <w:szCs w:val="18"/>
          <w:b w:val="1"/>
          <w:bCs w:val="1"/>
          <w:color w:val="auto"/>
        </w:rPr>
        <w:t>12.3.4</w:t>
      </w:r>
      <w:r>
        <w:rPr>
          <w:sz w:val="20"/>
          <w:szCs w:val="20"/>
          <w:color w:val="auto"/>
        </w:rPr>
        <w:tab/>
      </w:r>
      <w:r>
        <w:rPr>
          <w:rFonts w:ascii="Arial" w:cs="Arial" w:eastAsia="Arial" w:hAnsi="Arial"/>
          <w:sz w:val="18"/>
          <w:szCs w:val="18"/>
          <w:color w:val="auto"/>
        </w:rPr>
        <w:t>In the event of the termination or expiration of this Agreement for any reason, the confidentiality provisions of Section 11 (other than 11.4) shall survive and remain in full force and effect.</w:t>
      </w:r>
    </w:p>
    <w:p>
      <w:pPr>
        <w:spacing w:after="0" w:line="170" w:lineRule="exact"/>
        <w:rPr>
          <w:sz w:val="20"/>
          <w:szCs w:val="20"/>
          <w:color w:val="auto"/>
        </w:rPr>
      </w:pPr>
    </w:p>
    <w:p>
      <w:pPr>
        <w:ind w:left="340" w:hanging="278"/>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Warranties, Limitations of Liability, Indemnification</w:t>
      </w:r>
    </w:p>
    <w:p>
      <w:pPr>
        <w:spacing w:after="0" w:line="225" w:lineRule="exact"/>
        <w:rPr>
          <w:sz w:val="20"/>
          <w:szCs w:val="20"/>
          <w:color w:val="auto"/>
        </w:rPr>
      </w:pPr>
    </w:p>
    <w:p>
      <w:pPr>
        <w:ind w:left="1300" w:right="120" w:hanging="647"/>
        <w:spacing w:after="0" w:line="268" w:lineRule="auto"/>
        <w:tabs>
          <w:tab w:leader="none" w:pos="128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7"/>
          <w:szCs w:val="17"/>
          <w:color w:val="auto"/>
        </w:rPr>
        <w:t>EXCEPT FOR BREACHES OF SECTION 11 AND TO THE EXTENT PERMITTED BY APPLICABLE LAW, IN NO EVENT SHALL EITHER PARTY BE LIABLE TO THE OTHER FOR ANY INDIRECT, SPECIAL, CONSEQUENTIAL OR INCIDENTAL DAMAGES, LOSS OF PROFIT, LOSS OF ANTICIPATED PROFIT, LOSS OF DATA OR OTHERWISE, WHETHER BASED ON BREACH OF CONTRACT, TORT (INCLUDING NEGLIGENCE) OR OTHERWISE, WHETHER OR NOT THAT PARTY HAS BEEN ADVISED, OR KNEW, OR SHOULD HAVE KNOWN OF, THE POSSIBILITY OF SUCH DAMAGE AND NOTWITHSTANDING THE FAILURE OF ESSENTIAL PURPOSE OF ANY LIMITED REMEDY, PROVIDED THAT NEITHER PARTY SHALL BE DEEMED TO HAVE ASSUMED THE RISK OF THE OTHER PARTY’S GROSS NEGLIGENCE OR WILLFUL MISCONDUCT. EXCEPT FOR BREACHES OF SECTION 11, TO THE EXTENT PERMITTED BY APPLICABLE LAW, EITHER PARTY’S ENTIRE LIABILITY TO THE OTHER PARTY HEREUNDER SHALL NOT EXCEED A TOTAL OF [*]. THE LIMITATIONS ON LIABILITY FOR DAMAGES SET FORTH IN THIS AGREEMENT SHALL BE INAPPLICABLE TO EACH PARTY’S CONTRACTUAL OBLIGATION TO INDEMNIFY THE OTHER PARTY AS SET FORTH IN SECTIONS 13.4 AND 13.5 OF THIS AGREEMENT.</w:t>
      </w:r>
    </w:p>
    <w:p>
      <w:pPr>
        <w:spacing w:after="0" w:line="186" w:lineRule="exact"/>
        <w:rPr>
          <w:sz w:val="20"/>
          <w:szCs w:val="20"/>
          <w:color w:val="auto"/>
        </w:rPr>
      </w:pPr>
    </w:p>
    <w:p>
      <w:pPr>
        <w:ind w:left="1300" w:right="160" w:hanging="647"/>
        <w:spacing w:after="0" w:line="263" w:lineRule="auto"/>
        <w:tabs>
          <w:tab w:leader="none" w:pos="128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8"/>
          <w:szCs w:val="18"/>
          <w:color w:val="auto"/>
        </w:rPr>
        <w:t>Each Party represents and warrants that it has full capacity, power and authority to enter into this Agreement, to carry out the transactions and to grant the licenses contemplated by this Agreement. For clarity, the foregoing shall not be interpreted as a representation and warranty of non-infringement.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Sheet 22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40"/>
          </w:cols>
          <w:pgMar w:left="980" w:top="665" w:right="1019" w:bottom="1440" w:gutter="0" w:footer="0" w:header="0"/>
        </w:sectPr>
      </w:pPr>
    </w:p>
    <w:p>
      <w:pPr>
        <w:spacing w:after="0" w:line="30" w:lineRule="exact"/>
        <w:rPr>
          <w:sz w:val="20"/>
          <w:szCs w:val="20"/>
          <w:color w:val="auto"/>
        </w:rPr>
      </w:pPr>
    </w:p>
    <w:p>
      <w:pPr>
        <w:ind w:left="1300" w:right="100" w:hanging="647"/>
        <w:spacing w:after="0" w:line="254" w:lineRule="auto"/>
        <w:tabs>
          <w:tab w:leader="none" w:pos="128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8"/>
          <w:szCs w:val="18"/>
          <w:color w:val="auto"/>
        </w:rPr>
        <w:t>EXCEPT AS OTHERWISE EXPRESSLY PROVIDED HEREIN, NEITHER PARTY MAKES ANY EXPRESS WARRANTY IN CONNECTION WITH THE SUBJECT MATTER OF THIS AGREEMENT AND HEREBY DISCLAIMS ANY AND ALL IMPLIED OR STATUTORY WARRANTIES, INCLUDING ALL IMPLIED WARRANTIES OF TITLE, MERCHANTABILITY, NONINFRINGEMENT AND FITNESS FOR A PARTICULAR USE OR PURPOSE REGARDING SUCH SUBJECT MATTER. To the extent that a Party may not, as a matter of applicable law, disclaim any implied warranty, the scope and duration of such warranty shall be the minimum permitted under such law.</w:t>
      </w:r>
    </w:p>
    <w:p>
      <w:pPr>
        <w:spacing w:after="0" w:line="195" w:lineRule="exact"/>
        <w:rPr>
          <w:sz w:val="20"/>
          <w:szCs w:val="20"/>
          <w:color w:val="auto"/>
        </w:rPr>
      </w:pPr>
    </w:p>
    <w:p>
      <w:pPr>
        <w:ind w:left="1300" w:hanging="647"/>
        <w:spacing w:after="0" w:line="269" w:lineRule="auto"/>
        <w:tabs>
          <w:tab w:leader="none" w:pos="128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7"/>
          <w:szCs w:val="17"/>
          <w:color w:val="auto"/>
        </w:rPr>
        <w:t>Everspin will defend, indemnify and hold GLOBALFOUNDRIES and its Affiliates harmless against all reasonable defense costs and final judgments and settlements arising from any third party claims that STT-MRAM Devices utilizing the Design Information infringe any third party intellectual property rights to the extent such claims relate to GLOBALFOUNDRIES’ use of the Everspin Foreground IP and Everspin Background IP contained in the Design Information to make STT-MRAM Devices in accordance with the terms of this Agreement for its Customers; provided, however, (i) that the claim is not based on a modification of the IP core, Everspin Foreground IP or Everspin Background IP by anyone other than Everspin where the infringement would not have occurred but for such modification, or (ii) the combination of Everspin Foreground IP or Everspin Background IP with any device, component, program, data, material, apparatus, method or process that Everspin did not supply where the infringement would not have occurred but for such combination.</w:t>
      </w:r>
    </w:p>
    <w:p>
      <w:pPr>
        <w:spacing w:after="0" w:line="185" w:lineRule="exact"/>
        <w:rPr>
          <w:sz w:val="20"/>
          <w:szCs w:val="20"/>
          <w:color w:val="auto"/>
        </w:rPr>
      </w:pPr>
    </w:p>
    <w:p>
      <w:pPr>
        <w:ind w:left="1300" w:right="160" w:hanging="647"/>
        <w:spacing w:after="0" w:line="269" w:lineRule="auto"/>
        <w:tabs>
          <w:tab w:leader="none" w:pos="128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7"/>
          <w:szCs w:val="17"/>
          <w:color w:val="auto"/>
        </w:rPr>
        <w:t>GLOBALFOUNDRIES will defend, indemnify and hold Everspin and its Affiliates harmless against all reasonable defense costs and final judgments and settlements arising from any third party claims against Everspin asserting contributory or induced infringement by Everspin based on GLOBALFOUNDRIES’ use of GLOBALFOUNDRIES Foreground IP or GLOBALFOUNDRIES Background IP used or contained in an STT-MRAM Device based on the Joint Development Work, which is sold and/or transferred by GLOBALFOUNDRIES to a third party; provided, however, that (i) the claim is not based on a modification of the GLOBALFOUNDRIES Foreground IP or GLOBALFOUNDRIES Background IP by anyone other than GLOBALFOUNDRIES where the infringement would not have occurred but for such modification, or (ii) the combination of GLOBALFOUNDRIES Foreground IP or GLOBALFOUNDRIES Background IP with any device, component, program, data, material, apparatus, method or process that GLOBALFOUNDRIES did not supply where the infringement would not have occurred but for such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Sheet 23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40"/>
          </w:cols>
          <w:pgMar w:left="980" w:top="665" w:right="1019" w:bottom="1440" w:gutter="0" w:footer="0" w:header="0"/>
        </w:sectPr>
      </w:pPr>
    </w:p>
    <w:p>
      <w:pPr>
        <w:spacing w:after="0" w:line="30" w:lineRule="exact"/>
        <w:rPr>
          <w:sz w:val="20"/>
          <w:szCs w:val="20"/>
          <w:color w:val="auto"/>
        </w:rPr>
      </w:pPr>
    </w:p>
    <w:p>
      <w:pPr>
        <w:ind w:left="1300" w:right="80" w:hanging="647"/>
        <w:spacing w:after="0" w:line="273" w:lineRule="auto"/>
        <w:tabs>
          <w:tab w:leader="none" w:pos="128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7"/>
          <w:szCs w:val="17"/>
          <w:color w:val="auto"/>
        </w:rPr>
        <w:t>The indemnifying Party’s (“Indemnitor”) indemnification obligations herein are subject to (i) the indemnified Party (“Indemnitee”) providing Indemnitor with prompt notification and tender of the applicable claim and (ii) Indemnitor having sole control of the defense and all related settlement negotiations for the claim, except that Indemnitor may not enter into any final settlement that would adversely affect Indemnitee’s interests (including without limitation any admission of liability or requirement of payment by Indemnitee) without Indemnitee’s prior written approval. Indemnitee shall provide reasonable cooperation, assistance and information with respect to the claim.</w:t>
      </w:r>
    </w:p>
    <w:p>
      <w:pPr>
        <w:spacing w:after="0" w:line="178" w:lineRule="exact"/>
        <w:rPr>
          <w:sz w:val="20"/>
          <w:szCs w:val="20"/>
          <w:color w:val="auto"/>
        </w:rPr>
      </w:pPr>
    </w:p>
    <w:p>
      <w:pPr>
        <w:ind w:left="280" w:hanging="272"/>
        <w:spacing w:after="0"/>
        <w:tabs>
          <w:tab w:leader="none" w:pos="2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Force Majeure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Neither Party shall be liable to the other Party for failure or delay in the performance of any obligations hereunder due to causes reasonably beyond its control, including but not limited to, fire, flood, earthquakes, strikes, acts of God, government regulations, riots, actual or threatened terrorist acts, and insurrections. Upon the occurrence of such force majeure conditions, the affected Party shall notify the other Party thereof as soon as possible. Immediately after the cause is removed, the affected Party shall perform such obligation as affected by such force majeure conditions with all due speed.</w:t>
      </w:r>
    </w:p>
    <w:p>
      <w:pPr>
        <w:spacing w:after="0" w:line="184" w:lineRule="exact"/>
        <w:rPr>
          <w:sz w:val="20"/>
          <w:szCs w:val="20"/>
          <w:color w:val="auto"/>
        </w:rPr>
      </w:pPr>
    </w:p>
    <w:p>
      <w:pPr>
        <w:ind w:left="280" w:hanging="272"/>
        <w:spacing w:after="0"/>
        <w:tabs>
          <w:tab w:leader="none" w:pos="2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Dispute Resolution</w:t>
      </w:r>
    </w:p>
    <w:p>
      <w:pPr>
        <w:spacing w:after="0" w:line="225" w:lineRule="exact"/>
        <w:rPr>
          <w:sz w:val="20"/>
          <w:szCs w:val="20"/>
          <w:color w:val="auto"/>
        </w:rPr>
      </w:pPr>
    </w:p>
    <w:p>
      <w:pPr>
        <w:ind w:left="1300" w:right="30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the laws of the State of New York without giving effect to its</w:t>
      </w:r>
      <w:r>
        <w:rPr>
          <w:rFonts w:ascii="Arial" w:cs="Arial" w:eastAsia="Arial" w:hAnsi="Arial"/>
          <w:sz w:val="18"/>
          <w:szCs w:val="18"/>
          <w:u w:val="single" w:color="auto"/>
          <w:color w:val="auto"/>
        </w:rPr>
        <w:t xml:space="preserve"> </w:t>
      </w:r>
      <w:r>
        <w:rPr>
          <w:rFonts w:ascii="Arial" w:cs="Arial" w:eastAsia="Arial" w:hAnsi="Arial"/>
          <w:sz w:val="18"/>
          <w:szCs w:val="18"/>
          <w:color w:val="auto"/>
        </w:rPr>
        <w:t>principles of conflicts of laws.</w:t>
      </w:r>
    </w:p>
    <w:p>
      <w:pPr>
        <w:spacing w:after="0" w:line="170" w:lineRule="exact"/>
        <w:rPr>
          <w:sz w:val="20"/>
          <w:szCs w:val="20"/>
          <w:color w:val="auto"/>
        </w:rPr>
      </w:pPr>
    </w:p>
    <w:p>
      <w:pPr>
        <w:ind w:left="1300" w:right="520" w:hanging="647"/>
        <w:spacing w:after="0" w:line="308" w:lineRule="auto"/>
        <w:tabs>
          <w:tab w:leader="none" w:pos="128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lawsuit or other proceeding to enforce the provisions of this Agreement,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prevailing Party shall be entitled to recover its reasonable attorney’s fees and expenses.</w:t>
      </w:r>
    </w:p>
    <w:p>
      <w:pPr>
        <w:spacing w:after="0" w:line="146" w:lineRule="exact"/>
        <w:rPr>
          <w:sz w:val="20"/>
          <w:szCs w:val="20"/>
          <w:color w:val="auto"/>
        </w:rPr>
      </w:pPr>
    </w:p>
    <w:p>
      <w:pPr>
        <w:ind w:left="1300" w:right="6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will be interpreted so as to be effective and valid</w:t>
      </w:r>
      <w:r>
        <w:rPr>
          <w:rFonts w:ascii="Arial" w:cs="Arial" w:eastAsia="Arial" w:hAnsi="Arial"/>
          <w:sz w:val="18"/>
          <w:szCs w:val="18"/>
          <w:u w:val="single" w:color="auto"/>
          <w:color w:val="auto"/>
        </w:rPr>
        <w:t xml:space="preserve"> </w:t>
      </w:r>
      <w:r>
        <w:rPr>
          <w:rFonts w:ascii="Arial" w:cs="Arial" w:eastAsia="Arial" w:hAnsi="Arial"/>
          <w:sz w:val="18"/>
          <w:szCs w:val="18"/>
          <w:color w:val="auto"/>
        </w:rPr>
        <w:t>under applicable law, but if any provision is held to be invalid under applicable law, either in whole or in part, the provision will be ineffective only to the extent of such invalidity, and the remaining provisions of this Agreement shall remain in full force and effect.</w:t>
      </w:r>
    </w:p>
    <w:p>
      <w:pPr>
        <w:spacing w:after="0" w:line="187" w:lineRule="exact"/>
        <w:rPr>
          <w:sz w:val="20"/>
          <w:szCs w:val="20"/>
          <w:color w:val="auto"/>
        </w:rPr>
      </w:pPr>
    </w:p>
    <w:p>
      <w:pPr>
        <w:ind w:left="1300" w:right="140" w:hanging="647"/>
        <w:spacing w:after="0" w:line="342" w:lineRule="auto"/>
        <w:tabs>
          <w:tab w:leader="none" w:pos="128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6"/>
          <w:szCs w:val="16"/>
          <w:u w:val="single" w:color="auto"/>
          <w:color w:val="auto"/>
        </w:rPr>
        <w:t>Waiver</w:t>
      </w:r>
      <w:r>
        <w:rPr>
          <w:rFonts w:ascii="Arial" w:cs="Arial" w:eastAsia="Arial" w:hAnsi="Arial"/>
          <w:sz w:val="16"/>
          <w:szCs w:val="16"/>
          <w:color w:val="auto"/>
        </w:rPr>
        <w:t>. The failure by either Party to enforce any of the terms and conditions of this Agreement shall not constitute a</w:t>
      </w:r>
      <w:r>
        <w:rPr>
          <w:rFonts w:ascii="Arial" w:cs="Arial" w:eastAsia="Arial" w:hAnsi="Arial"/>
          <w:sz w:val="16"/>
          <w:szCs w:val="16"/>
          <w:u w:val="single" w:color="auto"/>
          <w:color w:val="auto"/>
        </w:rPr>
        <w:t xml:space="preserve"> </w:t>
      </w:r>
      <w:r>
        <w:rPr>
          <w:rFonts w:ascii="Arial" w:cs="Arial" w:eastAsia="Arial" w:hAnsi="Arial"/>
          <w:sz w:val="16"/>
          <w:szCs w:val="16"/>
          <w:color w:val="auto"/>
        </w:rPr>
        <w:t>waiver of such Party’s right thereafter to enforce that or any other terms and conditions of this Agreement.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Sheet 24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20"/>
          </w:cols>
          <w:pgMar w:left="980" w:top="665" w:right="1039" w:bottom="1440" w:gutter="0" w:footer="0" w:header="0"/>
        </w:sectPr>
      </w:pPr>
    </w:p>
    <w:p>
      <w:pPr>
        <w:spacing w:after="0" w:line="30" w:lineRule="exact"/>
        <w:rPr>
          <w:sz w:val="20"/>
          <w:szCs w:val="20"/>
          <w:color w:val="auto"/>
        </w:rPr>
      </w:pPr>
    </w:p>
    <w:p>
      <w:pPr>
        <w:ind w:left="1300" w:hanging="647"/>
        <w:spacing w:after="0" w:line="255" w:lineRule="auto"/>
        <w:tabs>
          <w:tab w:leader="none" w:pos="128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8"/>
          <w:szCs w:val="18"/>
          <w:u w:val="single" w:color="auto"/>
          <w:color w:val="auto"/>
        </w:rPr>
        <w:t>Disputes</w:t>
      </w:r>
      <w:r>
        <w:rPr>
          <w:rFonts w:ascii="Arial" w:cs="Arial" w:eastAsia="Arial" w:hAnsi="Arial"/>
          <w:sz w:val="18"/>
          <w:szCs w:val="18"/>
          <w:color w:val="auto"/>
        </w:rPr>
        <w:t>. If the process outlined in Section 2.4 does not produce a resolution satisfactory to both Parties, such disputes,</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controversies or claims between the Parties, as well as any other disputes, controversies or claims arising out of or in connection with this Agreement (including its existence, validity or termination), shall be finally resolved by any remedy available at law. Nothing in this Agreement shall prevent either Party from reverting to a competent court to obtain injunctive relief if in such Party’s opinion, such injunctive relief is necessary to prevent irreparable, material harm.</w:t>
      </w:r>
    </w:p>
    <w:p>
      <w:pPr>
        <w:spacing w:after="0" w:line="192" w:lineRule="exact"/>
        <w:rPr>
          <w:sz w:val="20"/>
          <w:szCs w:val="20"/>
          <w:color w:val="auto"/>
        </w:rPr>
      </w:pPr>
    </w:p>
    <w:p>
      <w:pPr>
        <w:ind w:left="280" w:hanging="272"/>
        <w:spacing w:after="0"/>
        <w:tabs>
          <w:tab w:leader="none" w:pos="2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5" w:lineRule="exact"/>
        <w:rPr>
          <w:sz w:val="20"/>
          <w:szCs w:val="20"/>
          <w:color w:val="auto"/>
        </w:rPr>
      </w:pPr>
    </w:p>
    <w:p>
      <w:pPr>
        <w:ind w:left="1300" w:right="120" w:hanging="647"/>
        <w:spacing w:after="0" w:line="296" w:lineRule="auto"/>
        <w:tabs>
          <w:tab w:leader="none" w:pos="128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6"/>
          <w:szCs w:val="16"/>
          <w:color w:val="auto"/>
        </w:rPr>
        <w:t>All notices required or permitted to be given hereunder shall be in writing and shall be either delivered by hand or express courier or by facsimile transmission accompanied by original mailing on the next subsequent business day to the address and telephone number specified below in Section 16.2 or Section 16.3, respectively, (or to such changed address as may be specified from time to time by notice duly given). Notice shall be deemed to have been given upon receipt or, if given by fax, on the next business day following transmission.</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7"/>
          <w:szCs w:val="17"/>
          <w:color w:val="auto"/>
        </w:rPr>
        <w:t>If to GLOBALFOUNDRIES: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GLOBALFOUNDRIES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309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Ugland House, Grand Cayman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KY1-1104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the GLOBALFOUNDRIES Legal Department: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GLOBALFOUNDRIES Legal Dept.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2600 Great America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 Legal.Notices@globalfoundries.com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(408) 462-4299</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7"/>
          <w:szCs w:val="17"/>
          <w:color w:val="auto"/>
        </w:rPr>
        <w:t>If to Everspin: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Everspin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1347 N. Alma School Rd, Suite 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Chandler, Arizona 85224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phill.lopresti@everspin.com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(480) 347-1175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Sheet 25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820"/>
          </w:cols>
          <w:pgMar w:left="980" w:top="665" w:right="1139" w:bottom="1440" w:gutter="0" w:footer="0" w:header="0"/>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With a copy, which shall not constitute notice, to: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Matthew Hemington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 California, 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94111-5800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HemingtonMB@cooley.com</w:t>
      </w:r>
    </w:p>
    <w:p>
      <w:pPr>
        <w:sectPr>
          <w:pgSz w:w="11900" w:h="16838" w:orient="portrait"/>
          <w:cols w:equalWidth="0" w:num="1">
            <w:col w:w="9780"/>
          </w:cols>
          <w:pgMar w:left="980" w:top="665" w:right="1139" w:bottom="1440" w:gutter="0" w:footer="0" w:header="0"/>
          <w:type w:val="continuous"/>
        </w:sectPr>
      </w:pPr>
    </w:p>
    <w:p>
      <w:pPr>
        <w:spacing w:after="0" w:line="207" w:lineRule="exact"/>
        <w:rPr>
          <w:sz w:val="20"/>
          <w:szCs w:val="20"/>
          <w:color w:val="auto"/>
        </w:rPr>
      </w:pPr>
    </w:p>
    <w:p>
      <w:pPr>
        <w:ind w:left="280" w:hanging="272"/>
        <w:spacing w:after="0"/>
        <w:tabs>
          <w:tab w:leader="none" w:pos="2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Royalties, Record Keeping and Audit Rights</w:t>
      </w:r>
    </w:p>
    <w:p>
      <w:pPr>
        <w:spacing w:after="0" w:line="225" w:lineRule="exact"/>
        <w:rPr>
          <w:sz w:val="20"/>
          <w:szCs w:val="20"/>
          <w:color w:val="auto"/>
        </w:rPr>
      </w:pPr>
    </w:p>
    <w:p>
      <w:pPr>
        <w:ind w:left="1300" w:right="220" w:hanging="647"/>
        <w:spacing w:after="0" w:line="301" w:lineRule="auto"/>
        <w:tabs>
          <w:tab w:leader="none" w:pos="128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6"/>
          <w:szCs w:val="16"/>
          <w:color w:val="auto"/>
        </w:rPr>
        <w:t>In the event GLOBALFOUNDRIES manufactures and sells or transfers wafers containing production qualified Embedded STT-MRAM Devices that utilize Design Information to Customers (“Royalty Wafer”), then pursuant to Section 17.4 GLOBALFOUNDRIES shall pay Everspin a royalty percentage of the net selling price, excluding all amounts for bump, packaging and test, for each Royalty Wafer as shown below (“Royalty Amount”).</w:t>
      </w:r>
    </w:p>
    <w:p>
      <w:pPr>
        <w:spacing w:after="0" w:line="15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17.1.1</w:t>
      </w:r>
      <w:r>
        <w:rPr>
          <w:sz w:val="20"/>
          <w:szCs w:val="20"/>
          <w:color w:val="auto"/>
        </w:rPr>
        <w:tab/>
      </w:r>
      <w:r>
        <w:rPr>
          <w:rFonts w:ascii="Arial" w:cs="Arial" w:eastAsia="Arial" w:hAnsi="Arial"/>
          <w:sz w:val="16"/>
          <w:szCs w:val="16"/>
          <w:color w:val="auto"/>
        </w:rPr>
        <w:t>For the first one thousand (1,000) Royalty Wafers sold or transferred to Customers, a royalty of [*]%.</w:t>
      </w:r>
    </w:p>
    <w:p>
      <w:pPr>
        <w:spacing w:after="0" w:line="225" w:lineRule="exact"/>
        <w:rPr>
          <w:sz w:val="20"/>
          <w:szCs w:val="20"/>
          <w:color w:val="auto"/>
        </w:rPr>
      </w:pPr>
    </w:p>
    <w:p>
      <w:pPr>
        <w:ind w:left="1960" w:right="20" w:hanging="647"/>
        <w:spacing w:after="0" w:line="277" w:lineRule="auto"/>
        <w:tabs>
          <w:tab w:leader="none" w:pos="1940" w:val="left"/>
        </w:tabs>
        <w:rPr>
          <w:sz w:val="20"/>
          <w:szCs w:val="20"/>
          <w:color w:val="auto"/>
        </w:rPr>
      </w:pPr>
      <w:r>
        <w:rPr>
          <w:rFonts w:ascii="Arial" w:cs="Arial" w:eastAsia="Arial" w:hAnsi="Arial"/>
          <w:sz w:val="18"/>
          <w:szCs w:val="18"/>
          <w:b w:val="1"/>
          <w:bCs w:val="1"/>
          <w:color w:val="auto"/>
        </w:rPr>
        <w:t>17.1.2</w:t>
      </w:r>
      <w:r>
        <w:rPr>
          <w:sz w:val="20"/>
          <w:szCs w:val="20"/>
          <w:color w:val="auto"/>
        </w:rPr>
        <w:tab/>
      </w:r>
      <w:r>
        <w:rPr>
          <w:rFonts w:ascii="Arial" w:cs="Arial" w:eastAsia="Arial" w:hAnsi="Arial"/>
          <w:sz w:val="18"/>
          <w:szCs w:val="18"/>
          <w:color w:val="auto"/>
        </w:rPr>
        <w:t>For all Royalty Wafers sold or transferred to Customers during the [*] years following the period set forth in Section 17.1.1, a royalty of [*]%.</w:t>
      </w:r>
    </w:p>
    <w:p>
      <w:pPr>
        <w:spacing w:after="0" w:line="170" w:lineRule="exact"/>
        <w:rPr>
          <w:sz w:val="20"/>
          <w:szCs w:val="20"/>
          <w:color w:val="auto"/>
        </w:rPr>
      </w:pPr>
    </w:p>
    <w:p>
      <w:pPr>
        <w:ind w:left="1960" w:right="20" w:hanging="647"/>
        <w:spacing w:after="0" w:line="277" w:lineRule="auto"/>
        <w:tabs>
          <w:tab w:leader="none" w:pos="1940" w:val="left"/>
        </w:tabs>
        <w:rPr>
          <w:sz w:val="20"/>
          <w:szCs w:val="20"/>
          <w:color w:val="auto"/>
        </w:rPr>
      </w:pPr>
      <w:r>
        <w:rPr>
          <w:rFonts w:ascii="Arial" w:cs="Arial" w:eastAsia="Arial" w:hAnsi="Arial"/>
          <w:sz w:val="18"/>
          <w:szCs w:val="18"/>
          <w:b w:val="1"/>
          <w:bCs w:val="1"/>
          <w:color w:val="auto"/>
        </w:rPr>
        <w:t>17.1.3</w:t>
      </w:r>
      <w:r>
        <w:rPr>
          <w:sz w:val="20"/>
          <w:szCs w:val="20"/>
          <w:color w:val="auto"/>
        </w:rPr>
        <w:tab/>
      </w:r>
      <w:r>
        <w:rPr>
          <w:rFonts w:ascii="Arial" w:cs="Arial" w:eastAsia="Arial" w:hAnsi="Arial"/>
          <w:sz w:val="18"/>
          <w:szCs w:val="18"/>
          <w:color w:val="auto"/>
        </w:rPr>
        <w:t>For all Royalty Wafers sold or transferred to Customers during the [*] years following the period set forth in Section 17.1.2, a royalty of [*]%.</w:t>
      </w:r>
    </w:p>
    <w:p>
      <w:pPr>
        <w:spacing w:after="0" w:line="170" w:lineRule="exact"/>
        <w:rPr>
          <w:sz w:val="20"/>
          <w:szCs w:val="20"/>
          <w:color w:val="auto"/>
        </w:rPr>
      </w:pPr>
    </w:p>
    <w:p>
      <w:pPr>
        <w:ind w:left="1960" w:right="20" w:hanging="647"/>
        <w:spacing w:after="0" w:line="277" w:lineRule="auto"/>
        <w:tabs>
          <w:tab w:leader="none" w:pos="1940" w:val="left"/>
        </w:tabs>
        <w:rPr>
          <w:sz w:val="20"/>
          <w:szCs w:val="20"/>
          <w:color w:val="auto"/>
        </w:rPr>
      </w:pPr>
      <w:r>
        <w:rPr>
          <w:rFonts w:ascii="Arial" w:cs="Arial" w:eastAsia="Arial" w:hAnsi="Arial"/>
          <w:sz w:val="18"/>
          <w:szCs w:val="18"/>
          <w:b w:val="1"/>
          <w:bCs w:val="1"/>
          <w:color w:val="auto"/>
        </w:rPr>
        <w:t>17.1.4</w:t>
      </w:r>
      <w:r>
        <w:rPr>
          <w:sz w:val="20"/>
          <w:szCs w:val="20"/>
          <w:color w:val="auto"/>
        </w:rPr>
        <w:tab/>
      </w:r>
      <w:r>
        <w:rPr>
          <w:rFonts w:ascii="Arial" w:cs="Arial" w:eastAsia="Arial" w:hAnsi="Arial"/>
          <w:sz w:val="18"/>
          <w:szCs w:val="18"/>
          <w:color w:val="auto"/>
        </w:rPr>
        <w:t>For all Royalty Wafers sold or transferred to Customers during the [*] years following the period set forth in Section 17.1.3, a royalty of [*]%.</w:t>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GLOBALFOUNDRIES’ obligation to pay any royalties to Everspin pursuant to this Agreement will terminate when the time period set forth in Section 17.1.4 has passed.</w:t>
      </w:r>
    </w:p>
    <w:p>
      <w:pPr>
        <w:spacing w:after="0" w:line="166" w:lineRule="exact"/>
        <w:rPr>
          <w:sz w:val="20"/>
          <w:szCs w:val="20"/>
          <w:color w:val="auto"/>
        </w:rPr>
      </w:pPr>
    </w:p>
    <w:p>
      <w:pPr>
        <w:ind w:left="1300" w:right="80" w:hanging="647"/>
        <w:spacing w:after="0" w:line="289" w:lineRule="auto"/>
        <w:tabs>
          <w:tab w:leader="none" w:pos="128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color w:val="auto"/>
        </w:rPr>
        <w:t>The Parties shall, in good faith, discuss lowering the royalty rates set forth in Section 17.1 for Royalty Wafers containing less than 1 Mbyte of Embedded STT-MRAM Devices per product provided the Royalty Wafers are based on memory macro designs of GLOBALFOUNDRIES or memory macro designs of a third party contracted by</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GLOBALFOUNDRIES.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Sheet 26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980" w:top="665" w:right="11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60"/>
          </w:cols>
          <w:pgMar w:left="980" w:top="665" w:right="999" w:bottom="1440" w:gutter="0" w:footer="0" w:header="0"/>
        </w:sectPr>
      </w:pPr>
    </w:p>
    <w:p>
      <w:pPr>
        <w:spacing w:after="0" w:line="30" w:lineRule="exact"/>
        <w:rPr>
          <w:sz w:val="20"/>
          <w:szCs w:val="20"/>
          <w:color w:val="auto"/>
        </w:rPr>
      </w:pPr>
    </w:p>
    <w:p>
      <w:pPr>
        <w:ind w:left="1300" w:right="92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8"/>
          <w:szCs w:val="18"/>
          <w:color w:val="auto"/>
        </w:rPr>
        <w:t>All volumes stated in this Agreement are calculated as number of Royalty Wafers sold or transferred by GLOBALFOUNDRIES to a Customer and do not include internal transfer of Royalty Wafers to GLOBALFOUNDRIES Affiliates, related GLOBALFOUNDRIES companies or development partners for development purposes.</w:t>
      </w:r>
    </w:p>
    <w:p>
      <w:pPr>
        <w:spacing w:after="0" w:line="187" w:lineRule="exact"/>
        <w:rPr>
          <w:sz w:val="20"/>
          <w:szCs w:val="20"/>
          <w:color w:val="auto"/>
        </w:rPr>
      </w:pPr>
    </w:p>
    <w:p>
      <w:pPr>
        <w:ind w:left="1300" w:right="120" w:hanging="647"/>
        <w:spacing w:after="0" w:line="272" w:lineRule="auto"/>
        <w:tabs>
          <w:tab w:leader="none" w:pos="128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7"/>
          <w:szCs w:val="17"/>
          <w:color w:val="auto"/>
        </w:rPr>
        <w:t>Within thirty (30) days following (i) the end of the first calendar quarter in which Royalty Wafers are sold or transferred to Customers and (ii) each calendar quarter thereafter for which GLOBALFOUNDRIES has a royalty obligation pursuant to Section 17.1, GLOBALFOUNDRIES shall provide a written report to Everspin stating the cumulative royalties due as a result of Royalty Wafer sales to Customers in the previous calendar quarter (“Quarterly Report”). Upon receipt of the Quarterly Report, Everspin will issue an invoice for any Royalties due within thirty (30) calendar days of receiving the corresponding Quarterly Report. GLOBALFOUNDRIES shall pay Everspin the royalties due for each such quarter within fifteen (15) of receiving the Everspin invoice.</w:t>
      </w:r>
    </w:p>
    <w:p>
      <w:pPr>
        <w:spacing w:after="0" w:line="177" w:lineRule="exact"/>
        <w:rPr>
          <w:sz w:val="20"/>
          <w:szCs w:val="20"/>
          <w:color w:val="auto"/>
        </w:rPr>
      </w:pPr>
    </w:p>
    <w:p>
      <w:pPr>
        <w:ind w:left="1300" w:hanging="647"/>
        <w:spacing w:after="0" w:line="286" w:lineRule="auto"/>
        <w:tabs>
          <w:tab w:leader="none" w:pos="128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6"/>
          <w:szCs w:val="16"/>
          <w:color w:val="auto"/>
        </w:rPr>
        <w:t>Everspin shall determine to what extent the royalties agreed upon under this Agreement are subject to any value added tax, sales tax, goods and services tax, business tax or similar taxes. To the extent that the royalties agreed upon under this Agreement are subject to any VAT, sales tax, goods and services tax, business taxes or similar taxes, and to the extent that Everspin is required by law to collect and remit such taxes to the responsible tax authorities, such taxes shall be paid by GLOBALFOUNDRIES or its respective Affiliate in addition to the agreed Royalty Amounts. Everspin is obliged to render proper invoices within the meaning of the applicable tax law. In the event any tax exemptions apply, GLOBALFOUNDRIES or its respective Affiliate shall provide Everspin with all legally required information, certificates or other documents in a timely manner. GLOBALFOUNDRIES or its respective Affiliate shall not be liable for any penalty or interest charges resulting from Everspin’s failure to collect such value added tax, sales tax, goods and services tax, business tax or similar taxes or from any incorrect invoicing by Everspin unless GLOBALFOUNDRIES or its respective Affiliate have not provided the legally required information, certificates or documents referred to above (as appropriate) in an accurate and timely manner to allow Everspin to determine to what extent such value added tax, sales tax, goods and services tax, business tax or similar taxes are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Sheet 27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60"/>
          </w:cols>
          <w:pgMar w:left="980" w:top="665" w:right="999" w:bottom="1440" w:gutter="0" w:footer="0" w:header="0"/>
        </w:sectPr>
      </w:pPr>
    </w:p>
    <w:p>
      <w:pPr>
        <w:spacing w:after="0" w:line="30" w:lineRule="exact"/>
        <w:rPr>
          <w:sz w:val="20"/>
          <w:szCs w:val="20"/>
          <w:color w:val="auto"/>
        </w:rPr>
      </w:pPr>
    </w:p>
    <w:p>
      <w:pPr>
        <w:ind w:left="1300" w:hanging="647"/>
        <w:spacing w:after="0" w:line="269" w:lineRule="auto"/>
        <w:tabs>
          <w:tab w:leader="none" w:pos="128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7"/>
          <w:szCs w:val="17"/>
          <w:color w:val="auto"/>
        </w:rPr>
        <w:t>If payments made hereunder by GLOBALFOUNDRIES or its respective Affiliate are subject to deduction of any withholding taxes imposed by applicable laws, GLOBALFOUNDRIES or its respective Affiliate shall have the right to withhold from payments to Everspin any taxes that GLOBALFOUNDRIES or its respective Affiliate is required to withhold under such laws. GLOBALFOUNDRIES or its respective Affiliate shall provide Everspin with a certificate from the applicable tax authorities or other documentation reasonably required by Everspin to evidence such tax payment. In the event Everspin wishes to rely on a reduced withholding tax rate under applicable income tax treaty provisions by and between GLOBALFOUNDRIES or its respective Affiliate and Everspin’s respective legal country of domicile, Everspin is to furnish to GLOBALFOUNDRIES or its respective Affiliate at the start of each year, a proper exemption certificate in form and substance satisfactory to GLOBALFOUNDRIES or its respective Affiliate. The Parties agree to use commercially reasonable efforts to cooperate in order to reduce the tax burden on each party arising under this Agreement.</w:t>
      </w:r>
    </w:p>
    <w:p>
      <w:pPr>
        <w:spacing w:after="0" w:line="182" w:lineRule="exact"/>
        <w:rPr>
          <w:sz w:val="20"/>
          <w:szCs w:val="20"/>
          <w:color w:val="auto"/>
        </w:rPr>
      </w:pPr>
    </w:p>
    <w:p>
      <w:pPr>
        <w:ind w:left="1300" w:right="52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8"/>
          <w:szCs w:val="18"/>
          <w:color w:val="auto"/>
        </w:rPr>
        <w:t>GLOBALFOUNDRIES shall keep records in sufficient detail to permit the determination of royalties payable to Everspin hereunder. Such records shall be kept for [*] years after the date of their creation.</w:t>
      </w:r>
    </w:p>
    <w:p>
      <w:pPr>
        <w:spacing w:after="0" w:line="170" w:lineRule="exact"/>
        <w:rPr>
          <w:sz w:val="20"/>
          <w:szCs w:val="20"/>
          <w:color w:val="auto"/>
        </w:rPr>
      </w:pPr>
    </w:p>
    <w:p>
      <w:pPr>
        <w:ind w:left="1300" w:right="60" w:hanging="647"/>
        <w:spacing w:after="0" w:line="269" w:lineRule="auto"/>
        <w:tabs>
          <w:tab w:leader="none" w:pos="128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7"/>
          <w:szCs w:val="17"/>
          <w:color w:val="auto"/>
        </w:rPr>
        <w:t>To ensure compliance with the royalty and other payment obligations of this Agreement, during the term of this Agreement and for a period of [*] years thereafter, either Party shall have the right to conduct an audit of the relevant information of the other Party, by a mutually acceptable audit firm, for up to a twelve month payment period. Upon prior written request (at least sixty (60) days in advance) from the other Party, the audited Party will provide the audit firm access to relevant records and personnel during regular business hours for these purposes. In no event shall audits be made hereunder more frequently than once in every twelve (12) month period, unless an audit has revealed a material underpayment within the last twelve (12) months. The time period that is audited will not be subject to subsequent audits. The cost of such audit shall be borne by the auditing Party unless the audit reveals an underpayment of more than [*]% of the amount due and owing to the other Party in which case the cost of the audit, the underpayment and reasonable interest shall be borne by the Party being audited.</w:t>
      </w:r>
    </w:p>
    <w:p>
      <w:pPr>
        <w:spacing w:after="0" w:line="185" w:lineRule="exact"/>
        <w:rPr>
          <w:sz w:val="20"/>
          <w:szCs w:val="20"/>
          <w:color w:val="auto"/>
        </w:rPr>
      </w:pPr>
    </w:p>
    <w:p>
      <w:pPr>
        <w:ind w:left="1300" w:right="160" w:hanging="647"/>
        <w:spacing w:after="0" w:line="296" w:lineRule="auto"/>
        <w:tabs>
          <w:tab w:leader="none" w:pos="1280" w:val="left"/>
        </w:tabs>
        <w:rPr>
          <w:sz w:val="20"/>
          <w:szCs w:val="20"/>
          <w:color w:val="auto"/>
        </w:rPr>
      </w:pPr>
      <w:r>
        <w:rPr>
          <w:rFonts w:ascii="Arial" w:cs="Arial" w:eastAsia="Arial" w:hAnsi="Arial"/>
          <w:sz w:val="18"/>
          <w:szCs w:val="18"/>
          <w:b w:val="1"/>
          <w:bCs w:val="1"/>
          <w:color w:val="auto"/>
        </w:rPr>
        <w:t>17.9</w:t>
      </w:r>
      <w:r>
        <w:rPr>
          <w:sz w:val="20"/>
          <w:szCs w:val="20"/>
          <w:color w:val="auto"/>
        </w:rPr>
        <w:tab/>
      </w:r>
      <w:r>
        <w:rPr>
          <w:rFonts w:ascii="Arial" w:cs="Arial" w:eastAsia="Arial" w:hAnsi="Arial"/>
          <w:sz w:val="16"/>
          <w:szCs w:val="16"/>
          <w:color w:val="auto"/>
        </w:rPr>
        <w:t>In the event, however, that a Party determines and objectively shows that STT-MRAM Devices for which compensation is due under the Agreement have been manufactured, but no royalty or license fee is paid thereon, and the failure to pay such royalty or license fee is not as a result of accounting or human error, but is due to a Party’s decision not to pay such royalties or license fee despite having knowledge that Design Information was utilized in the manufactured STT-MRAM Device, the interest rate due for such underpayment will double.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Sheet 28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880"/>
          </w:cols>
          <w:pgMar w:left="980" w:top="665" w:right="1079" w:bottom="1440" w:gutter="0" w:footer="0" w:header="0"/>
        </w:sectPr>
      </w:pPr>
    </w:p>
    <w:p>
      <w:pPr>
        <w:spacing w:after="0" w:line="30" w:lineRule="exact"/>
        <w:rPr>
          <w:sz w:val="20"/>
          <w:szCs w:val="20"/>
          <w:color w:val="auto"/>
        </w:rPr>
      </w:pPr>
    </w:p>
    <w:p>
      <w:pPr>
        <w:ind w:left="1300" w:right="160" w:hanging="647"/>
        <w:spacing w:after="0" w:line="263" w:lineRule="auto"/>
        <w:tabs>
          <w:tab w:leader="none" w:pos="1280" w:val="left"/>
        </w:tabs>
        <w:rPr>
          <w:sz w:val="20"/>
          <w:szCs w:val="20"/>
          <w:color w:val="auto"/>
        </w:rPr>
      </w:pPr>
      <w:r>
        <w:rPr>
          <w:rFonts w:ascii="Arial" w:cs="Arial" w:eastAsia="Arial" w:hAnsi="Arial"/>
          <w:sz w:val="18"/>
          <w:szCs w:val="18"/>
          <w:b w:val="1"/>
          <w:bCs w:val="1"/>
          <w:color w:val="auto"/>
        </w:rPr>
        <w:t>17.10</w:t>
      </w:r>
      <w:r>
        <w:rPr>
          <w:sz w:val="20"/>
          <w:szCs w:val="20"/>
          <w:color w:val="auto"/>
        </w:rPr>
        <w:tab/>
      </w:r>
      <w:r>
        <w:rPr>
          <w:rFonts w:ascii="Arial" w:cs="Arial" w:eastAsia="Arial" w:hAnsi="Arial"/>
          <w:sz w:val="18"/>
          <w:szCs w:val="18"/>
          <w:color w:val="auto"/>
        </w:rPr>
        <w:t>Any payment required to be made under this Agreement will be made in U.S. dollars by bank transfer in accordance with instructions received from the other Party. Late payments will bear interest payable pro rata at the rate of [*] percent per annum.</w:t>
      </w:r>
    </w:p>
    <w:p>
      <w:pPr>
        <w:spacing w:after="0" w:line="184" w:lineRule="exact"/>
        <w:rPr>
          <w:sz w:val="20"/>
          <w:szCs w:val="20"/>
          <w:color w:val="auto"/>
        </w:rPr>
      </w:pPr>
    </w:p>
    <w:p>
      <w:pPr>
        <w:ind w:left="340" w:hanging="278"/>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Access to GLOBALFOUNDRIES Premises</w:t>
      </w:r>
    </w:p>
    <w:p>
      <w:pPr>
        <w:spacing w:after="0" w:line="225" w:lineRule="exact"/>
        <w:rPr>
          <w:sz w:val="20"/>
          <w:szCs w:val="20"/>
          <w:color w:val="auto"/>
        </w:rPr>
      </w:pPr>
    </w:p>
    <w:p>
      <w:pPr>
        <w:ind w:left="1300" w:right="460" w:hanging="647"/>
        <w:spacing w:after="0" w:line="308" w:lineRule="auto"/>
        <w:tabs>
          <w:tab w:leader="none" w:pos="128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7"/>
          <w:szCs w:val="17"/>
          <w:color w:val="auto"/>
        </w:rPr>
        <w:t>While on GLOBALFOUNDRIES premises, Everspin shall ensure that its personnel and Consultants at all times comply with all applicable governmental laws, statutes, ordinances, rules, regulations, and orders.</w:t>
      </w:r>
    </w:p>
    <w:p>
      <w:pPr>
        <w:spacing w:after="0" w:line="146" w:lineRule="exact"/>
        <w:rPr>
          <w:sz w:val="20"/>
          <w:szCs w:val="20"/>
          <w:color w:val="auto"/>
        </w:rPr>
      </w:pPr>
    </w:p>
    <w:p>
      <w:pPr>
        <w:ind w:left="1300" w:hanging="647"/>
        <w:spacing w:after="0" w:line="269" w:lineRule="auto"/>
        <w:tabs>
          <w:tab w:leader="none" w:pos="128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7"/>
          <w:szCs w:val="17"/>
          <w:color w:val="auto"/>
        </w:rPr>
        <w:t>While on GLOBALFOUNDRIES premises, Everspin will comply with all applicable GLOBALFOUNDRIES environmental, health, safety, and security (including without limitation electronic information security) policies, procedures, and programs that have been communicated to Everspin including but not limited to attending and passing GLOBALFOUNDRIES’ EHS certification and clean room training as well as attending any refresher courses as needed. Everspin is responsible for ensuring that its personnel and Consultants understand and comply with all applicable GLOBALFOUNDRIES policies, procedures, and programs, including those in the current version of GLOBALFOUNDRIES environmental, health &amp; safety handbook for contractors. When performing work on GLOBALFOUNDRIES premises, Everspin will cooperate with GLOBALFOUNDRIES so as to minimize any potential interference with GLOBALFOUNDRIES’ other activities, to protect the safety and health of GLOBALFOUNDRIES employees, agents, and visitors, and to safeguard GLOBALFOUNDRIES property. Any failure by Everspin personnel to comply with the requirements of Sections 18.1 and 18.2 may result in GLOBALFOUNDRIES denying the Everspin personnel access to GLOBALFOUNDRIES premises.</w:t>
      </w:r>
    </w:p>
    <w:p>
      <w:pPr>
        <w:spacing w:after="0" w:line="179" w:lineRule="exact"/>
        <w:rPr>
          <w:sz w:val="20"/>
          <w:szCs w:val="20"/>
          <w:color w:val="auto"/>
        </w:rPr>
      </w:pPr>
    </w:p>
    <w:p>
      <w:pPr>
        <w:ind w:left="1300" w:right="180" w:hanging="647"/>
        <w:spacing w:after="0" w:line="342" w:lineRule="auto"/>
        <w:tabs>
          <w:tab w:leader="none" w:pos="128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color w:val="auto"/>
        </w:rPr>
        <w:t>All GLOBALFOUNDRIES clean room access by Everspin’s personnel shall be at the sole discretion of GLOBALFOUNDRIES and at all times be under the escort and supervision of a GLOBALFOUNDRIES employee.</w:t>
      </w:r>
    </w:p>
    <w:p>
      <w:pPr>
        <w:spacing w:after="0" w:line="124" w:lineRule="exact"/>
        <w:rPr>
          <w:sz w:val="20"/>
          <w:szCs w:val="20"/>
          <w:color w:val="auto"/>
        </w:rPr>
      </w:pPr>
    </w:p>
    <w:p>
      <w:pPr>
        <w:ind w:left="340" w:hanging="278"/>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Access to Everspin Premises</w:t>
      </w:r>
    </w:p>
    <w:p>
      <w:pPr>
        <w:spacing w:after="0" w:line="225" w:lineRule="exact"/>
        <w:rPr>
          <w:sz w:val="20"/>
          <w:szCs w:val="20"/>
          <w:color w:val="auto"/>
        </w:rPr>
      </w:pPr>
    </w:p>
    <w:p>
      <w:pPr>
        <w:ind w:left="1300" w:right="300" w:hanging="647"/>
        <w:spacing w:after="0" w:line="308" w:lineRule="auto"/>
        <w:tabs>
          <w:tab w:leader="none" w:pos="128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7"/>
          <w:szCs w:val="17"/>
          <w:color w:val="auto"/>
        </w:rPr>
        <w:t>While on Everspin premises GLOBALFOUNDRIES shall ensure that its personnel and its Consultants at all times comply with all applicable governmental laws, statutes, ordinances, rules, regulations, and orders.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Sheet 29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60"/>
          </w:cols>
          <w:pgMar w:left="980" w:top="665" w:right="999" w:bottom="1440" w:gutter="0" w:footer="0" w:header="0"/>
        </w:sectPr>
      </w:pPr>
    </w:p>
    <w:p>
      <w:pPr>
        <w:spacing w:after="0" w:line="30" w:lineRule="exact"/>
        <w:rPr>
          <w:sz w:val="20"/>
          <w:szCs w:val="20"/>
          <w:color w:val="auto"/>
        </w:rPr>
      </w:pPr>
    </w:p>
    <w:p>
      <w:pPr>
        <w:ind w:left="1300" w:right="80" w:hanging="647"/>
        <w:spacing w:after="0" w:line="287" w:lineRule="auto"/>
        <w:tabs>
          <w:tab w:leader="none" w:pos="128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color w:val="auto"/>
        </w:rPr>
        <w:t>While on Everspin premises, GLOBALFOUNDRIES and its Consultants will comply with all applicable Everspin environmental, health, safety, and security (including without limitation electronic information security) policies, procedures, and programs that have been communicated to GLOBALFOUNDRIES including but not limited to attending and passing Everspin EHS certification and clean room training as well as attending any refresher courses as needed. GLOBALFOUNDRIES is responsible for ensuring that its personnel understand and comply with all applicable Everspin policies, procedures, and programs, including those in the current version of Everspin’s environmental, health &amp; safety handbook for contractors. When performing work on Everspin premises, GLOBALFOUNDRIES will cooperate with Everspin so as to minimize any potential interference with Everspin other activities, to protect the safety and health of Everspin employees, agents, and visitors, and to safeguard Everspin property. Any failure by GLOBALFOUNDRIES personnel to comply with the requirements of Sections 19.1 and 19.2 may result in Everspin denying the GLOBALFOUNDRIES personnel access to Everspin premises.</w:t>
      </w:r>
    </w:p>
    <w:p>
      <w:pPr>
        <w:spacing w:after="0" w:line="172" w:lineRule="exact"/>
        <w:rPr>
          <w:sz w:val="20"/>
          <w:szCs w:val="20"/>
          <w:color w:val="auto"/>
        </w:rPr>
      </w:pPr>
    </w:p>
    <w:p>
      <w:pPr>
        <w:ind w:left="1300" w:right="10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8"/>
          <w:szCs w:val="18"/>
          <w:color w:val="auto"/>
        </w:rPr>
        <w:t>All Everspin clean room access by GLOBALFOUNDRIES personnel shall be at the sole discretion of Everspin and at all times be under the escort and supervision of an Everspin employee.</w:t>
      </w:r>
    </w:p>
    <w:p>
      <w:pPr>
        <w:spacing w:after="0" w:line="170" w:lineRule="exact"/>
        <w:rPr>
          <w:sz w:val="20"/>
          <w:szCs w:val="20"/>
          <w:color w:val="auto"/>
        </w:rPr>
      </w:pPr>
    </w:p>
    <w:p>
      <w:pPr>
        <w:ind w:left="280" w:hanging="272"/>
        <w:spacing w:after="0"/>
        <w:tabs>
          <w:tab w:leader="none" w:pos="2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p>
    <w:p>
      <w:pPr>
        <w:spacing w:after="0" w:line="225" w:lineRule="exact"/>
        <w:rPr>
          <w:sz w:val="20"/>
          <w:szCs w:val="20"/>
          <w:color w:val="auto"/>
        </w:rPr>
      </w:pPr>
    </w:p>
    <w:p>
      <w:pPr>
        <w:ind w:left="1300" w:hanging="647"/>
        <w:spacing w:after="0" w:line="293" w:lineRule="auto"/>
        <w:tabs>
          <w:tab w:leader="none" w:pos="128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color w:val="auto"/>
        </w:rPr>
        <w:t>Neither Party may assign or transfer the rights and/or obligations under the Projects without the express written consent of the other, provided, however, either Party may, without such consent, assign and transfer its rights and obligations under this Agreement to a third party (i) in connection with the transfer or sale of all or substantially all of its MRAM business to such third party or (ii) in the event of a merger or consolidation with, or acquisition by such third party; further, provided, that the third party in (i) and (ii) agrees, in writing, to be bound by the terms and conditions of the Agreement and acknowledges its obligations, in writing, to comply with the terms and conditions of this Agreement.</w:t>
      </w:r>
    </w:p>
    <w:p>
      <w:pPr>
        <w:spacing w:after="0" w:line="164" w:lineRule="exact"/>
        <w:rPr>
          <w:sz w:val="20"/>
          <w:szCs w:val="20"/>
          <w:color w:val="auto"/>
        </w:rPr>
      </w:pPr>
    </w:p>
    <w:p>
      <w:pPr>
        <w:jc w:val="center"/>
        <w:ind w:right="40"/>
        <w:spacing w:after="0"/>
        <w:tabs>
          <w:tab w:leader="none" w:pos="30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color w:val="auto"/>
        </w:rPr>
        <w:t>Any attempted assignment or delegation in contravention of the above provision shall be void and ineffective.</w:t>
      </w:r>
    </w:p>
    <w:p>
      <w:pPr>
        <w:spacing w:after="0" w:line="225" w:lineRule="exact"/>
        <w:rPr>
          <w:sz w:val="20"/>
          <w:szCs w:val="20"/>
          <w:color w:val="auto"/>
        </w:rPr>
      </w:pPr>
    </w:p>
    <w:p>
      <w:pPr>
        <w:ind w:left="340" w:hanging="278"/>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 Provisions</w:t>
      </w:r>
    </w:p>
    <w:p>
      <w:pPr>
        <w:spacing w:after="0" w:line="225" w:lineRule="exact"/>
        <w:rPr>
          <w:sz w:val="20"/>
          <w:szCs w:val="20"/>
          <w:color w:val="auto"/>
        </w:rPr>
      </w:pPr>
    </w:p>
    <w:p>
      <w:pPr>
        <w:ind w:left="1300" w:right="32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8"/>
          <w:szCs w:val="18"/>
          <w:color w:val="auto"/>
        </w:rPr>
        <w:t>Nothing contained in this Agreement shall be construed as creating a partnership or joint venture by or between the Parties or constituting either Party the agent of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Sheet 30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60"/>
          </w:cols>
          <w:pgMar w:left="980" w:top="665" w:right="999" w:bottom="1440" w:gutter="0" w:footer="0" w:header="0"/>
        </w:sectPr>
      </w:pPr>
    </w:p>
    <w:p>
      <w:pPr>
        <w:spacing w:after="0" w:line="30" w:lineRule="exact"/>
        <w:rPr>
          <w:sz w:val="20"/>
          <w:szCs w:val="20"/>
          <w:color w:val="auto"/>
        </w:rPr>
      </w:pPr>
    </w:p>
    <w:p>
      <w:pPr>
        <w:ind w:left="1300" w:right="100" w:hanging="647"/>
        <w:spacing w:after="0" w:line="311" w:lineRule="auto"/>
        <w:tabs>
          <w:tab w:leader="none" w:pos="128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color w:val="auto"/>
        </w:rPr>
        <w:t>The Parties are independent contractors and neither Party is an employee, agent, servant, representative, partner, or joint venturer of the other. Neither Party has the right or ability to bind the other to any agreement with a third party or to incur any obligation or liability on behalf of the other Party without the other Party’s prior written consent.</w:t>
      </w:r>
    </w:p>
    <w:p>
      <w:pPr>
        <w:spacing w:after="0" w:line="149" w:lineRule="exact"/>
        <w:rPr>
          <w:sz w:val="20"/>
          <w:szCs w:val="20"/>
          <w:color w:val="auto"/>
        </w:rPr>
      </w:pPr>
    </w:p>
    <w:p>
      <w:pPr>
        <w:ind w:left="1300" w:right="280" w:hanging="647"/>
        <w:spacing w:after="0" w:line="257" w:lineRule="auto"/>
        <w:tabs>
          <w:tab w:leader="none" w:pos="128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8"/>
          <w:szCs w:val="18"/>
          <w:color w:val="auto"/>
        </w:rPr>
        <w:t>During the term of this Agreement, each Party agrees not to directly solicit for employment or otherwise recruit any employees of the other Party without the prior written consent of such other Party. In the event a Party hires an employee of the other Party who was performing Joint Development Work, the Parties will utilize the Steering Committee to address any issues related thereto, including, without limitation, impact on schedules and additional costs.</w:t>
      </w:r>
    </w:p>
    <w:p>
      <w:pPr>
        <w:spacing w:after="0" w:line="188" w:lineRule="exact"/>
        <w:rPr>
          <w:sz w:val="20"/>
          <w:szCs w:val="20"/>
          <w:color w:val="auto"/>
        </w:rPr>
      </w:pPr>
    </w:p>
    <w:p>
      <w:pPr>
        <w:ind w:left="1300" w:hanging="647"/>
        <w:spacing w:after="0" w:line="272" w:lineRule="auto"/>
        <w:tabs>
          <w:tab w:leader="none" w:pos="128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7"/>
          <w:szCs w:val="17"/>
          <w:color w:val="auto"/>
        </w:rPr>
        <w:t>Subject to the restrictions and obligations described herein (including, without limitation, restrictions and obligations with respect to Foreground IP and Project Results), neither Party shall be under an obligation of exclusivity due to or as a result of engaging with the other Party in this Agreement, including with respect to: (i) engaging a third party regarding MRAM or MRAM technology, including, without limitation, engaging a third party (including, without limitation, a third party foundry) to design, develop and qualify MRAM products or design, develop and qualify fabrication lines for manufacture of MRAM, and/or (ii) licensing Intellectual Property to third parties including, without limitation, Intellectual Property relating to MRAM or MRAM technology.</w:t>
      </w:r>
    </w:p>
    <w:p>
      <w:pPr>
        <w:spacing w:after="0" w:line="177" w:lineRule="exact"/>
        <w:rPr>
          <w:sz w:val="20"/>
          <w:szCs w:val="20"/>
          <w:color w:val="auto"/>
        </w:rPr>
      </w:pPr>
    </w:p>
    <w:p>
      <w:pPr>
        <w:ind w:left="1300" w:right="160" w:hanging="647"/>
        <w:spacing w:after="0" w:line="342" w:lineRule="auto"/>
        <w:tabs>
          <w:tab w:leader="none" w:pos="128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color w:val="auto"/>
        </w:rPr>
        <w:t>This Agreement constitutes the Parties’ entire agreement with respect to the subject matter hereof, and all prior agreements or understandings between them concerning such subject matter shall not have any further force or effect.</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color w:val="auto"/>
        </w:rPr>
        <w:t>This Agreement may be modified only by a writing signed by both Parties.</w:t>
      </w:r>
    </w:p>
    <w:p>
      <w:pPr>
        <w:spacing w:after="0" w:line="225" w:lineRule="exact"/>
        <w:rPr>
          <w:sz w:val="20"/>
          <w:szCs w:val="20"/>
          <w:color w:val="auto"/>
        </w:rPr>
      </w:pPr>
    </w:p>
    <w:p>
      <w:pPr>
        <w:ind w:left="1300" w:right="34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8"/>
          <w:szCs w:val="18"/>
          <w:color w:val="auto"/>
        </w:rPr>
        <w:t>This Agreement may be executed in one or more counterparts, each of which will be deemed an original, and all of which taken together shall be deemed one and the same instrument.</w:t>
      </w:r>
    </w:p>
    <w:p>
      <w:pPr>
        <w:spacing w:after="0" w:line="170" w:lineRule="exact"/>
        <w:rPr>
          <w:sz w:val="20"/>
          <w:szCs w:val="20"/>
          <w:color w:val="auto"/>
        </w:rPr>
      </w:pPr>
    </w:p>
    <w:p>
      <w:pPr>
        <w:ind w:left="1300" w:right="2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8"/>
          <w:szCs w:val="18"/>
          <w:color w:val="auto"/>
        </w:rPr>
        <w:t>Neither Party shall make any use of the other Party’s name, logo or trademark for any purpose without the prior written consent of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Sheet 31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40"/>
          </w:cols>
          <w:pgMar w:left="980" w:top="665" w:right="1019" w:bottom="1440" w:gutter="0" w:footer="0" w:header="0"/>
        </w:sectPr>
      </w:pPr>
    </w:p>
    <w:p>
      <w:pPr>
        <w:spacing w:after="0" w:line="30" w:lineRule="exact"/>
        <w:rPr>
          <w:sz w:val="20"/>
          <w:szCs w:val="20"/>
          <w:color w:val="auto"/>
        </w:rPr>
      </w:pPr>
    </w:p>
    <w:p>
      <w:pPr>
        <w:ind w:left="1300" w:right="20" w:hanging="647"/>
        <w:spacing w:after="0" w:line="253" w:lineRule="auto"/>
        <w:tabs>
          <w:tab w:leader="none" w:pos="128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8"/>
          <w:szCs w:val="18"/>
          <w:color w:val="auto"/>
        </w:rPr>
        <w:t>The Parties will mutually agree, which agreement shall not be unreasonably withheld, on a press release or public statement that both Parties will issue without unreasonable delay on or after the Effective Date; provided that either Party may issue such mutually agreeable press release or public statement at any time beginning forty-five (45) days after the Effective Date by providing the other Party no less than five (5) business days advance notice thereof. The Parties shall mutually agree, which agreement shall not be unreasonably withheld, in writing prior to releasing any other press release or other public statement relating to the subject matter of this Agreement. No other public release of information obtained from the other Party nor contributions from the other Party or results of the Joint Development Work, for example in a conference publication or technical journal, will be made without the prior written consent of both Parties.</w:t>
      </w:r>
    </w:p>
    <w:p>
      <w:pPr>
        <w:spacing w:after="0" w:line="196"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21.10</w:t>
      </w:r>
      <w:r>
        <w:rPr>
          <w:sz w:val="20"/>
          <w:szCs w:val="20"/>
          <w:color w:val="auto"/>
        </w:rPr>
        <w:tab/>
      </w:r>
      <w:r>
        <w:rPr>
          <w:rFonts w:ascii="Arial" w:cs="Arial" w:eastAsia="Arial" w:hAnsi="Arial"/>
          <w:sz w:val="18"/>
          <w:szCs w:val="18"/>
          <w:color w:val="auto"/>
        </w:rPr>
        <w:t>No course of dealing or failure by either Party to strictly enforce any term, right or condition of this Agreement shall be construed as a waiver of such term, right or condition.</w:t>
      </w:r>
    </w:p>
    <w:p>
      <w:pPr>
        <w:spacing w:after="0" w:line="170" w:lineRule="exact"/>
        <w:rPr>
          <w:sz w:val="20"/>
          <w:szCs w:val="20"/>
          <w:color w:val="auto"/>
        </w:rPr>
      </w:pPr>
    </w:p>
    <w:p>
      <w:pPr>
        <w:jc w:val="both"/>
        <w:ind w:left="1300" w:right="14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21.11</w:t>
      </w:r>
      <w:r>
        <w:rPr>
          <w:sz w:val="20"/>
          <w:szCs w:val="20"/>
          <w:color w:val="auto"/>
        </w:rPr>
        <w:tab/>
      </w:r>
      <w:r>
        <w:rPr>
          <w:rFonts w:ascii="Arial" w:cs="Arial" w:eastAsia="Arial" w:hAnsi="Arial"/>
          <w:sz w:val="18"/>
          <w:szCs w:val="18"/>
          <w:color w:val="auto"/>
        </w:rPr>
        <w:t>All persons furnished by a Party shall, while on the premises of the other Party, remain liable for all acts or omissions of its representatives.</w:t>
      </w:r>
    </w:p>
    <w:p>
      <w:pPr>
        <w:spacing w:after="0" w:line="170" w:lineRule="exact"/>
        <w:rPr>
          <w:sz w:val="20"/>
          <w:szCs w:val="20"/>
          <w:color w:val="auto"/>
        </w:rPr>
      </w:pPr>
    </w:p>
    <w:p>
      <w:pPr>
        <w:jc w:val="both"/>
        <w:ind w:left="1300" w:right="140" w:hanging="647"/>
        <w:spacing w:after="0" w:line="263" w:lineRule="auto"/>
        <w:tabs>
          <w:tab w:leader="none" w:pos="1280" w:val="left"/>
        </w:tabs>
        <w:rPr>
          <w:sz w:val="20"/>
          <w:szCs w:val="20"/>
          <w:color w:val="auto"/>
        </w:rPr>
      </w:pPr>
      <w:r>
        <w:rPr>
          <w:rFonts w:ascii="Arial" w:cs="Arial" w:eastAsia="Arial" w:hAnsi="Arial"/>
          <w:sz w:val="18"/>
          <w:szCs w:val="18"/>
          <w:b w:val="1"/>
          <w:bCs w:val="1"/>
          <w:color w:val="auto"/>
        </w:rPr>
        <w:t>21.12</w:t>
      </w:r>
      <w:r>
        <w:rPr>
          <w:sz w:val="20"/>
          <w:szCs w:val="20"/>
          <w:color w:val="auto"/>
        </w:rPr>
        <w:tab/>
      </w:r>
      <w:r>
        <w:rPr>
          <w:rFonts w:ascii="Arial" w:cs="Arial" w:eastAsia="Arial" w:hAnsi="Arial"/>
          <w:sz w:val="18"/>
          <w:szCs w:val="18"/>
          <w:color w:val="auto"/>
        </w:rPr>
        <w:t>All persons furnished by a Party shall be considered solely that Party’s employees and/or Consultants, and that Party shall be responsible for payment of all unemployment, social security and other payroll taxes, including contributions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Sheet 32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color w:val="auto"/>
        </w:rPr>
        <w:t>Joint Development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Everspin and GLOBALFOUNDRIES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Everspin/GLOBALFOUNDRIES CONFIDENTIAL</w:t>
      </w:r>
    </w:p>
    <w:p>
      <w:pPr>
        <w:spacing w:after="0" w:line="418" w:lineRule="exact"/>
        <w:rPr>
          <w:sz w:val="20"/>
          <w:szCs w:val="20"/>
          <w:color w:val="auto"/>
        </w:rPr>
      </w:pPr>
    </w:p>
    <w:p>
      <w:pPr>
        <w:sectPr>
          <w:pgSz w:w="11900" w:h="16838" w:orient="portrait"/>
          <w:cols w:equalWidth="0" w:num="2">
            <w:col w:w="4240" w:space="720"/>
            <w:col w:w="4960"/>
          </w:cols>
          <w:pgMar w:left="980" w:top="665" w:right="999" w:bottom="1440" w:gutter="0" w:footer="0" w:header="0"/>
        </w:sectPr>
      </w:pPr>
    </w:p>
    <w:p>
      <w:pPr>
        <w:spacing w:after="0" w:line="3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WITNESS WHEREOF, the Parties have executed this Agreement as of the date(s) indicated below. This Agreement shall have an effective date as defined in the first paragraph of the Agreement without regard to the final signature date of either Party.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gridSpan w:val="3"/>
          </w:tcPr>
          <w:p>
            <w:pPr>
              <w:spacing w:after="0"/>
              <w:rPr>
                <w:sz w:val="20"/>
                <w:szCs w:val="20"/>
                <w:color w:val="auto"/>
              </w:rPr>
            </w:pPr>
            <w:r>
              <w:rPr>
                <w:rFonts w:ascii="Arial" w:cs="Arial" w:eastAsia="Arial" w:hAnsi="Arial"/>
                <w:sz w:val="18"/>
                <w:szCs w:val="18"/>
                <w:b w:val="1"/>
                <w:bCs w:val="1"/>
                <w:color w:val="auto"/>
              </w:rPr>
              <w:t>GLOBALFOUNDRIES Inc.</w:t>
            </w:r>
          </w:p>
        </w:tc>
        <w:tc>
          <w:tcPr>
            <w:tcW w:w="5020" w:type="dxa"/>
            <w:vAlign w:val="bottom"/>
            <w:gridSpan w:val="2"/>
          </w:tcPr>
          <w:p>
            <w:pPr>
              <w:ind w:left="180"/>
              <w:spacing w:after="0"/>
              <w:rPr>
                <w:sz w:val="20"/>
                <w:szCs w:val="20"/>
                <w:color w:val="auto"/>
              </w:rPr>
            </w:pPr>
            <w:r>
              <w:rPr>
                <w:rFonts w:ascii="Arial" w:cs="Arial" w:eastAsia="Arial" w:hAnsi="Arial"/>
                <w:sz w:val="18"/>
                <w:szCs w:val="18"/>
                <w:b w:val="1"/>
                <w:bCs w:val="1"/>
                <w:color w:val="auto"/>
              </w:rPr>
              <w:t>Everspin Technologies, Inc.</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gridSpan w:val="2"/>
          </w:tcPr>
          <w:p>
            <w:pPr>
              <w:ind w:left="60"/>
              <w:spacing w:after="0"/>
              <w:rPr>
                <w:sz w:val="20"/>
                <w:szCs w:val="20"/>
                <w:color w:val="auto"/>
              </w:rPr>
            </w:pPr>
            <w:r>
              <w:rPr>
                <w:rFonts w:ascii="Arial" w:cs="Arial" w:eastAsia="Arial" w:hAnsi="Arial"/>
                <w:sz w:val="18"/>
                <w:szCs w:val="18"/>
                <w:color w:val="auto"/>
              </w:rPr>
              <w:t>/s/ David Bennett</w:t>
            </w:r>
          </w:p>
        </w:tc>
        <w:tc>
          <w:tcPr>
            <w:tcW w:w="700" w:type="dxa"/>
            <w:vAlign w:val="bottom"/>
          </w:tcPr>
          <w:p>
            <w:pPr>
              <w:ind w:left="180"/>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/s/ Phill LoPresti</w:t>
            </w:r>
          </w:p>
        </w:tc>
      </w:tr>
      <w:tr>
        <w:trPr>
          <w:trHeight w:val="20"/>
        </w:trPr>
        <w:tc>
          <w:tcPr>
            <w:tcW w:w="500" w:type="dxa"/>
            <w:vAlign w:val="bottom"/>
            <w:gridSpan w:val="2"/>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r>
      <w:tr>
        <w:trPr>
          <w:trHeight w:val="426"/>
        </w:trPr>
        <w:tc>
          <w:tcPr>
            <w:tcW w:w="4900" w:type="dxa"/>
            <w:vAlign w:val="bottom"/>
            <w:gridSpan w:val="3"/>
          </w:tcPr>
          <w:p>
            <w:pPr>
              <w:spacing w:after="0"/>
              <w:rPr>
                <w:sz w:val="20"/>
                <w:szCs w:val="20"/>
                <w:color w:val="auto"/>
              </w:rPr>
            </w:pPr>
            <w:r>
              <w:rPr>
                <w:rFonts w:ascii="Arial" w:cs="Arial" w:eastAsia="Arial" w:hAnsi="Arial"/>
                <w:sz w:val="18"/>
                <w:szCs w:val="18"/>
                <w:color w:val="auto"/>
              </w:rPr>
              <w:t>Name:David Bennett</w:t>
            </w: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Name: Phill LoPresti</w:t>
            </w:r>
          </w:p>
        </w:tc>
      </w:tr>
      <w:tr>
        <w:trPr>
          <w:trHeight w:val="20"/>
        </w:trPr>
        <w:tc>
          <w:tcPr>
            <w:tcW w:w="500" w:type="dxa"/>
            <w:vAlign w:val="bottom"/>
            <w:gridSpan w:val="2"/>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r>
      <w:tr>
        <w:trPr>
          <w:trHeight w:val="425"/>
        </w:trPr>
        <w:tc>
          <w:tcPr>
            <w:tcW w:w="4900" w:type="dxa"/>
            <w:vAlign w:val="bottom"/>
            <w:gridSpan w:val="3"/>
          </w:tcPr>
          <w:p>
            <w:pPr>
              <w:spacing w:after="0"/>
              <w:rPr>
                <w:sz w:val="20"/>
                <w:szCs w:val="20"/>
                <w:color w:val="auto"/>
              </w:rPr>
            </w:pPr>
            <w:r>
              <w:rPr>
                <w:rFonts w:ascii="Arial" w:cs="Arial" w:eastAsia="Arial" w:hAnsi="Arial"/>
                <w:sz w:val="18"/>
                <w:szCs w:val="18"/>
                <w:color w:val="auto"/>
              </w:rPr>
              <w:t>Title: VP Strategic Agreements</w:t>
            </w:r>
          </w:p>
        </w:tc>
        <w:tc>
          <w:tcPr>
            <w:tcW w:w="700" w:type="dxa"/>
            <w:vAlign w:val="bottom"/>
          </w:tcPr>
          <w:p>
            <w:pPr>
              <w:ind w:left="180"/>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r>
      <w:tr>
        <w:trPr>
          <w:trHeight w:val="426"/>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4460" w:type="dxa"/>
            <w:vAlign w:val="bottom"/>
            <w:gridSpan w:val="2"/>
          </w:tcPr>
          <w:p>
            <w:pPr>
              <w:ind w:left="60"/>
              <w:spacing w:after="0"/>
              <w:rPr>
                <w:sz w:val="20"/>
                <w:szCs w:val="20"/>
                <w:color w:val="auto"/>
              </w:rPr>
            </w:pPr>
            <w:r>
              <w:rPr>
                <w:rFonts w:ascii="Arial" w:cs="Arial" w:eastAsia="Arial" w:hAnsi="Arial"/>
                <w:sz w:val="18"/>
                <w:szCs w:val="18"/>
                <w:color w:val="auto"/>
              </w:rPr>
              <w:t>20-October-2014</w:t>
            </w:r>
          </w:p>
        </w:tc>
        <w:tc>
          <w:tcPr>
            <w:tcW w:w="700" w:type="dxa"/>
            <w:vAlign w:val="bottom"/>
          </w:tcPr>
          <w:p>
            <w:pPr>
              <w:ind w:left="180"/>
              <w:spacing w:after="0"/>
              <w:rPr>
                <w:sz w:val="20"/>
                <w:szCs w:val="20"/>
                <w:color w:val="auto"/>
              </w:rPr>
            </w:pPr>
            <w:r>
              <w:rPr>
                <w:rFonts w:ascii="Arial" w:cs="Arial" w:eastAsia="Arial" w:hAnsi="Arial"/>
                <w:sz w:val="18"/>
                <w:szCs w:val="18"/>
                <w:color w:val="auto"/>
              </w:rPr>
              <w:t>Date:</w:t>
            </w:r>
          </w:p>
        </w:tc>
        <w:tc>
          <w:tcPr>
            <w:tcW w:w="4320" w:type="dxa"/>
            <w:vAlign w:val="bottom"/>
          </w:tcPr>
          <w:p>
            <w:pPr>
              <w:spacing w:after="0"/>
              <w:rPr>
                <w:sz w:val="20"/>
                <w:szCs w:val="20"/>
                <w:color w:val="auto"/>
              </w:rPr>
            </w:pPr>
            <w:r>
              <w:rPr>
                <w:rFonts w:ascii="Arial" w:cs="Arial" w:eastAsia="Arial" w:hAnsi="Arial"/>
                <w:sz w:val="18"/>
                <w:szCs w:val="18"/>
                <w:color w:val="auto"/>
              </w:rPr>
              <w:t>10/20/2014</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Sheet 33 of 33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[Exhibits omitted per SEC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8" w:name="page79"/>
    <w:bookmarkEnd w:id="78"/>
    <w:p>
      <w:pPr>
        <w:jc w:val="right"/>
        <w:spacing w:after="0"/>
        <w:rPr>
          <w:sz w:val="20"/>
          <w:szCs w:val="20"/>
          <w:color w:val="auto"/>
        </w:rPr>
      </w:pPr>
      <w:r>
        <w:rPr>
          <w:rFonts w:ascii="Arial" w:cs="Arial" w:eastAsia="Arial" w:hAnsi="Arial"/>
          <w:sz w:val="20"/>
          <w:szCs w:val="20"/>
          <w:b w:val="1"/>
          <w:bCs w:val="1"/>
          <w:color w:val="auto"/>
        </w:rPr>
        <w:t>Exhibit 10.2</w:t>
      </w:r>
    </w:p>
    <w:p>
      <w:pPr>
        <w:spacing w:after="0" w:line="215" w:lineRule="exact"/>
        <w:rPr>
          <w:sz w:val="20"/>
          <w:szCs w:val="20"/>
          <w:color w:val="auto"/>
        </w:rPr>
      </w:pPr>
    </w:p>
    <w:p>
      <w:pPr>
        <w:ind w:right="240" w:firstLine="8"/>
        <w:spacing w:after="0" w:line="267" w:lineRule="auto"/>
        <w:tabs>
          <w:tab w:leader="none" w:pos="28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 Certain information in this document has been excluded as such information is not material and is the type of information that Everspin treats as private or confidential.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the STT-MRAM Joint Development Agreement</w:t>
      </w:r>
    </w:p>
    <w:p>
      <w:pPr>
        <w:spacing w:after="0" w:line="200"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This Amendment No.1 to the STT-MRAM Joint Development Agreement (this “Amendment”) by and between GLOBALFOUNDRIES Inc. (hereinafter referred to as “GLOBALFOUNDRIES” or “GF”) and Everspin Technologies, Inc., a corporation incorporated under the laws of Delaware, having an office at 1347 North Alma School Road, Suite 220, Chandler, Arizona 85224 (“Everspin”), is effective as of the last date of signature hereunder, and amends that certain STT-MRAM Joint Development Agreement by and between GLOBALFOUNDRIES and Everspin executed on October 17, 2014 (“Agreement’’).</w:t>
      </w:r>
    </w:p>
    <w:p>
      <w:pPr>
        <w:spacing w:after="0" w:line="196"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WHEREAS Everspin has requested that GLOBALFOUNDRIES modify the payment schedule for Project Costs incurred under the Agreement; and</w:t>
      </w:r>
    </w:p>
    <w:p>
      <w:pPr>
        <w:spacing w:after="0" w:line="177"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color w:val="auto"/>
        </w:rPr>
        <w:t>WHEREAS GLOBALFOUNDRIES has agreed to such modification under the terms and conditions described in this Amendment No.1 (“Amendment’’);</w:t>
      </w:r>
    </w:p>
    <w:p>
      <w:pPr>
        <w:spacing w:after="0" w:line="177"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NOW THEREFORE, in consideration of the premises and the mutual covenants contained herein, as well as for other good and valuable consideration, the receipt and sufficiency of which are hereby acknowledged, GLOBALFOUNDRIES and Everspin agree as follows.</w:t>
      </w:r>
    </w:p>
    <w:p>
      <w:pPr>
        <w:spacing w:after="0" w:line="180"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MODIFY SECTION 3.4</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Section 3.4 of the Agreement is deleted in its entirety and replaced with the following:</w:t>
      </w:r>
    </w:p>
    <w:p>
      <w:pPr>
        <w:spacing w:after="0" w:line="216"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3.4 Within thirty (30) days after December 31, 2016, and within thirty (30) days after the end of each of the calendar quarters thereafter, the Program Manager of each Party shall submit a report to the Program Manager of the other Party (or their designees as mutually agreed upon) setting forth (a) the incurred Project Costs for the preceding quarter and (b) a forecast of the projected Project Costs with respect to the then-current quarter and the following quarter. After submission of such report, the Party that has incurred [*] Project Costs shall issue an invoice to the other Party for [*] for the preceding quarter. The invoiced party shall pay the other Party the undisputed amount stated in each such invoice no later than forty-five (45) days following receipt.</w:t>
      </w:r>
    </w:p>
    <w:p>
      <w:pPr>
        <w:spacing w:after="0" w:line="187" w:lineRule="exact"/>
        <w:rPr>
          <w:sz w:val="20"/>
          <w:szCs w:val="20"/>
          <w:color w:val="auto"/>
        </w:rPr>
      </w:pPr>
    </w:p>
    <w:p>
      <w:pPr>
        <w:ind w:left="400" w:hanging="392"/>
        <w:spacing w:after="0"/>
        <w:tabs>
          <w:tab w:leader="none" w:pos="40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ADD NEW SECTION 3.9</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Section 3.9 of the Agreement is added after Section 3.8, as follows:</w:t>
      </w:r>
    </w:p>
    <w:p>
      <w:pPr>
        <w:spacing w:after="0" w:line="216"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3.9 Within thirty (30) days after September 30, 2016, the Program Manager of each Party shall submit a report to the Program Manager of the other Party (or their designees as mutually agreed upon) setting forth the incurred Project Costs from April, 2016 through September 30, 2016. After submission of such report, the Party that has incurred [*] Project Costs shall issue an invoice to the other Party for [*].</w:t>
      </w:r>
    </w:p>
    <w:p>
      <w:pPr>
        <w:spacing w:after="0" w:line="191"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3.9.1 Everspin agrees that its portion of the Project Costs incurred from the Effective Date through December 31, 2015 is equal to $3,620,000. Everspin shall pay GLOBALFOUNDRIES $3,620,000 plus interest on this amount at a rate of fourteen percent per annum. The interest shall be calculated from March 14, 2016 through the date this portion of the Project Costs is paid.</w:t>
      </w:r>
    </w:p>
    <w:p>
      <w:pPr>
        <w:spacing w:after="0" w:line="200" w:lineRule="exact"/>
        <w:rPr>
          <w:sz w:val="20"/>
          <w:szCs w:val="20"/>
          <w:color w:val="auto"/>
        </w:rPr>
      </w:pPr>
    </w:p>
    <w:p>
      <w:pPr>
        <w:spacing w:after="0" w:line="221" w:lineRule="exact"/>
        <w:rPr>
          <w:sz w:val="20"/>
          <w:szCs w:val="20"/>
          <w:color w:val="auto"/>
        </w:rPr>
      </w:pPr>
    </w:p>
    <w:p>
      <w:pPr>
        <w:ind w:left="100"/>
        <w:spacing w:after="0"/>
        <w:tabs>
          <w:tab w:leader="none" w:pos="2900" w:val="left"/>
        </w:tabs>
        <w:rPr>
          <w:sz w:val="20"/>
          <w:szCs w:val="20"/>
          <w:color w:val="auto"/>
        </w:rPr>
      </w:pPr>
      <w:r>
        <w:rPr>
          <w:rFonts w:ascii="Arial" w:cs="Arial" w:eastAsia="Arial" w:hAnsi="Arial"/>
          <w:sz w:val="18"/>
          <w:szCs w:val="18"/>
          <w:color w:val="auto"/>
        </w:rPr>
        <w:t>Page 1 of 3</w:t>
      </w:r>
      <w:r>
        <w:rPr>
          <w:sz w:val="20"/>
          <w:szCs w:val="20"/>
          <w:color w:val="auto"/>
        </w:rPr>
        <w:tab/>
      </w:r>
      <w:r>
        <w:rPr>
          <w:rFonts w:ascii="Arial" w:cs="Arial" w:eastAsia="Arial" w:hAnsi="Arial"/>
          <w:sz w:val="18"/>
          <w:szCs w:val="18"/>
          <w:color w:val="auto"/>
        </w:rPr>
        <w:t>GLOBALFOUNDRIES/Everspin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384810</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3.9.2 Everspin agrees that its portion of the Project Costs incurred from January 1, 2016 through April 1, 2016 is equal to</w:t>
      </w:r>
    </w:p>
    <w:p>
      <w:pPr>
        <w:spacing w:after="0" w:line="40" w:lineRule="exact"/>
        <w:rPr>
          <w:sz w:val="20"/>
          <w:szCs w:val="20"/>
          <w:color w:val="auto"/>
        </w:rPr>
      </w:pPr>
    </w:p>
    <w:p>
      <w:pPr>
        <w:ind w:right="60"/>
        <w:spacing w:after="0" w:line="297" w:lineRule="auto"/>
        <w:rPr>
          <w:sz w:val="20"/>
          <w:szCs w:val="20"/>
          <w:color w:val="auto"/>
        </w:rPr>
      </w:pPr>
      <w:r>
        <w:rPr>
          <w:rFonts w:ascii="Arial" w:cs="Arial" w:eastAsia="Arial" w:hAnsi="Arial"/>
          <w:sz w:val="18"/>
          <w:szCs w:val="18"/>
          <w:color w:val="auto"/>
        </w:rPr>
        <w:t>$740,000. Everspin shall pay GLOBALFOUNDRIES $740,000 plus interest on this amount at a rate of fourteen percent per annum. The interest shall be calculated from June 25, 2016 through the date this portion of the Project Costs is paid.</w:t>
      </w:r>
    </w:p>
    <w:p>
      <w:pPr>
        <w:spacing w:after="0" w:line="14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3.9.3 All invoices issued pursuant to this Section 3.9 or amounts payable pursuant to Section 3.9.1 and 3.9.2 shall be payable to GLOBALFOUNDRIES no later than December 15, 2016 regardless of date of invoice.</w:t>
      </w:r>
    </w:p>
    <w:p>
      <w:pPr>
        <w:spacing w:after="0" w:line="171"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color w:val="auto"/>
        </w:rPr>
        <w:t>MODIFY SECTION 12.1.1</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Section 12.1.1 of the Agreement is deleted in its entirety and replaced with the following:</w:t>
      </w:r>
    </w:p>
    <w:p>
      <w:pPr>
        <w:spacing w:after="0" w:line="216"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12.1.1 The other Party is in material breach of any warranty, term, condition or covenant of this Agreement and fails to cure that breach within sixty (60) days after receiving written notice of that breach.</w:t>
      </w:r>
    </w:p>
    <w:p>
      <w:pPr>
        <w:spacing w:after="0" w:line="171"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MODIFY SECTION 12.3.5</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Section 12.3.5 of the Agreement is added after Section 12.3.4, as follows:</w:t>
      </w:r>
    </w:p>
    <w:p>
      <w:pPr>
        <w:spacing w:after="0" w:line="216"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12.3.5. Should GLOBALFOUNDRIES have the right to terminate this Agreement for cause pursuant to Section 12.4, the Royalty Amount owed or to be paid by GLOBALFOUNDRIES pursuant to Section 17.1 shall be reduced by any such amounts owed including applicable interest (“Royalty Offset”). For avoidance of doubt, the Royalty Offset shall not modify the calculation of the Royalty Amount, or alter the time periods set forth in Section 17.1. Everspin shall remain obligated to pay GLOBALFOUNDRIES any incurred Project Costs in addition to the Royalty Offset provided GLOBALFOUNDRIES. This Section 12.3.5 shall be enforceable only in the event GLOBALFOUNDRIES has the right to terminate this Agreement pursuant to Section 12.4.</w:t>
      </w:r>
    </w:p>
    <w:p>
      <w:pPr>
        <w:spacing w:after="0" w:line="187"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ADD NEW SECTION 12.4</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Section 12.4 of the Agreement is added after Section 12.3.5, as follows:</w:t>
      </w:r>
    </w:p>
    <w:p>
      <w:pPr>
        <w:spacing w:after="0" w:line="216"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12.4 GLOBALFOUNDRIES shall have the right to terminate this Agreement at any time if Everspin fails to pay, in full, the Project Costs (as well as any applicable interest charges) that Everspin is required to pay according to Section 3.9 on or before December 16, 2016. Should Everspin pay, in full, the Project Costs (as well as any applicable interest charges) that it is required to pay according to Section 3.9 on or before December 16, 2016, GLOBALFOUNDRIES’s right to terminate this Agreement pursuant to this Section 12.4 shall be extinguished immediately upon such payment.</w:t>
      </w:r>
    </w:p>
    <w:p>
      <w:pPr>
        <w:spacing w:after="0" w:line="159"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22"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All references to the Agreement in any other document shall be deemed to refer to the Agreement as modified by this Amendment. Except as modified by this Amendment, all of the terms and conditions of the Agreement shall remain in full force and effect. In the event that the terms of this Amendment conflict with the terms of the Agreement, the terms of this Amendment shall control.</w:t>
      </w:r>
    </w:p>
    <w:p>
      <w:pPr>
        <w:spacing w:after="0" w:line="200" w:lineRule="exact"/>
        <w:rPr>
          <w:sz w:val="20"/>
          <w:szCs w:val="20"/>
          <w:color w:val="auto"/>
        </w:rPr>
      </w:pPr>
    </w:p>
    <w:p>
      <w:pPr>
        <w:spacing w:after="0" w:line="221" w:lineRule="exact"/>
        <w:rPr>
          <w:sz w:val="20"/>
          <w:szCs w:val="20"/>
          <w:color w:val="auto"/>
        </w:rPr>
      </w:pPr>
    </w:p>
    <w:p>
      <w:pPr>
        <w:ind w:left="100"/>
        <w:spacing w:after="0"/>
        <w:tabs>
          <w:tab w:leader="none" w:pos="2900" w:val="left"/>
        </w:tabs>
        <w:rPr>
          <w:sz w:val="20"/>
          <w:szCs w:val="20"/>
          <w:color w:val="auto"/>
        </w:rPr>
      </w:pPr>
      <w:r>
        <w:rPr>
          <w:rFonts w:ascii="Arial" w:cs="Arial" w:eastAsia="Arial" w:hAnsi="Arial"/>
          <w:sz w:val="18"/>
          <w:szCs w:val="18"/>
          <w:color w:val="auto"/>
        </w:rPr>
        <w:t>Page 2 of 3</w:t>
      </w:r>
      <w:r>
        <w:rPr>
          <w:sz w:val="20"/>
          <w:szCs w:val="20"/>
          <w:color w:val="auto"/>
        </w:rPr>
        <w:tab/>
      </w:r>
      <w:r>
        <w:rPr>
          <w:rFonts w:ascii="Arial" w:cs="Arial" w:eastAsia="Arial" w:hAnsi="Arial"/>
          <w:sz w:val="18"/>
          <w:szCs w:val="18"/>
          <w:color w:val="auto"/>
        </w:rPr>
        <w:t>GLOBALFOUNDRIES/Everspin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384810</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80" w:name="page81"/>
    <w:bookmarkEnd w:id="80"/>
    <w:p>
      <w:pPr>
        <w:ind w:left="660" w:hanging="652"/>
        <w:spacing w:after="0"/>
        <w:tabs>
          <w:tab w:leader="none" w:pos="66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EXECUTION</w:t>
      </w:r>
    </w:p>
    <w:p>
      <w:pPr>
        <w:spacing w:after="0" w:line="221"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This Amendment may be executed in any number of counterpart originals, each of which shall be deemed an original instrument for all purposes, but all of which shall comprise one and the same instrument. This Amendment may be delivered by electronic mail or facsimile, and a scanned version of this Amendment shall be binding as an original.</w:t>
      </w:r>
    </w:p>
    <w:p>
      <w:pPr>
        <w:spacing w:after="0" w:line="164" w:lineRule="exact"/>
        <w:rPr>
          <w:sz w:val="20"/>
          <w:szCs w:val="20"/>
          <w:color w:val="auto"/>
        </w:rPr>
      </w:pPr>
    </w:p>
    <w:p>
      <w:pPr>
        <w:ind w:right="680"/>
        <w:spacing w:after="0" w:line="267" w:lineRule="auto"/>
        <w:rPr>
          <w:sz w:val="20"/>
          <w:szCs w:val="20"/>
          <w:color w:val="auto"/>
        </w:rPr>
      </w:pPr>
      <w:r>
        <w:rPr>
          <w:rFonts w:ascii="Arial" w:cs="Arial" w:eastAsia="Arial" w:hAnsi="Arial"/>
          <w:sz w:val="20"/>
          <w:szCs w:val="20"/>
          <w:b w:val="1"/>
          <w:bCs w:val="1"/>
          <w:color w:val="auto"/>
        </w:rPr>
        <w:t>IN WITNESS WHEREO</w:t>
      </w:r>
      <w:r>
        <w:rPr>
          <w:rFonts w:ascii="Arial" w:cs="Arial" w:eastAsia="Arial" w:hAnsi="Arial"/>
          <w:sz w:val="20"/>
          <w:szCs w:val="20"/>
          <w:color w:val="auto"/>
        </w:rPr>
        <w:t>F, the parties hereto have caused this Amendment to be executed by their duly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representatives: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GLOBALFOUNDRIES Inc.</w:t>
            </w:r>
          </w:p>
        </w:tc>
        <w:tc>
          <w:tcPr>
            <w:tcW w:w="3100" w:type="dxa"/>
            <w:vAlign w:val="bottom"/>
            <w:gridSpan w:val="2"/>
          </w:tcPr>
          <w:p>
            <w:pPr>
              <w:ind w:left="780"/>
              <w:spacing w:after="0"/>
              <w:rPr>
                <w:sz w:val="20"/>
                <w:szCs w:val="20"/>
                <w:color w:val="auto"/>
              </w:rPr>
            </w:pPr>
            <w:r>
              <w:rPr>
                <w:rFonts w:ascii="Arial" w:cs="Arial" w:eastAsia="Arial" w:hAnsi="Arial"/>
                <w:sz w:val="18"/>
                <w:szCs w:val="18"/>
                <w:b w:val="1"/>
                <w:bCs w:val="1"/>
                <w:color w:val="auto"/>
                <w:w w:val="96"/>
              </w:rPr>
              <w:t>Everspin Technologies,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600" w:type="dxa"/>
            <w:vAlign w:val="bottom"/>
          </w:tcPr>
          <w:p>
            <w:pPr>
              <w:ind w:left="80"/>
              <w:spacing w:after="0"/>
              <w:rPr>
                <w:sz w:val="20"/>
                <w:szCs w:val="20"/>
                <w:color w:val="auto"/>
              </w:rPr>
            </w:pPr>
            <w:r>
              <w:rPr>
                <w:rFonts w:ascii="Arial" w:cs="Arial" w:eastAsia="Arial" w:hAnsi="Arial"/>
                <w:sz w:val="18"/>
                <w:szCs w:val="18"/>
                <w:color w:val="auto"/>
              </w:rPr>
              <w:t>26-May-2016</w:t>
            </w:r>
          </w:p>
        </w:tc>
        <w:tc>
          <w:tcPr>
            <w:tcW w:w="1340" w:type="dxa"/>
            <w:vAlign w:val="bottom"/>
          </w:tcPr>
          <w:p>
            <w:pPr>
              <w:ind w:left="780"/>
              <w:spacing w:after="0"/>
              <w:rPr>
                <w:sz w:val="20"/>
                <w:szCs w:val="20"/>
                <w:color w:val="auto"/>
              </w:rPr>
            </w:pPr>
            <w:r>
              <w:rPr>
                <w:rFonts w:ascii="Arial" w:cs="Arial" w:eastAsia="Arial" w:hAnsi="Arial"/>
                <w:sz w:val="18"/>
                <w:szCs w:val="18"/>
                <w:color w:val="auto"/>
              </w:rPr>
              <w:t>Date:</w:t>
            </w:r>
          </w:p>
        </w:tc>
        <w:tc>
          <w:tcPr>
            <w:tcW w:w="1760" w:type="dxa"/>
            <w:vAlign w:val="bottom"/>
          </w:tcPr>
          <w:p>
            <w:pPr>
              <w:ind w:left="80"/>
              <w:spacing w:after="0"/>
              <w:rPr>
                <w:sz w:val="20"/>
                <w:szCs w:val="20"/>
                <w:color w:val="auto"/>
              </w:rPr>
            </w:pPr>
            <w:r>
              <w:rPr>
                <w:rFonts w:ascii="Arial" w:cs="Arial" w:eastAsia="Arial" w:hAnsi="Arial"/>
                <w:sz w:val="18"/>
                <w:szCs w:val="18"/>
                <w:color w:val="auto"/>
              </w:rPr>
              <w:t>05/27/2016</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600" w:type="dxa"/>
            <w:vAlign w:val="bottom"/>
          </w:tcPr>
          <w:p>
            <w:pPr>
              <w:ind w:left="80"/>
              <w:spacing w:after="0"/>
              <w:rPr>
                <w:sz w:val="20"/>
                <w:szCs w:val="20"/>
                <w:color w:val="auto"/>
              </w:rPr>
            </w:pPr>
            <w:r>
              <w:rPr>
                <w:rFonts w:ascii="Arial" w:cs="Arial" w:eastAsia="Arial" w:hAnsi="Arial"/>
                <w:sz w:val="18"/>
                <w:szCs w:val="18"/>
                <w:color w:val="auto"/>
              </w:rPr>
              <w:t>/s/ David Bennett</w:t>
            </w:r>
          </w:p>
        </w:tc>
        <w:tc>
          <w:tcPr>
            <w:tcW w:w="1340" w:type="dxa"/>
            <w:vAlign w:val="bottom"/>
          </w:tcPr>
          <w:p>
            <w:pPr>
              <w:ind w:left="780"/>
              <w:spacing w:after="0"/>
              <w:rPr>
                <w:sz w:val="20"/>
                <w:szCs w:val="20"/>
                <w:color w:val="auto"/>
              </w:rPr>
            </w:pPr>
            <w:r>
              <w:rPr>
                <w:rFonts w:ascii="Arial" w:cs="Arial" w:eastAsia="Arial" w:hAnsi="Arial"/>
                <w:sz w:val="18"/>
                <w:szCs w:val="18"/>
                <w:color w:val="auto"/>
              </w:rPr>
              <w:t>Name:</w:t>
            </w:r>
          </w:p>
        </w:tc>
        <w:tc>
          <w:tcPr>
            <w:tcW w:w="1760" w:type="dxa"/>
            <w:vAlign w:val="bottom"/>
          </w:tcPr>
          <w:p>
            <w:pPr>
              <w:ind w:left="80"/>
              <w:spacing w:after="0"/>
              <w:rPr>
                <w:sz w:val="20"/>
                <w:szCs w:val="20"/>
                <w:color w:val="auto"/>
              </w:rPr>
            </w:pPr>
            <w:r>
              <w:rPr>
                <w:rFonts w:ascii="Arial" w:cs="Arial" w:eastAsia="Arial" w:hAnsi="Arial"/>
                <w:sz w:val="18"/>
                <w:szCs w:val="18"/>
                <w:color w:val="auto"/>
              </w:rPr>
              <w:t>/s/ Jeff Winzeler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(Print)</w:t>
            </w:r>
          </w:p>
        </w:tc>
        <w:tc>
          <w:tcPr>
            <w:tcW w:w="3600" w:type="dxa"/>
            <w:vAlign w:val="bottom"/>
          </w:tcPr>
          <w:p>
            <w:pPr>
              <w:ind w:left="80"/>
              <w:spacing w:after="0"/>
              <w:rPr>
                <w:sz w:val="20"/>
                <w:szCs w:val="20"/>
                <w:color w:val="auto"/>
              </w:rPr>
            </w:pPr>
            <w:r>
              <w:rPr>
                <w:rFonts w:ascii="Arial" w:cs="Arial" w:eastAsia="Arial" w:hAnsi="Arial"/>
                <w:sz w:val="18"/>
                <w:szCs w:val="18"/>
                <w:color w:val="auto"/>
              </w:rPr>
              <w:t>David Bennett</w:t>
            </w:r>
          </w:p>
        </w:tc>
        <w:tc>
          <w:tcPr>
            <w:tcW w:w="1340" w:type="dxa"/>
            <w:vAlign w:val="bottom"/>
          </w:tcPr>
          <w:p>
            <w:pPr>
              <w:ind w:left="780"/>
              <w:spacing w:after="0"/>
              <w:rPr>
                <w:sz w:val="20"/>
                <w:szCs w:val="20"/>
                <w:color w:val="auto"/>
              </w:rPr>
            </w:pPr>
            <w:r>
              <w:rPr>
                <w:rFonts w:ascii="Arial" w:cs="Arial" w:eastAsia="Arial" w:hAnsi="Arial"/>
                <w:sz w:val="18"/>
                <w:szCs w:val="18"/>
                <w:color w:val="auto"/>
              </w:rPr>
              <w:t>(Print)</w:t>
            </w:r>
          </w:p>
        </w:tc>
        <w:tc>
          <w:tcPr>
            <w:tcW w:w="1760" w:type="dxa"/>
            <w:vAlign w:val="bottom"/>
          </w:tcPr>
          <w:p>
            <w:pPr>
              <w:ind w:left="80"/>
              <w:spacing w:after="0"/>
              <w:rPr>
                <w:sz w:val="20"/>
                <w:szCs w:val="20"/>
                <w:color w:val="auto"/>
              </w:rPr>
            </w:pPr>
            <w:r>
              <w:rPr>
                <w:rFonts w:ascii="Arial" w:cs="Arial" w:eastAsia="Arial" w:hAnsi="Arial"/>
                <w:sz w:val="18"/>
                <w:szCs w:val="18"/>
                <w:color w:val="auto"/>
              </w:rPr>
              <w:t>Jeff Winzeler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ind w:left="80"/>
              <w:spacing w:after="0"/>
              <w:rPr>
                <w:sz w:val="20"/>
                <w:szCs w:val="20"/>
                <w:color w:val="auto"/>
              </w:rPr>
            </w:pPr>
            <w:r>
              <w:rPr>
                <w:rFonts w:ascii="Arial" w:cs="Arial" w:eastAsia="Arial" w:hAnsi="Arial"/>
                <w:sz w:val="18"/>
                <w:szCs w:val="18"/>
                <w:color w:val="auto"/>
              </w:rPr>
              <w:t>VP, Strategic Agreements &amp; Alliances</w:t>
            </w:r>
          </w:p>
        </w:tc>
        <w:tc>
          <w:tcPr>
            <w:tcW w:w="1340" w:type="dxa"/>
            <w:vAlign w:val="bottom"/>
          </w:tcPr>
          <w:p>
            <w:pPr>
              <w:ind w:left="780"/>
              <w:spacing w:after="0"/>
              <w:rPr>
                <w:sz w:val="20"/>
                <w:szCs w:val="20"/>
                <w:color w:val="auto"/>
              </w:rPr>
            </w:pPr>
            <w:r>
              <w:rPr>
                <w:rFonts w:ascii="Arial" w:cs="Arial" w:eastAsia="Arial" w:hAnsi="Arial"/>
                <w:sz w:val="18"/>
                <w:szCs w:val="18"/>
                <w:color w:val="auto"/>
              </w:rPr>
              <w:t>Title:</w:t>
            </w:r>
          </w:p>
        </w:tc>
        <w:tc>
          <w:tcPr>
            <w:tcW w:w="1760" w:type="dxa"/>
            <w:vAlign w:val="bottom"/>
          </w:tcPr>
          <w:p>
            <w:pPr>
              <w:ind w:left="80"/>
              <w:spacing w:after="0"/>
              <w:rPr>
                <w:sz w:val="20"/>
                <w:szCs w:val="20"/>
                <w:color w:val="auto"/>
              </w:rPr>
            </w:pPr>
            <w:r>
              <w:rPr>
                <w:rFonts w:ascii="Arial" w:cs="Arial" w:eastAsia="Arial" w:hAnsi="Arial"/>
                <w:sz w:val="18"/>
                <w:szCs w:val="18"/>
                <w:color w:val="auto"/>
                <w:w w:val="93"/>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0"/>
        <w:spacing w:after="0"/>
        <w:tabs>
          <w:tab w:leader="none" w:pos="2900" w:val="left"/>
        </w:tabs>
        <w:rPr>
          <w:sz w:val="20"/>
          <w:szCs w:val="20"/>
          <w:color w:val="auto"/>
        </w:rPr>
      </w:pPr>
      <w:r>
        <w:rPr>
          <w:rFonts w:ascii="Arial" w:cs="Arial" w:eastAsia="Arial" w:hAnsi="Arial"/>
          <w:sz w:val="18"/>
          <w:szCs w:val="18"/>
          <w:color w:val="auto"/>
        </w:rPr>
        <w:t>Page 3 of 3</w:t>
      </w:r>
      <w:r>
        <w:rPr>
          <w:sz w:val="20"/>
          <w:szCs w:val="20"/>
          <w:color w:val="auto"/>
        </w:rPr>
        <w:tab/>
      </w:r>
      <w:r>
        <w:rPr>
          <w:rFonts w:ascii="Arial" w:cs="Arial" w:eastAsia="Arial" w:hAnsi="Arial"/>
          <w:sz w:val="18"/>
          <w:szCs w:val="18"/>
          <w:color w:val="auto"/>
        </w:rPr>
        <w:t>GLOBALFOUNDRIES/Everspin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384810</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118" w:right="1039" w:bottom="1440" w:gutter="0" w:footer="0" w:header="0"/>
        </w:sectPr>
      </w:pPr>
    </w:p>
    <w:bookmarkStart w:id="81" w:name="page82"/>
    <w:bookmarkEnd w:id="81"/>
    <w:p>
      <w:pPr>
        <w:jc w:val="right"/>
        <w:spacing w:after="0"/>
        <w:rPr>
          <w:sz w:val="20"/>
          <w:szCs w:val="20"/>
          <w:color w:val="auto"/>
        </w:rPr>
      </w:pPr>
      <w:r>
        <w:rPr>
          <w:rFonts w:ascii="Arial" w:cs="Arial" w:eastAsia="Arial" w:hAnsi="Arial"/>
          <w:sz w:val="20"/>
          <w:szCs w:val="20"/>
          <w:b w:val="1"/>
          <w:bCs w:val="1"/>
          <w:color w:val="auto"/>
        </w:rPr>
        <w:t>Exhibit 10.3</w:t>
      </w:r>
    </w:p>
    <w:p>
      <w:pPr>
        <w:spacing w:after="0" w:line="215" w:lineRule="exact"/>
        <w:rPr>
          <w:sz w:val="20"/>
          <w:szCs w:val="20"/>
          <w:color w:val="auto"/>
        </w:rPr>
      </w:pPr>
    </w:p>
    <w:p>
      <w:pPr>
        <w:ind w:right="240" w:firstLine="8"/>
        <w:spacing w:after="0" w:line="267" w:lineRule="auto"/>
        <w:tabs>
          <w:tab w:leader="none" w:pos="28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 Certain information in this document has been excluded as such information is not material and is the type of information that Everspin treats as private or confidential.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#3 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STT-MRAM JOINT DEVELOPMENT AGREEMENT</w:t>
      </w:r>
    </w:p>
    <w:p>
      <w:pPr>
        <w:spacing w:after="0" w:line="21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This Amendment #3 (the “</w:t>
      </w:r>
      <w:r>
        <w:rPr>
          <w:rFonts w:ascii="Arial" w:cs="Arial" w:eastAsia="Arial" w:hAnsi="Arial"/>
          <w:sz w:val="19"/>
          <w:szCs w:val="19"/>
          <w:b w:val="1"/>
          <w:bCs w:val="1"/>
          <w:color w:val="auto"/>
        </w:rPr>
        <w:t>Amendment No. 3</w:t>
      </w:r>
      <w:r>
        <w:rPr>
          <w:rFonts w:ascii="Arial" w:cs="Arial" w:eastAsia="Arial" w:hAnsi="Arial"/>
          <w:sz w:val="19"/>
          <w:szCs w:val="19"/>
          <w:color w:val="auto"/>
        </w:rPr>
        <w:t>”) is entered into by and between Everspin Technologies, Inc. (“</w:t>
      </w:r>
      <w:r>
        <w:rPr>
          <w:rFonts w:ascii="Arial" w:cs="Arial" w:eastAsia="Arial" w:hAnsi="Arial"/>
          <w:sz w:val="19"/>
          <w:szCs w:val="19"/>
          <w:b w:val="1"/>
          <w:bCs w:val="1"/>
          <w:color w:val="auto"/>
        </w:rPr>
        <w:t>Everspin</w:t>
      </w:r>
      <w:r>
        <w:rPr>
          <w:rFonts w:ascii="Arial" w:cs="Arial" w:eastAsia="Arial" w:hAnsi="Arial"/>
          <w:sz w:val="19"/>
          <w:szCs w:val="19"/>
          <w:color w:val="auto"/>
        </w:rPr>
        <w:t>”), and GLOBALFOUNDRIES Inc. (“</w:t>
      </w:r>
      <w:r>
        <w:rPr>
          <w:rFonts w:ascii="Arial" w:cs="Arial" w:eastAsia="Arial" w:hAnsi="Arial"/>
          <w:sz w:val="19"/>
          <w:szCs w:val="19"/>
          <w:b w:val="1"/>
          <w:bCs w:val="1"/>
          <w:color w:val="auto"/>
        </w:rPr>
        <w:t>GLOBALFOUNDRIES</w:t>
      </w:r>
      <w:r>
        <w:rPr>
          <w:rFonts w:ascii="Arial" w:cs="Arial" w:eastAsia="Arial" w:hAnsi="Arial"/>
          <w:sz w:val="19"/>
          <w:szCs w:val="19"/>
          <w:color w:val="auto"/>
        </w:rPr>
        <w:t>”), and amends and supplements that certain STT-MRAM Joint Development Agreement between the parties dated October 17, 2014, as amended (the “</w:t>
      </w:r>
      <w:r>
        <w:rPr>
          <w:rFonts w:ascii="Arial" w:cs="Arial" w:eastAsia="Arial" w:hAnsi="Arial"/>
          <w:sz w:val="19"/>
          <w:szCs w:val="19"/>
          <w:b w:val="1"/>
          <w:bCs w:val="1"/>
          <w:color w:val="auto"/>
        </w:rPr>
        <w:t>Agreement</w:t>
      </w:r>
      <w:r>
        <w:rPr>
          <w:rFonts w:ascii="Arial" w:cs="Arial" w:eastAsia="Arial" w:hAnsi="Arial"/>
          <w:sz w:val="19"/>
          <w:szCs w:val="19"/>
          <w:color w:val="auto"/>
        </w:rPr>
        <w:t>”). This Amendment No. 3 is effective as of January 1, 2018 (the “</w:t>
      </w:r>
      <w:r>
        <w:rPr>
          <w:rFonts w:ascii="Arial" w:cs="Arial" w:eastAsia="Arial" w:hAnsi="Arial"/>
          <w:sz w:val="19"/>
          <w:szCs w:val="19"/>
          <w:b w:val="1"/>
          <w:bCs w:val="1"/>
          <w:color w:val="auto"/>
        </w:rPr>
        <w:t>Amendment Effective Date</w:t>
      </w:r>
      <w:r>
        <w:rPr>
          <w:rFonts w:ascii="Arial" w:cs="Arial" w:eastAsia="Arial" w:hAnsi="Arial"/>
          <w:sz w:val="19"/>
          <w:szCs w:val="19"/>
          <w:color w:val="auto"/>
        </w:rPr>
        <w:t>”).</w:t>
      </w:r>
    </w:p>
    <w:p>
      <w:pPr>
        <w:spacing w:after="0" w:line="169" w:lineRule="exact"/>
        <w:rPr>
          <w:sz w:val="20"/>
          <w:szCs w:val="20"/>
          <w:color w:val="auto"/>
        </w:rPr>
      </w:pPr>
    </w:p>
    <w:p>
      <w:pPr>
        <w:ind w:right="320" w:firstLine="648"/>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Everspin and GLOBALFOUNDRIES have agreed to modify the cost sharing associated with 28nm</w:t>
      </w:r>
      <w:r>
        <w:rPr>
          <w:rFonts w:ascii="Arial" w:cs="Arial" w:eastAsia="Arial" w:hAnsi="Arial"/>
          <w:sz w:val="20"/>
          <w:szCs w:val="20"/>
          <w:b w:val="1"/>
          <w:bCs w:val="1"/>
          <w:color w:val="auto"/>
        </w:rPr>
        <w:t xml:space="preserve"> </w:t>
      </w:r>
      <w:r>
        <w:rPr>
          <w:rFonts w:ascii="Arial" w:cs="Arial" w:eastAsia="Arial" w:hAnsi="Arial"/>
          <w:sz w:val="20"/>
          <w:szCs w:val="20"/>
          <w:color w:val="auto"/>
        </w:rPr>
        <w:t>and 22nm Project Costs; and</w:t>
      </w:r>
    </w:p>
    <w:p>
      <w:pPr>
        <w:spacing w:after="0" w:line="163" w:lineRule="exact"/>
        <w:rPr>
          <w:sz w:val="20"/>
          <w:szCs w:val="20"/>
          <w:color w:val="auto"/>
        </w:rPr>
      </w:pPr>
    </w:p>
    <w:p>
      <w:pPr>
        <w:ind w:right="100" w:firstLine="648"/>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Everspin and GLOBALFOUNDRIES wish to reduce the royalty percentages due for MRAM products</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manufactured by GLOBALFOUNDRIES;</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promises contained herein and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is hereby acknowledged, the parties hereby amend the Agreement as follows:</w:t>
      </w:r>
    </w:p>
    <w:p>
      <w:pPr>
        <w:spacing w:after="0" w:line="183" w:lineRule="exact"/>
        <w:rPr>
          <w:sz w:val="20"/>
          <w:szCs w:val="20"/>
          <w:color w:val="auto"/>
        </w:rPr>
      </w:pPr>
    </w:p>
    <w:p>
      <w:pPr>
        <w:ind w:left="660" w:hanging="652"/>
        <w:spacing w:after="0" w:line="316" w:lineRule="auto"/>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All capitalized terms used in this Amendment but not otherwise defined herein shall have the meanings given such terms in the Agreement and, unless otherwise specified, references to Sections refer to Sections of the Agreement.</w:t>
      </w:r>
    </w:p>
    <w:p>
      <w:pPr>
        <w:spacing w:after="0" w:line="129" w:lineRule="exact"/>
        <w:rPr>
          <w:rFonts w:ascii="Arial" w:cs="Arial" w:eastAsia="Arial" w:hAnsi="Arial"/>
          <w:sz w:val="18"/>
          <w:szCs w:val="18"/>
          <w:b w:val="1"/>
          <w:bCs w:val="1"/>
          <w:color w:val="auto"/>
        </w:rPr>
      </w:pPr>
    </w:p>
    <w:p>
      <w:pPr>
        <w:ind w:left="660" w:hanging="652"/>
        <w:spacing w:after="0"/>
        <w:tabs>
          <w:tab w:leader="none" w:pos="660" w:val="left"/>
        </w:tabs>
        <w:numPr>
          <w:ilvl w:val="0"/>
          <w:numId w:val="54"/>
        </w:numPr>
        <w:rPr>
          <w:rFonts w:ascii="Arial" w:cs="Arial" w:eastAsia="Arial" w:hAnsi="Arial"/>
          <w:sz w:val="20"/>
          <w:szCs w:val="20"/>
          <w:b w:val="1"/>
          <w:bCs w:val="1"/>
          <w:color w:val="auto"/>
        </w:rPr>
      </w:pPr>
      <w:r>
        <w:rPr>
          <w:rFonts w:ascii="Arial" w:cs="Arial" w:eastAsia="Arial" w:hAnsi="Arial"/>
          <w:sz w:val="20"/>
          <w:szCs w:val="20"/>
          <w:color w:val="auto"/>
        </w:rPr>
        <w:t>Section 1.1 is deleted in its entirety and replaced with the following:</w:t>
      </w:r>
    </w:p>
    <w:p>
      <w:pPr>
        <w:spacing w:after="0" w:line="215" w:lineRule="exact"/>
        <w:rPr>
          <w:rFonts w:ascii="Arial" w:cs="Arial" w:eastAsia="Arial" w:hAnsi="Arial"/>
          <w:sz w:val="20"/>
          <w:szCs w:val="20"/>
          <w:b w:val="1"/>
          <w:bCs w:val="1"/>
          <w:color w:val="auto"/>
        </w:rPr>
      </w:pPr>
    </w:p>
    <w:p>
      <w:pPr>
        <w:jc w:val="both"/>
        <w:ind w:left="660"/>
        <w:spacing w:after="0" w:line="278" w:lineRule="auto"/>
        <w:rPr>
          <w:rFonts w:ascii="Arial" w:cs="Arial" w:eastAsia="Arial" w:hAnsi="Arial"/>
          <w:sz w:val="20"/>
          <w:szCs w:val="20"/>
          <w:b w:val="1"/>
          <w:bCs w:val="1"/>
          <w:color w:val="auto"/>
        </w:rPr>
      </w:pPr>
      <w:r>
        <w:rPr>
          <w:rFonts w:ascii="Arial" w:cs="Arial" w:eastAsia="Arial" w:hAnsi="Arial"/>
          <w:sz w:val="18"/>
          <w:szCs w:val="18"/>
          <w:color w:val="auto"/>
        </w:rPr>
        <w:t>“The term of this Agreement shall have a period lasting five (5) years from the Effective Date; provided, however, that if the term of a duly executed Statement of Work extends beyond the term of this Agreement, this Agreement shall end three (3) months after such Statement of Work is completed, expires or is terminated. During this three (3) month time frame, the Parties will discuss in good faith either a new development agreement for advanced STT-MRAM development or additional SOW’s to be executed under this Agreement.”</w:t>
      </w:r>
    </w:p>
    <w:p>
      <w:pPr>
        <w:spacing w:after="0" w:line="164" w:lineRule="exact"/>
        <w:rPr>
          <w:rFonts w:ascii="Arial" w:cs="Arial" w:eastAsia="Arial" w:hAnsi="Arial"/>
          <w:sz w:val="20"/>
          <w:szCs w:val="20"/>
          <w:b w:val="1"/>
          <w:bCs w:val="1"/>
          <w:color w:val="auto"/>
        </w:rPr>
      </w:pPr>
    </w:p>
    <w:p>
      <w:pPr>
        <w:ind w:left="660" w:hanging="652"/>
        <w:spacing w:after="0"/>
        <w:tabs>
          <w:tab w:leader="none" w:pos="660" w:val="left"/>
        </w:tabs>
        <w:numPr>
          <w:ilvl w:val="0"/>
          <w:numId w:val="54"/>
        </w:numPr>
        <w:rPr>
          <w:rFonts w:ascii="Arial" w:cs="Arial" w:eastAsia="Arial" w:hAnsi="Arial"/>
          <w:sz w:val="20"/>
          <w:szCs w:val="20"/>
          <w:b w:val="1"/>
          <w:bCs w:val="1"/>
          <w:color w:val="auto"/>
        </w:rPr>
      </w:pPr>
      <w:r>
        <w:rPr>
          <w:rFonts w:ascii="Arial" w:cs="Arial" w:eastAsia="Arial" w:hAnsi="Arial"/>
          <w:sz w:val="20"/>
          <w:szCs w:val="20"/>
          <w:color w:val="auto"/>
        </w:rPr>
        <w:t>The following shall be appended to the end of Section 2.4:</w:t>
      </w:r>
    </w:p>
    <w:p>
      <w:pPr>
        <w:spacing w:after="0" w:line="215" w:lineRule="exact"/>
        <w:rPr>
          <w:rFonts w:ascii="Arial" w:cs="Arial" w:eastAsia="Arial" w:hAnsi="Arial"/>
          <w:sz w:val="20"/>
          <w:szCs w:val="20"/>
          <w:b w:val="1"/>
          <w:bCs w:val="1"/>
          <w:color w:val="auto"/>
        </w:rPr>
      </w:pPr>
    </w:p>
    <w:p>
      <w:pPr>
        <w:ind w:left="660"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“Notwithstanding the escalation path described above, [*] and [*] shall [*]; provided it is consistent with [*], such as [*], and/or [*].”</w:t>
      </w:r>
    </w:p>
    <w:p>
      <w:pPr>
        <w:spacing w:after="0" w:line="176" w:lineRule="exact"/>
        <w:rPr>
          <w:rFonts w:ascii="Arial" w:cs="Arial" w:eastAsia="Arial" w:hAnsi="Arial"/>
          <w:sz w:val="20"/>
          <w:szCs w:val="20"/>
          <w:b w:val="1"/>
          <w:bCs w:val="1"/>
          <w:color w:val="auto"/>
        </w:rPr>
      </w:pPr>
    </w:p>
    <w:p>
      <w:pPr>
        <w:ind w:left="660" w:hanging="652"/>
        <w:spacing w:after="0"/>
        <w:tabs>
          <w:tab w:leader="none" w:pos="660" w:val="left"/>
        </w:tabs>
        <w:numPr>
          <w:ilvl w:val="0"/>
          <w:numId w:val="54"/>
        </w:numPr>
        <w:rPr>
          <w:rFonts w:ascii="Arial" w:cs="Arial" w:eastAsia="Arial" w:hAnsi="Arial"/>
          <w:sz w:val="20"/>
          <w:szCs w:val="20"/>
          <w:b w:val="1"/>
          <w:bCs w:val="1"/>
          <w:color w:val="auto"/>
        </w:rPr>
      </w:pPr>
      <w:r>
        <w:rPr>
          <w:rFonts w:ascii="Arial" w:cs="Arial" w:eastAsia="Arial" w:hAnsi="Arial"/>
          <w:sz w:val="20"/>
          <w:szCs w:val="20"/>
          <w:color w:val="auto"/>
        </w:rPr>
        <w:t>The following shall be appended to the end of Section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82" w:name="page83"/>
    <w:bookmarkEnd w:id="82"/>
    <w:p>
      <w:pPr>
        <w:ind w:right="480"/>
        <w:spacing w:after="0" w:line="288" w:lineRule="auto"/>
        <w:rPr>
          <w:sz w:val="20"/>
          <w:szCs w:val="20"/>
          <w:color w:val="auto"/>
        </w:rPr>
      </w:pPr>
      <w:r>
        <w:rPr>
          <w:rFonts w:ascii="Arial" w:cs="Arial" w:eastAsia="Arial" w:hAnsi="Arial"/>
          <w:sz w:val="19"/>
          <w:szCs w:val="19"/>
          <w:color w:val="auto"/>
        </w:rPr>
        <w:t>“Beginning in 2019, unless otherwise agreed upon by the Parties, Everspin will bear and pay exclusively for all Project Costs incurred for the [*] and GLOBALFOUNDRIES will bear and pay for all the Project Costs for the [*].”</w:t>
      </w:r>
    </w:p>
    <w:p>
      <w:pPr>
        <w:spacing w:after="0" w:line="152"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20"/>
          <w:szCs w:val="20"/>
          <w:b w:val="1"/>
          <w:bCs w:val="1"/>
          <w:color w:val="auto"/>
        </w:rPr>
      </w:pPr>
      <w:r>
        <w:rPr>
          <w:rFonts w:ascii="Arial" w:cs="Arial" w:eastAsia="Arial" w:hAnsi="Arial"/>
          <w:sz w:val="20"/>
          <w:szCs w:val="20"/>
          <w:color w:val="auto"/>
        </w:rPr>
        <w:t>Section 3.7 is deleted in its entirety and replaced with the following:</w:t>
      </w:r>
    </w:p>
    <w:p>
      <w:pPr>
        <w:spacing w:after="0" w:line="215" w:lineRule="exact"/>
        <w:rPr>
          <w:rFonts w:ascii="Arial" w:cs="Arial" w:eastAsia="Arial" w:hAnsi="Arial"/>
          <w:sz w:val="20"/>
          <w:szCs w:val="20"/>
          <w:b w:val="1"/>
          <w:bCs w:val="1"/>
          <w:color w:val="auto"/>
        </w:rPr>
      </w:pPr>
    </w:p>
    <w:p>
      <w:pPr>
        <w:ind w:left="660"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“For Project Costs incurred in 2018 (“2018 Project Costs”), Everspin shall pay GLOBALFOUNDRIES a maximum of [*] pursuant to the business processes and terms outlined in Section 3.4 of the Agreement.”</w:t>
      </w:r>
    </w:p>
    <w:p>
      <w:pPr>
        <w:spacing w:after="0" w:line="176" w:lineRule="exact"/>
        <w:rPr>
          <w:rFonts w:ascii="Arial" w:cs="Arial" w:eastAsia="Arial" w:hAnsi="Arial"/>
          <w:sz w:val="20"/>
          <w:szCs w:val="20"/>
          <w:b w:val="1"/>
          <w:bCs w:val="1"/>
          <w:color w:val="auto"/>
        </w:rPr>
      </w:pPr>
    </w:p>
    <w:p>
      <w:pPr>
        <w:ind w:left="660" w:hanging="652"/>
        <w:spacing w:after="0"/>
        <w:tabs>
          <w:tab w:leader="none" w:pos="660" w:val="left"/>
        </w:tabs>
        <w:numPr>
          <w:ilvl w:val="0"/>
          <w:numId w:val="55"/>
        </w:numPr>
        <w:rPr>
          <w:rFonts w:ascii="Arial" w:cs="Arial" w:eastAsia="Arial" w:hAnsi="Arial"/>
          <w:sz w:val="20"/>
          <w:szCs w:val="20"/>
          <w:b w:val="1"/>
          <w:bCs w:val="1"/>
          <w:color w:val="auto"/>
        </w:rPr>
      </w:pPr>
      <w:r>
        <w:rPr>
          <w:rFonts w:ascii="Arial" w:cs="Arial" w:eastAsia="Arial" w:hAnsi="Arial"/>
          <w:sz w:val="20"/>
          <w:szCs w:val="20"/>
          <w:color w:val="auto"/>
        </w:rPr>
        <w:t>Section 7.1.3 is deleted in its entirety and replaced with the following:</w:t>
      </w:r>
    </w:p>
    <w:p>
      <w:pPr>
        <w:spacing w:after="0" w:line="215" w:lineRule="exact"/>
        <w:rPr>
          <w:rFonts w:ascii="Arial" w:cs="Arial" w:eastAsia="Arial" w:hAnsi="Arial"/>
          <w:sz w:val="20"/>
          <w:szCs w:val="20"/>
          <w:b w:val="1"/>
          <w:bCs w:val="1"/>
          <w:color w:val="auto"/>
        </w:rPr>
      </w:pPr>
    </w:p>
    <w:p>
      <w:pPr>
        <w:jc w:val="both"/>
        <w:ind w:left="660"/>
        <w:spacing w:after="0" w:line="255" w:lineRule="auto"/>
        <w:rPr>
          <w:rFonts w:ascii="Arial" w:cs="Arial" w:eastAsia="Arial" w:hAnsi="Arial"/>
          <w:sz w:val="20"/>
          <w:szCs w:val="20"/>
          <w:b w:val="1"/>
          <w:bCs w:val="1"/>
          <w:color w:val="auto"/>
        </w:rPr>
      </w:pPr>
      <w:r>
        <w:rPr>
          <w:rFonts w:ascii="Arial" w:cs="Arial" w:eastAsia="Arial" w:hAnsi="Arial"/>
          <w:sz w:val="19"/>
          <w:szCs w:val="19"/>
          <w:color w:val="auto"/>
        </w:rPr>
        <w:t>“7.1.3 grant sublicenses thereunder (to the extent contained in the Design Information) solely to its customers, contractors, university collaborators and IP providers/EDA vendors, and to such customers’ contractors and IP providers/EDA vendors (collectively, “Everspin Sublicensees”), the sublicenses so granted to be of scope that includes only the GLOBALFOUNDRIES IP that is necessary to design, develop and test, or assist Everspin or Everspin customers with designing, developing and testing, STT-MRAM Devices to be manufactured solely by GLOBALFOUNDRIES, and that restricts such Everspin Sublicensees from using such GLOBALFOUNDRIES IP for any purposes other than designing, developing and testing, or assisting Everspin or Everspin customers with designing, developing and testing, such STT-MRAM Devices. If such Everspin Sublicensees are universities, Everspin will notify GLOBALFOUNDRIES and any publication related to STT-MRAM design, development or testing allowed under this Section 7.1.3 shall include an acknowledgement to Everspin and/or GLOBALFOUNDRIES as relevant, and;”</w:t>
      </w:r>
    </w:p>
    <w:p>
      <w:pPr>
        <w:spacing w:after="0" w:line="186" w:lineRule="exact"/>
        <w:rPr>
          <w:rFonts w:ascii="Arial" w:cs="Arial" w:eastAsia="Arial" w:hAnsi="Arial"/>
          <w:sz w:val="20"/>
          <w:szCs w:val="20"/>
          <w:b w:val="1"/>
          <w:bCs w:val="1"/>
          <w:color w:val="auto"/>
        </w:rPr>
      </w:pPr>
    </w:p>
    <w:p>
      <w:pPr>
        <w:ind w:left="660" w:hanging="652"/>
        <w:spacing w:after="0"/>
        <w:tabs>
          <w:tab w:leader="none" w:pos="660" w:val="left"/>
        </w:tabs>
        <w:numPr>
          <w:ilvl w:val="0"/>
          <w:numId w:val="55"/>
        </w:numPr>
        <w:rPr>
          <w:rFonts w:ascii="Arial" w:cs="Arial" w:eastAsia="Arial" w:hAnsi="Arial"/>
          <w:sz w:val="20"/>
          <w:szCs w:val="20"/>
          <w:b w:val="1"/>
          <w:bCs w:val="1"/>
          <w:color w:val="auto"/>
        </w:rPr>
      </w:pPr>
      <w:r>
        <w:rPr>
          <w:rFonts w:ascii="Arial" w:cs="Arial" w:eastAsia="Arial" w:hAnsi="Arial"/>
          <w:sz w:val="20"/>
          <w:szCs w:val="20"/>
          <w:color w:val="auto"/>
        </w:rPr>
        <w:t>Section 7.2.3 is deleted in its entirety and replaced with the following:</w:t>
      </w:r>
    </w:p>
    <w:p>
      <w:pPr>
        <w:spacing w:after="0" w:line="215" w:lineRule="exact"/>
        <w:rPr>
          <w:rFonts w:ascii="Arial" w:cs="Arial" w:eastAsia="Arial" w:hAnsi="Arial"/>
          <w:sz w:val="20"/>
          <w:szCs w:val="20"/>
          <w:b w:val="1"/>
          <w:bCs w:val="1"/>
          <w:color w:val="auto"/>
        </w:rPr>
      </w:pPr>
    </w:p>
    <w:p>
      <w:pPr>
        <w:jc w:val="both"/>
        <w:ind w:left="660"/>
        <w:spacing w:after="0" w:line="270" w:lineRule="auto"/>
        <w:rPr>
          <w:rFonts w:ascii="Arial" w:cs="Arial" w:eastAsia="Arial" w:hAnsi="Arial"/>
          <w:sz w:val="20"/>
          <w:szCs w:val="20"/>
          <w:b w:val="1"/>
          <w:bCs w:val="1"/>
          <w:color w:val="auto"/>
        </w:rPr>
      </w:pPr>
      <w:r>
        <w:rPr>
          <w:rFonts w:ascii="Arial" w:cs="Arial" w:eastAsia="Arial" w:hAnsi="Arial"/>
          <w:sz w:val="18"/>
          <w:szCs w:val="18"/>
          <w:color w:val="auto"/>
        </w:rPr>
        <w:t>“7.2.3 grant sublicenses thereunder (to the extent contained in the Design Information) to its Customers, contractors, university collaborators and IP providers/EDA vendors, and to such customers’ contractors and IP providers/EDA vendors, (collectively, “GLOBALFOUNDRIES Sublicensees”), the sublicenses so granted to be of scope that includes only the Everspin IP that is necessary to design, develop and test, or assist GLOBALFOUNDRIES or GLOBALFOUNDRIES Customers with designing, developing and testing, STT-MRAM Devices to be manufactured solely by GLOBALFOUNDRIES, and that restricts such GLOBALFOUNDRIES Sublicensees from using such Everspin IP for any purposes other than designing, developing and testing, or assisting GLOBALFOUNDRIES or GLOBALFOUNDRIES Customers with designing, developing and testing, such STT-MRAM Devices; provided that during the Exclusivity Period for any STT-MRAM Device no sublicense granted pursuant to this Section 7.2.3 shall include the ability for the third party to design and develop STT-MRAM Devices which [*]. If such GLOBALFOUNDRIES Sublicensees are universities, GLOBALFOUNDRIES will notify Everspin and any publication related to STT-MRAM design, development or testing allowed under this Section</w:t>
      </w:r>
    </w:p>
    <w:p>
      <w:pPr>
        <w:spacing w:after="0" w:line="175"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7.2.3 shall include an acknowledgement to Everspin and/or GLOBALFOUNDRIES as relevant, and”</w:t>
      </w:r>
    </w:p>
    <w:p>
      <w:pPr>
        <w:spacing w:after="0" w:line="215" w:lineRule="exact"/>
        <w:rPr>
          <w:rFonts w:ascii="Arial" w:cs="Arial" w:eastAsia="Arial" w:hAnsi="Arial"/>
          <w:sz w:val="20"/>
          <w:szCs w:val="20"/>
          <w:b w:val="1"/>
          <w:bCs w:val="1"/>
          <w:color w:val="auto"/>
        </w:rPr>
      </w:pPr>
    </w:p>
    <w:p>
      <w:pPr>
        <w:ind w:left="660" w:hanging="652"/>
        <w:spacing w:after="0"/>
        <w:tabs>
          <w:tab w:leader="none" w:pos="660" w:val="left"/>
        </w:tabs>
        <w:numPr>
          <w:ilvl w:val="0"/>
          <w:numId w:val="55"/>
        </w:numPr>
        <w:rPr>
          <w:rFonts w:ascii="Arial" w:cs="Arial" w:eastAsia="Arial" w:hAnsi="Arial"/>
          <w:sz w:val="20"/>
          <w:szCs w:val="20"/>
          <w:b w:val="1"/>
          <w:bCs w:val="1"/>
          <w:color w:val="auto"/>
        </w:rPr>
      </w:pPr>
      <w:r>
        <w:rPr>
          <w:rFonts w:ascii="Arial" w:cs="Arial" w:eastAsia="Arial" w:hAnsi="Arial"/>
          <w:sz w:val="20"/>
          <w:szCs w:val="20"/>
          <w:color w:val="auto"/>
        </w:rPr>
        <w:t>The following shall be added as Section 7.4.3: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3" w:name="page84"/>
    <w:bookmarkEnd w:id="83"/>
    <w:p>
      <w:pPr>
        <w:jc w:val="both"/>
        <w:ind w:left="660"/>
        <w:spacing w:after="0" w:line="270" w:lineRule="auto"/>
        <w:rPr>
          <w:sz w:val="20"/>
          <w:szCs w:val="20"/>
          <w:color w:val="auto"/>
        </w:rPr>
      </w:pPr>
      <w:r>
        <w:rPr>
          <w:rFonts w:ascii="Arial" w:cs="Arial" w:eastAsia="Arial" w:hAnsi="Arial"/>
          <w:sz w:val="18"/>
          <w:szCs w:val="18"/>
          <w:color w:val="auto"/>
        </w:rPr>
        <w:t>“7.4.3. In the event that, prior to the expiration of the relevant Exclusivity Period, GLOBALFOUNDRIES unilaterally and without prior warning, issues an end of life notice as permitted under the MA for an Everspin Discrete STT-MRAM Device, the Parties mutually agree (acting in good faith) to negotiate either (i) a have-made license, which may include either license fees and/or royalties, to Everspin under the GLOBALFOUNDRIES IP to enable the manufacture of Discrete STT-MRAM Devices for Everspin, such license to include transition support if needed to enable another foundry, or (ii) another commercially reasonable plan to continue manufacture of such Discrete STT-MRAM Device by GLOBALFOUNDRIES for a minimum of [*] or until such date as another foundry has been identified and qualified for volume production. Failure to come to mutual agreement on (i) or (ii) above shall not constitute a breach of the Agreement. Neither Party will rely on the successful conclusion of such negotiations and any business decision either Party makes in anticipation of reaching agreement is at the sole risk of the Party making the decision, even if the other Party is aware of, or has indicated approval of, such decision. Each Party will be responsible for its own expenses and costs related to these discussions and neither Party is authorized to make any commitments or statements on behalf of the other.”</w:t>
      </w:r>
    </w:p>
    <w:p>
      <w:pPr>
        <w:spacing w:after="0" w:line="174"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0"/>
          <w:szCs w:val="20"/>
          <w:b w:val="1"/>
          <w:bCs w:val="1"/>
          <w:color w:val="auto"/>
        </w:rPr>
      </w:pPr>
      <w:r>
        <w:rPr>
          <w:rFonts w:ascii="Arial" w:cs="Arial" w:eastAsia="Arial" w:hAnsi="Arial"/>
          <w:sz w:val="20"/>
          <w:szCs w:val="20"/>
          <w:color w:val="auto"/>
        </w:rPr>
        <w:t>The following shall be added as Section 12.5:</w:t>
      </w:r>
    </w:p>
    <w:p>
      <w:pPr>
        <w:spacing w:after="0" w:line="215" w:lineRule="exact"/>
        <w:rPr>
          <w:rFonts w:ascii="Arial" w:cs="Arial" w:eastAsia="Arial" w:hAnsi="Arial"/>
          <w:sz w:val="20"/>
          <w:szCs w:val="20"/>
          <w:b w:val="1"/>
          <w:bCs w:val="1"/>
          <w:color w:val="auto"/>
        </w:rPr>
      </w:pPr>
    </w:p>
    <w:p>
      <w:pPr>
        <w:jc w:val="both"/>
        <w:ind w:left="660"/>
        <w:spacing w:after="0" w:line="291" w:lineRule="auto"/>
        <w:rPr>
          <w:rFonts w:ascii="Arial" w:cs="Arial" w:eastAsia="Arial" w:hAnsi="Arial"/>
          <w:sz w:val="20"/>
          <w:szCs w:val="20"/>
          <w:b w:val="1"/>
          <w:bCs w:val="1"/>
          <w:color w:val="auto"/>
        </w:rPr>
      </w:pPr>
      <w:r>
        <w:rPr>
          <w:rFonts w:ascii="Arial" w:cs="Arial" w:eastAsia="Arial" w:hAnsi="Arial"/>
          <w:sz w:val="18"/>
          <w:szCs w:val="18"/>
          <w:color w:val="auto"/>
        </w:rPr>
        <w:t>“12.5. Should Everspin terminate this Agreement for cause pursuant to Section 12.1.1 solely as a result of GLOBALFOUNDRIES’ breach of Section 7.4.3, then Sections 2.4, 3.4, 3.7, 4, 6 through 9 (other than 7.2, 7.3, 7.4, 7.6, 8.2 and 8.3), and 12 through 17 (other than 13.2), 20, 21.4, and 21.8 will survive expiration of this Agreement.”</w:t>
      </w:r>
    </w:p>
    <w:p>
      <w:pPr>
        <w:spacing w:after="0" w:line="151" w:lineRule="exact"/>
        <w:rPr>
          <w:rFonts w:ascii="Arial" w:cs="Arial" w:eastAsia="Arial" w:hAnsi="Arial"/>
          <w:sz w:val="20"/>
          <w:szCs w:val="20"/>
          <w:b w:val="1"/>
          <w:bCs w:val="1"/>
          <w:color w:val="auto"/>
        </w:rPr>
      </w:pPr>
    </w:p>
    <w:p>
      <w:pPr>
        <w:ind w:left="660" w:hanging="652"/>
        <w:spacing w:after="0"/>
        <w:tabs>
          <w:tab w:leader="none" w:pos="660" w:val="left"/>
        </w:tabs>
        <w:numPr>
          <w:ilvl w:val="0"/>
          <w:numId w:val="56"/>
        </w:numPr>
        <w:rPr>
          <w:rFonts w:ascii="Arial" w:cs="Arial" w:eastAsia="Arial" w:hAnsi="Arial"/>
          <w:sz w:val="20"/>
          <w:szCs w:val="20"/>
          <w:b w:val="1"/>
          <w:bCs w:val="1"/>
          <w:color w:val="auto"/>
        </w:rPr>
      </w:pPr>
      <w:r>
        <w:rPr>
          <w:rFonts w:ascii="Arial" w:cs="Arial" w:eastAsia="Arial" w:hAnsi="Arial"/>
          <w:sz w:val="20"/>
          <w:szCs w:val="20"/>
          <w:color w:val="auto"/>
        </w:rPr>
        <w:t>Section 17.1 is deleted in its entirety and replaced with the following :</w:t>
      </w:r>
    </w:p>
    <w:p>
      <w:pPr>
        <w:spacing w:after="0" w:line="215" w:lineRule="exact"/>
        <w:rPr>
          <w:rFonts w:ascii="Arial" w:cs="Arial" w:eastAsia="Arial" w:hAnsi="Arial"/>
          <w:sz w:val="20"/>
          <w:szCs w:val="20"/>
          <w:b w:val="1"/>
          <w:bCs w:val="1"/>
          <w:color w:val="auto"/>
        </w:rPr>
      </w:pPr>
    </w:p>
    <w:p>
      <w:pPr>
        <w:jc w:val="both"/>
        <w:ind w:left="660"/>
        <w:spacing w:after="0" w:line="282" w:lineRule="auto"/>
        <w:rPr>
          <w:rFonts w:ascii="Arial" w:cs="Arial" w:eastAsia="Arial" w:hAnsi="Arial"/>
          <w:sz w:val="20"/>
          <w:szCs w:val="20"/>
          <w:b w:val="1"/>
          <w:bCs w:val="1"/>
          <w:color w:val="auto"/>
        </w:rPr>
      </w:pPr>
      <w:r>
        <w:rPr>
          <w:rFonts w:ascii="Arial" w:cs="Arial" w:eastAsia="Arial" w:hAnsi="Arial"/>
          <w:sz w:val="18"/>
          <w:szCs w:val="18"/>
          <w:color w:val="auto"/>
        </w:rPr>
        <w:t>“In the event GLOBALFOUNDRIES manufactures and sells or transfer wafers containing production qualified Embedded STT-MRAM Devices that utilize Design Information to Customers (“Royalty Wafer”), then pursuant to Section 17.4 GLOBALFOUNDRIES shall pay Everspin a royalty percentage of the net selling price, excluding all amounts for bump, packaging and test, for each Royalty Wafer as shown below (“Royalty Amount”).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17.1.1 For the first one thousand (1,000) Royalty Wafers sold or transferred to Customers, a royalty of [*]%.</w:t>
      </w:r>
    </w:p>
    <w:p>
      <w:pPr>
        <w:spacing w:after="0" w:line="239"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17.1.2 For all Royalty Wafers sold or transferred to Customers during the [*] years following the period set forth in Section 17.1.1, a royalty of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4" w:name="page85"/>
    <w:bookmarkEnd w:id="84"/>
    <w:p>
      <w:pPr>
        <w:ind w:left="1300"/>
        <w:spacing w:after="0" w:line="261" w:lineRule="auto"/>
        <w:rPr>
          <w:sz w:val="20"/>
          <w:szCs w:val="20"/>
          <w:color w:val="auto"/>
        </w:rPr>
      </w:pPr>
      <w:r>
        <w:rPr>
          <w:rFonts w:ascii="Arial" w:cs="Arial" w:eastAsia="Arial" w:hAnsi="Arial"/>
          <w:sz w:val="20"/>
          <w:szCs w:val="20"/>
          <w:color w:val="auto"/>
        </w:rPr>
        <w:t>17.1.3 For all Royalty Wafers sold or transferred to Customers during the [*] years following the period set forth in Section 17.1.2, a royalty of [*]%.</w:t>
      </w:r>
    </w:p>
    <w:p>
      <w:pPr>
        <w:spacing w:after="0" w:line="176" w:lineRule="exact"/>
        <w:rPr>
          <w:sz w:val="20"/>
          <w:szCs w:val="20"/>
          <w:color w:val="auto"/>
        </w:rPr>
      </w:pPr>
    </w:p>
    <w:p>
      <w:pPr>
        <w:ind w:left="660" w:right="40"/>
        <w:spacing w:after="0" w:line="260" w:lineRule="auto"/>
        <w:rPr>
          <w:sz w:val="20"/>
          <w:szCs w:val="20"/>
          <w:color w:val="auto"/>
        </w:rPr>
      </w:pPr>
      <w:r>
        <w:rPr>
          <w:rFonts w:ascii="Arial" w:cs="Arial" w:eastAsia="Arial" w:hAnsi="Arial"/>
          <w:sz w:val="20"/>
          <w:szCs w:val="20"/>
          <w:color w:val="auto"/>
        </w:rPr>
        <w:t>GLOBALFOUNDRIES’ obligation to pay any royalties to Everspin pursuant to this Agreement will terminate when the time period set forth in Section 17.1.3 has passed.”</w:t>
      </w:r>
    </w:p>
    <w:p>
      <w:pPr>
        <w:spacing w:after="0" w:line="177"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20"/>
          <w:szCs w:val="20"/>
          <w:b w:val="1"/>
          <w:bCs w:val="1"/>
          <w:color w:val="auto"/>
        </w:rPr>
      </w:pPr>
      <w:r>
        <w:rPr>
          <w:rFonts w:ascii="Arial" w:cs="Arial" w:eastAsia="Arial" w:hAnsi="Arial"/>
          <w:sz w:val="20"/>
          <w:szCs w:val="20"/>
          <w:color w:val="auto"/>
        </w:rPr>
        <w:t>Miscellaneous</w:t>
      </w:r>
    </w:p>
    <w:p>
      <w:pPr>
        <w:spacing w:after="0" w:line="215" w:lineRule="exact"/>
        <w:rPr>
          <w:rFonts w:ascii="Arial" w:cs="Arial" w:eastAsia="Arial" w:hAnsi="Arial"/>
          <w:sz w:val="20"/>
          <w:szCs w:val="20"/>
          <w:b w:val="1"/>
          <w:bCs w:val="1"/>
          <w:color w:val="auto"/>
        </w:rPr>
      </w:pPr>
    </w:p>
    <w:p>
      <w:pPr>
        <w:jc w:val="both"/>
        <w:ind w:left="660"/>
        <w:spacing w:after="0" w:line="263" w:lineRule="auto"/>
        <w:rPr>
          <w:rFonts w:ascii="Arial" w:cs="Arial" w:eastAsia="Arial" w:hAnsi="Arial"/>
          <w:sz w:val="20"/>
          <w:szCs w:val="20"/>
          <w:b w:val="1"/>
          <w:bCs w:val="1"/>
          <w:color w:val="auto"/>
        </w:rPr>
      </w:pPr>
      <w:r>
        <w:rPr>
          <w:rFonts w:ascii="Arial" w:cs="Arial" w:eastAsia="Arial" w:hAnsi="Arial"/>
          <w:sz w:val="19"/>
          <w:szCs w:val="19"/>
          <w:color w:val="auto"/>
        </w:rPr>
        <w:t>All references to the Agreement in any other document shall be deemed to refer to the Agreement as modified by this Amendment No. 3. Except as modified by this Amendment No. 3, all of the terms and conditions of the Agreement shall remain in full force and effect. In the event that the terms of this Amendment No. 3 conflict with the terms of the Agreement, the terms of this Amendment No. 3 shall control.</w:t>
      </w:r>
    </w:p>
    <w:p>
      <w:pPr>
        <w:spacing w:after="0" w:line="176" w:lineRule="exact"/>
        <w:rPr>
          <w:rFonts w:ascii="Arial" w:cs="Arial" w:eastAsia="Arial" w:hAnsi="Arial"/>
          <w:sz w:val="20"/>
          <w:szCs w:val="20"/>
          <w:b w:val="1"/>
          <w:bCs w:val="1"/>
          <w:color w:val="auto"/>
        </w:rPr>
      </w:pPr>
    </w:p>
    <w:p>
      <w:pPr>
        <w:ind w:left="660" w:hanging="652"/>
        <w:spacing w:after="0"/>
        <w:tabs>
          <w:tab w:leader="none" w:pos="660" w:val="left"/>
        </w:tabs>
        <w:numPr>
          <w:ilvl w:val="0"/>
          <w:numId w:val="57"/>
        </w:numPr>
        <w:rPr>
          <w:rFonts w:ascii="Arial" w:cs="Arial" w:eastAsia="Arial" w:hAnsi="Arial"/>
          <w:sz w:val="20"/>
          <w:szCs w:val="20"/>
          <w:b w:val="1"/>
          <w:bCs w:val="1"/>
          <w:color w:val="auto"/>
        </w:rPr>
      </w:pPr>
      <w:r>
        <w:rPr>
          <w:rFonts w:ascii="Arial" w:cs="Arial" w:eastAsia="Arial" w:hAnsi="Arial"/>
          <w:sz w:val="20"/>
          <w:szCs w:val="20"/>
          <w:color w:val="auto"/>
        </w:rPr>
        <w:t>EXECUTION</w:t>
      </w:r>
    </w:p>
    <w:p>
      <w:pPr>
        <w:spacing w:after="0" w:line="215" w:lineRule="exact"/>
        <w:rPr>
          <w:rFonts w:ascii="Arial" w:cs="Arial" w:eastAsia="Arial" w:hAnsi="Arial"/>
          <w:sz w:val="20"/>
          <w:szCs w:val="20"/>
          <w:b w:val="1"/>
          <w:bCs w:val="1"/>
          <w:color w:val="auto"/>
        </w:rPr>
      </w:pPr>
    </w:p>
    <w:p>
      <w:pPr>
        <w:jc w:val="both"/>
        <w:ind w:left="66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This Amendment No. 3 may be executed in any number of counterpart originals, each of which shall be deemed an original instrument for all purposes, but all of which shall comprise one and the same instrument. This Amendment No. 3 may be delivered by electronic mail or facsimile, and a scanned version of this Amendment No. 3 shall be binding as an original.</w:t>
      </w:r>
    </w:p>
    <w:p>
      <w:pPr>
        <w:spacing w:after="0" w:line="19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IN WITNESS WHEREOF, the parties have caused this Amendment to be executed by their duly authorized representatives, effective as of the Amendment Effective Date.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Everspin Technologies, Inc.</w:t>
            </w:r>
          </w:p>
        </w:tc>
        <w:tc>
          <w:tcPr>
            <w:tcW w:w="920" w:type="dxa"/>
            <w:vAlign w:val="bottom"/>
          </w:tcPr>
          <w:p>
            <w:pPr>
              <w:spacing w:after="0"/>
              <w:rPr>
                <w:sz w:val="20"/>
                <w:szCs w:val="20"/>
                <w:color w:val="auto"/>
              </w:rPr>
            </w:pPr>
          </w:p>
        </w:tc>
        <w:tc>
          <w:tcPr>
            <w:tcW w:w="4920" w:type="dxa"/>
            <w:vAlign w:val="bottom"/>
            <w:gridSpan w:val="2"/>
          </w:tcPr>
          <w:p>
            <w:pPr>
              <w:ind w:left="220"/>
              <w:spacing w:after="0"/>
              <w:rPr>
                <w:sz w:val="20"/>
                <w:szCs w:val="20"/>
                <w:color w:val="auto"/>
              </w:rPr>
            </w:pPr>
            <w:r>
              <w:rPr>
                <w:rFonts w:ascii="Arial" w:cs="Arial" w:eastAsia="Arial" w:hAnsi="Arial"/>
                <w:sz w:val="18"/>
                <w:szCs w:val="18"/>
                <w:b w:val="1"/>
                <w:bCs w:val="1"/>
                <w:color w:val="auto"/>
              </w:rPr>
              <w:t>GLOBALFOUNDRIES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/s/ Angelo Ugge</w:t>
            </w:r>
          </w:p>
        </w:tc>
        <w:tc>
          <w:tcPr>
            <w:tcW w:w="92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18"/>
                <w:szCs w:val="18"/>
                <w:color w:val="auto"/>
              </w:rPr>
              <w:t>By:</w:t>
            </w:r>
          </w:p>
        </w:tc>
        <w:tc>
          <w:tcPr>
            <w:tcW w:w="4060" w:type="dxa"/>
            <w:vAlign w:val="bottom"/>
          </w:tcPr>
          <w:p>
            <w:pPr>
              <w:spacing w:after="0"/>
              <w:rPr>
                <w:sz w:val="20"/>
                <w:szCs w:val="20"/>
                <w:color w:val="auto"/>
              </w:rPr>
            </w:pPr>
            <w:r>
              <w:rPr>
                <w:rFonts w:ascii="Arial" w:cs="Arial" w:eastAsia="Arial" w:hAnsi="Arial"/>
                <w:sz w:val="18"/>
                <w:szCs w:val="18"/>
                <w:color w:val="auto"/>
              </w:rPr>
              <w:t>/s/ David Bennett</w:t>
            </w:r>
          </w:p>
        </w:tc>
      </w:tr>
      <w:tr>
        <w:trPr>
          <w:trHeight w:val="411"/>
        </w:trPr>
        <w:tc>
          <w:tcPr>
            <w:tcW w:w="600" w:type="dxa"/>
            <w:vAlign w:val="bottom"/>
          </w:tcPr>
          <w:p>
            <w:pPr>
              <w:spacing w:after="0"/>
              <w:rPr>
                <w:sz w:val="20"/>
                <w:szCs w:val="20"/>
                <w:color w:val="auto"/>
              </w:rPr>
            </w:pPr>
            <w:r>
              <w:rPr>
                <w:rFonts w:ascii="Arial" w:cs="Arial" w:eastAsia="Arial" w:hAnsi="Arial"/>
                <w:sz w:val="18"/>
                <w:szCs w:val="18"/>
                <w:color w:val="auto"/>
              </w:rPr>
              <w:t>Printed</w:t>
            </w:r>
          </w:p>
        </w:tc>
        <w:tc>
          <w:tcPr>
            <w:tcW w:w="60" w:type="dxa"/>
            <w:vAlign w:val="bottom"/>
          </w:tcPr>
          <w:p>
            <w:pPr>
              <w:spacing w:after="0"/>
              <w:rPr>
                <w:sz w:val="24"/>
                <w:szCs w:val="24"/>
                <w:color w:val="auto"/>
              </w:rPr>
            </w:pPr>
          </w:p>
        </w:tc>
        <w:tc>
          <w:tcPr>
            <w:tcW w:w="34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18"/>
                <w:szCs w:val="18"/>
                <w:color w:val="auto"/>
              </w:rPr>
              <w:t>Printed</w:t>
            </w:r>
          </w:p>
        </w:tc>
        <w:tc>
          <w:tcPr>
            <w:tcW w:w="4060" w:type="dxa"/>
            <w:vAlign w:val="bottom"/>
            <w:tcBorders>
              <w:top w:val="single" w:sz="8" w:color="auto"/>
            </w:tcBorders>
          </w:tcPr>
          <w:p>
            <w:pPr>
              <w:spacing w:after="0"/>
              <w:rPr>
                <w:sz w:val="24"/>
                <w:szCs w:val="24"/>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Angelo Ugge</w:t>
            </w:r>
          </w:p>
        </w:tc>
        <w:tc>
          <w:tcPr>
            <w:tcW w:w="920" w:type="dxa"/>
            <w:vAlign w:val="bottom"/>
          </w:tcPr>
          <w:p>
            <w:pPr>
              <w:spacing w:after="0"/>
              <w:rPr>
                <w:sz w:val="20"/>
                <w:szCs w:val="20"/>
                <w:color w:val="auto"/>
              </w:rPr>
            </w:pPr>
          </w:p>
        </w:tc>
        <w:tc>
          <w:tcPr>
            <w:tcW w:w="860" w:type="dxa"/>
            <w:vAlign w:val="bottom"/>
          </w:tcPr>
          <w:p>
            <w:pPr>
              <w:ind w:left="220"/>
              <w:spacing w:after="0"/>
              <w:rPr>
                <w:sz w:val="20"/>
                <w:szCs w:val="20"/>
                <w:color w:val="auto"/>
              </w:rPr>
            </w:pPr>
            <w:r>
              <w:rPr>
                <w:rFonts w:ascii="Arial" w:cs="Arial" w:eastAsia="Arial" w:hAnsi="Arial"/>
                <w:sz w:val="18"/>
                <w:szCs w:val="18"/>
                <w:color w:val="auto"/>
              </w:rPr>
              <w:t>Name:</w:t>
            </w:r>
          </w:p>
        </w:tc>
        <w:tc>
          <w:tcPr>
            <w:tcW w:w="4060" w:type="dxa"/>
            <w:vAlign w:val="bottom"/>
          </w:tcPr>
          <w:p>
            <w:pPr>
              <w:spacing w:after="0"/>
              <w:rPr>
                <w:sz w:val="20"/>
                <w:szCs w:val="20"/>
                <w:color w:val="auto"/>
              </w:rPr>
            </w:pPr>
            <w:r>
              <w:rPr>
                <w:rFonts w:ascii="Arial" w:cs="Arial" w:eastAsia="Arial" w:hAnsi="Arial"/>
                <w:sz w:val="18"/>
                <w:szCs w:val="18"/>
                <w:color w:val="auto"/>
              </w:rPr>
              <w:t>David Bennett</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r>
      <w:tr>
        <w:trPr>
          <w:trHeight w:val="425"/>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Vice President, Corp. Business Dev.</w:t>
            </w:r>
          </w:p>
        </w:tc>
        <w:tc>
          <w:tcPr>
            <w:tcW w:w="92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VP, Strategic Agreements &amp; Initiatives</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r>
      <w:tr>
        <w:trPr>
          <w:trHeight w:val="858"/>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780" w:type="dxa"/>
            <w:vAlign w:val="bottom"/>
            <w:gridSpan w:val="2"/>
          </w:tcPr>
          <w:p>
            <w:pPr>
              <w:jc w:val="right"/>
              <w:ind w:right="770"/>
              <w:spacing w:after="0"/>
              <w:rPr>
                <w:sz w:val="20"/>
                <w:szCs w:val="20"/>
                <w:color w:val="auto"/>
              </w:rPr>
            </w:pPr>
            <w:r>
              <w:rPr>
                <w:rFonts w:ascii="Arial" w:cs="Arial" w:eastAsia="Arial" w:hAnsi="Arial"/>
                <w:sz w:val="18"/>
                <w:szCs w:val="18"/>
                <w:color w:val="auto"/>
              </w:rPr>
              <w:t>4</w:t>
            </w:r>
          </w:p>
        </w:tc>
        <w:tc>
          <w:tcPr>
            <w:tcW w:w="4060" w:type="dxa"/>
            <w:vAlign w:val="bottom"/>
          </w:tcPr>
          <w:p>
            <w:pPr>
              <w:spacing w:after="0"/>
              <w:rPr>
                <w:sz w:val="24"/>
                <w:szCs w:val="24"/>
                <w:color w:val="auto"/>
              </w:rPr>
            </w:pPr>
          </w:p>
        </w:tc>
      </w:tr>
      <w:tr>
        <w:trPr>
          <w:trHeight w:val="560"/>
        </w:trPr>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85" w:name="page86"/>
    <w:bookmarkEnd w:id="85"/>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Sanjeev Aggarwal, certify that:</w:t>
      </w:r>
    </w:p>
    <w:p>
      <w:pPr>
        <w:spacing w:after="0" w:line="225" w:lineRule="exact"/>
        <w:rPr>
          <w:sz w:val="20"/>
          <w:szCs w:val="20"/>
          <w:color w:val="auto"/>
        </w:rPr>
      </w:pPr>
    </w:p>
    <w:p>
      <w:pPr>
        <w:ind w:left="380" w:hanging="330"/>
        <w:spacing w:after="0"/>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80" w:right="239" w:hanging="330"/>
        <w:spacing w:after="0" w:line="278" w:lineRule="auto"/>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7"/>
          <w:szCs w:val="17"/>
          <w:color w:val="auto"/>
        </w:rPr>
      </w:pPr>
    </w:p>
    <w:p>
      <w:pPr>
        <w:jc w:val="both"/>
        <w:ind w:left="380" w:right="59" w:hanging="6"/>
        <w:spacing w:after="0" w:line="254" w:lineRule="auto"/>
        <w:tabs>
          <w:tab w:leader="none" w:pos="66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Arial" w:cs="Arial" w:eastAsia="Arial" w:hAnsi="Arial"/>
          <w:sz w:val="18"/>
          <w:szCs w:val="18"/>
          <w:color w:val="auto"/>
        </w:rPr>
      </w:pPr>
    </w:p>
    <w:p>
      <w:pPr>
        <w:jc w:val="both"/>
        <w:ind w:left="380" w:right="59" w:hanging="6"/>
        <w:spacing w:after="0" w:line="254" w:lineRule="auto"/>
        <w:tabs>
          <w:tab w:leader="none" w:pos="644"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Arial" w:cs="Arial" w:eastAsia="Arial" w:hAnsi="Arial"/>
          <w:sz w:val="18"/>
          <w:szCs w:val="18"/>
          <w:color w:val="auto"/>
        </w:rPr>
      </w:pPr>
    </w:p>
    <w:p>
      <w:pPr>
        <w:jc w:val="both"/>
        <w:ind w:left="380" w:right="59" w:hanging="6"/>
        <w:spacing w:after="0" w:line="263" w:lineRule="auto"/>
        <w:tabs>
          <w:tab w:leader="none" w:pos="641"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80" w:right="59" w:hanging="6"/>
        <w:spacing w:after="0" w:line="254" w:lineRule="auto"/>
        <w:tabs>
          <w:tab w:leader="none" w:pos="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jc w:val="both"/>
        <w:ind w:left="380" w:right="319" w:hanging="330"/>
        <w:spacing w:after="0" w:line="263" w:lineRule="auto"/>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380" w:right="59" w:hanging="6"/>
        <w:spacing w:after="0" w:line="263" w:lineRule="auto"/>
        <w:tabs>
          <w:tab w:leader="none" w:pos="643"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80" w:right="79" w:hanging="6"/>
        <w:spacing w:after="0" w:line="277" w:lineRule="auto"/>
        <w:tabs>
          <w:tab w:leader="none" w:pos="648"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2, 2023</w:t>
      </w:r>
    </w:p>
    <w:p>
      <w:pPr>
        <w:spacing w:after="0" w:line="23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Sanjeev Aggarwal</w:t>
      </w:r>
    </w:p>
    <w:p>
      <w:pPr>
        <w:spacing w:after="0" w:line="3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-130175</wp:posOffset>
            </wp:positionV>
            <wp:extent cx="25031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Chief Executive Officer</w:t>
      </w:r>
    </w:p>
    <w:p>
      <w:pPr>
        <w:spacing w:after="0" w:line="11"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484505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6" w:name="page87"/>
    <w:bookmarkEnd w:id="86"/>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Anuj Aggarwal, certify that:</w:t>
      </w:r>
    </w:p>
    <w:p>
      <w:pPr>
        <w:spacing w:after="0" w:line="225" w:lineRule="exact"/>
        <w:rPr>
          <w:sz w:val="20"/>
          <w:szCs w:val="20"/>
          <w:color w:val="auto"/>
        </w:rPr>
      </w:pPr>
    </w:p>
    <w:p>
      <w:pPr>
        <w:ind w:left="700" w:hanging="32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225" w:lineRule="exact"/>
        <w:rPr>
          <w:rFonts w:ascii="Arial" w:cs="Arial" w:eastAsia="Arial" w:hAnsi="Arial"/>
          <w:sz w:val="18"/>
          <w:szCs w:val="18"/>
          <w:color w:val="auto"/>
        </w:rPr>
      </w:pPr>
    </w:p>
    <w:p>
      <w:pPr>
        <w:ind w:left="700" w:right="299" w:hanging="326"/>
        <w:spacing w:after="0" w:line="263"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00" w:right="179" w:hanging="326"/>
        <w:spacing w:after="0" w:line="263"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700" w:right="219" w:hanging="326"/>
        <w:spacing w:after="0" w:line="303" w:lineRule="auto"/>
        <w:tabs>
          <w:tab w:leader="none" w:pos="7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6"/>
          <w:szCs w:val="16"/>
          <w:color w:val="auto"/>
        </w:rPr>
      </w:pPr>
    </w:p>
    <w:p>
      <w:pPr>
        <w:jc w:val="both"/>
        <w:ind w:left="1020" w:right="79" w:hanging="322"/>
        <w:spacing w:after="0" w:line="254"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jc w:val="both"/>
        <w:ind w:left="1020" w:right="79" w:hanging="322"/>
        <w:spacing w:after="0" w:line="259"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jc w:val="both"/>
        <w:ind w:left="1020" w:right="79" w:hanging="322"/>
        <w:spacing w:after="0" w:line="263"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020" w:right="79" w:hanging="322"/>
        <w:spacing w:after="0" w:line="259"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ind w:left="700" w:right="399" w:hanging="326"/>
        <w:spacing w:after="0" w:line="263"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020" w:right="79" w:hanging="322"/>
        <w:spacing w:after="0" w:line="263"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020" w:right="79" w:hanging="322"/>
        <w:spacing w:after="0" w:line="277"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2, 2023</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/s/Anuj Aggarwal</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-130175</wp:posOffset>
            </wp:positionV>
            <wp:extent cx="23577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7" w:name="page88"/>
    <w:bookmarkEnd w:id="87"/>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9" w:lineRule="exact"/>
        <w:rPr>
          <w:sz w:val="20"/>
          <w:szCs w:val="20"/>
          <w:color w:val="auto"/>
        </w:rPr>
      </w:pPr>
    </w:p>
    <w:p>
      <w:pPr>
        <w:ind w:left="60" w:right="199"/>
        <w:spacing w:after="0" w:line="25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Sanjeev Aggarwal, Chief Executive Officer of Everspin Technologies, Inc. (the “Company”), and Anuj Aggarwal, Chief Financial Officer of the Company, each hereby certifies that, to the best of his knowledge:</w:t>
      </w:r>
    </w:p>
    <w:p>
      <w:pPr>
        <w:spacing w:after="0" w:line="190" w:lineRule="exact"/>
        <w:rPr>
          <w:sz w:val="20"/>
          <w:szCs w:val="20"/>
          <w:color w:val="auto"/>
        </w:rPr>
      </w:pPr>
    </w:p>
    <w:p>
      <w:pPr>
        <w:jc w:val="both"/>
        <w:ind w:left="60" w:right="159" w:hanging="10"/>
        <w:spacing w:after="0" w:line="263" w:lineRule="auto"/>
        <w:tabs>
          <w:tab w:leader="none" w:pos="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2023, to which this Certification is attached as Exhibit 32.1 (the “Periodic Report”), fully complies with the requirements of Section 13(a) or Section 15(d) of the Exchange Act; and</w:t>
      </w:r>
    </w:p>
    <w:p>
      <w:pPr>
        <w:spacing w:after="0" w:line="183" w:lineRule="exact"/>
        <w:rPr>
          <w:rFonts w:ascii="Arial" w:cs="Arial" w:eastAsia="Arial" w:hAnsi="Arial"/>
          <w:sz w:val="18"/>
          <w:szCs w:val="18"/>
          <w:color w:val="auto"/>
        </w:rPr>
      </w:pPr>
    </w:p>
    <w:p>
      <w:pPr>
        <w:ind w:left="60" w:right="439" w:hanging="10"/>
        <w:spacing w:after="0" w:line="261" w:lineRule="auto"/>
        <w:tabs>
          <w:tab w:leader="none" w:pos="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2, 2023</w:t>
      </w:r>
    </w:p>
    <w:p>
      <w:pPr>
        <w:spacing w:after="0" w:line="23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-121920</wp:posOffset>
            </wp:positionV>
            <wp:extent cx="5648960" cy="13030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5648960" cy="130302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Sanjeev Aggarwal</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(Principal Executive Officer)</w:t>
      </w:r>
    </w:p>
    <w:p>
      <w:pPr>
        <w:spacing w:after="0" w:line="224"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Anuj Aggarwal</w:t>
      </w:r>
    </w:p>
    <w:p>
      <w:pPr>
        <w:spacing w:after="0" w:line="3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Anuj Aggarwal</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(Principal Financial Officer)</w:t>
      </w:r>
    </w:p>
    <w:p>
      <w:pPr>
        <w:spacing w:after="0" w:line="224" w:lineRule="exact"/>
        <w:rPr>
          <w:sz w:val="20"/>
          <w:szCs w:val="20"/>
          <w:color w:val="auto"/>
        </w:rPr>
      </w:pPr>
    </w:p>
    <w:p>
      <w:pPr>
        <w:ind w:left="60" w:right="239"/>
        <w:spacing w:after="0" w:line="296"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315595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1."/>
      <w:numFmt w:val="decimal"/>
      <w:start w:val="2"/>
    </w:lvl>
  </w:abstractNum>
  <w:abstractNum w:abstractNumId="21">
    <w:nsid w:val="153EA438"/>
    <w:multiLevelType w:val="hybridMultilevel"/>
    <w:lvl w:ilvl="0">
      <w:lvlJc w:val="left"/>
      <w:lvlText w:val="%1"/>
      <w:numFmt w:val="decimal"/>
      <w:start w:val="1"/>
    </w:lvl>
    <w:lvl w:ilvl="1">
      <w:lvlJc w:val="left"/>
      <w:lvlText w:val="(%2)"/>
      <w:numFmt w:val="decimal"/>
      <w:start w:val="15"/>
    </w:lvl>
  </w:abstractNum>
  <w:abstractNum w:abstractNumId="22">
    <w:nsid w:val="3855585C"/>
    <w:multiLevelType w:val="hybridMultilevel"/>
    <w:lvl w:ilvl="0">
      <w:lvlJc w:val="left"/>
      <w:lvlText w:val="%1."/>
      <w:numFmt w:val="decimal"/>
      <w:start w:val="3"/>
    </w:lvl>
    <w:lvl w:ilvl="1">
      <w:lvlJc w:val="left"/>
      <w:lvlText w:val="%2"/>
      <w:numFmt w:val="decimal"/>
      <w:start w:val="1"/>
    </w:lvl>
  </w:abstractNum>
  <w:abstractNum w:abstractNumId="23">
    <w:nsid w:val="70A64E2A"/>
    <w:multiLevelType w:val="hybridMultilevel"/>
    <w:lvl w:ilvl="0">
      <w:lvlJc w:val="left"/>
      <w:lvlText w:val="(%1)"/>
      <w:numFmt w:val="decimal"/>
      <w:start w:val="30"/>
    </w:lvl>
  </w:abstractNum>
  <w:abstractNum w:abstractNumId="24">
    <w:nsid w:val="6A2342EC"/>
    <w:multiLevelType w:val="hybridMultilevel"/>
    <w:lvl w:ilvl="0">
      <w:lvlJc w:val="left"/>
      <w:lvlText w:val="%1."/>
      <w:numFmt w:val="decimal"/>
      <w:start w:val="4"/>
    </w:lvl>
  </w:abstractNum>
  <w:abstractNum w:abstractNumId="25">
    <w:nsid w:val="2A487CB0"/>
    <w:multiLevelType w:val="hybridMultilevel"/>
    <w:lvl w:ilvl="0">
      <w:lvlJc w:val="left"/>
      <w:lvlText w:val="(%1)"/>
      <w:numFmt w:val="lowerRoman"/>
      <w:start w:val="2"/>
    </w:lvl>
  </w:abstractNum>
  <w:abstractNum w:abstractNumId="26">
    <w:nsid w:val="1D4ED43B"/>
    <w:multiLevelType w:val="hybridMultilevel"/>
    <w:lvl w:ilvl="0">
      <w:lvlJc w:val="left"/>
      <w:lvlText w:val="(%1)"/>
      <w:numFmt w:val="lowerRoman"/>
      <w:start w:val="2"/>
    </w:lvl>
  </w:abstractNum>
  <w:abstractNum w:abstractNumId="27">
    <w:nsid w:val="725A06FB"/>
    <w:multiLevelType w:val="hybridMultilevel"/>
    <w:lvl w:ilvl="0">
      <w:lvlJc w:val="left"/>
      <w:lvlText w:val="%1."/>
      <w:numFmt w:val="decimal"/>
      <w:start w:val="5"/>
    </w:lvl>
  </w:abstractNum>
  <w:abstractNum w:abstractNumId="28">
    <w:nsid w:val="2CD89A32"/>
    <w:multiLevelType w:val="hybridMultilevel"/>
    <w:lvl w:ilvl="0">
      <w:lvlJc w:val="left"/>
      <w:lvlText w:val="%1."/>
      <w:numFmt w:val="decimal"/>
      <w:start w:val="6"/>
    </w:lvl>
  </w:abstractNum>
  <w:abstractNum w:abstractNumId="29">
    <w:nsid w:val="57E4CCAF"/>
    <w:multiLevelType w:val="hybridMultilevel"/>
    <w:lvl w:ilvl="0">
      <w:lvlJc w:val="left"/>
      <w:lvlText w:val="%1."/>
      <w:numFmt w:val="decimal"/>
      <w:start w:val="7"/>
    </w:lvl>
  </w:abstractNum>
  <w:abstractNum w:abstractNumId="30">
    <w:nsid w:val="7A6D8D3C"/>
    <w:multiLevelType w:val="hybridMultilevel"/>
    <w:lvl w:ilvl="0">
      <w:lvlJc w:val="left"/>
      <w:lvlText w:val="%1."/>
      <w:numFmt w:val="decimal"/>
      <w:start w:val="8"/>
    </w:lvl>
  </w:abstractNum>
  <w:abstractNum w:abstractNumId="31">
    <w:nsid w:val="4B588F54"/>
    <w:multiLevelType w:val="hybridMultilevel"/>
    <w:lvl w:ilvl="0">
      <w:lvlJc w:val="left"/>
      <w:lvlText w:val="%1."/>
      <w:numFmt w:val="decimal"/>
      <w:start w:val="9"/>
    </w:lvl>
  </w:abstractNum>
  <w:abstractNum w:abstractNumId="32">
    <w:nsid w:val="542289EC"/>
    <w:multiLevelType w:val="hybridMultilevel"/>
    <w:lvl w:ilvl="0">
      <w:lvlJc w:val="left"/>
      <w:lvlText w:val="%1."/>
      <w:numFmt w:val="decimal"/>
      <w:start w:val="10"/>
    </w:lvl>
  </w:abstractNum>
  <w:abstractNum w:abstractNumId="33">
    <w:nsid w:val="6DE91B18"/>
    <w:multiLevelType w:val="hybridMultilevel"/>
    <w:lvl w:ilvl="0">
      <w:lvlJc w:val="left"/>
      <w:lvlText w:val="%1."/>
      <w:numFmt w:val="decimal"/>
      <w:start w:val="11"/>
    </w:lvl>
  </w:abstractNum>
  <w:abstractNum w:abstractNumId="34">
    <w:nsid w:val="38437FDB"/>
    <w:multiLevelType w:val="hybridMultilevel"/>
    <w:lvl w:ilvl="0">
      <w:lvlJc w:val="left"/>
      <w:lvlText w:val="%1."/>
      <w:numFmt w:val="decimal"/>
      <w:start w:val="12"/>
    </w:lvl>
  </w:abstractNum>
  <w:abstractNum w:abstractNumId="35">
    <w:nsid w:val="7644A45C"/>
    <w:multiLevelType w:val="hybridMultilevel"/>
    <w:lvl w:ilvl="0">
      <w:lvlJc w:val="left"/>
      <w:lvlText w:val="%1."/>
      <w:numFmt w:val="decimal"/>
      <w:start w:val="13"/>
    </w:lvl>
  </w:abstractNum>
  <w:abstractNum w:abstractNumId="36">
    <w:nsid w:val="32FFF902"/>
    <w:multiLevelType w:val="hybridMultilevel"/>
    <w:lvl w:ilvl="0">
      <w:lvlJc w:val="left"/>
      <w:lvlText w:val="%1."/>
      <w:numFmt w:val="decimal"/>
      <w:start w:val="14"/>
    </w:lvl>
  </w:abstractNum>
  <w:abstractNum w:abstractNumId="37">
    <w:nsid w:val="684A481A"/>
    <w:multiLevelType w:val="hybridMultilevel"/>
    <w:lvl w:ilvl="0">
      <w:lvlJc w:val="left"/>
      <w:lvlText w:val="%1."/>
      <w:numFmt w:val="decimal"/>
      <w:start w:val="15"/>
    </w:lvl>
  </w:abstractNum>
  <w:abstractNum w:abstractNumId="38">
    <w:nsid w:val="579478FE"/>
    <w:multiLevelType w:val="hybridMultilevel"/>
    <w:lvl w:ilvl="0">
      <w:lvlJc w:val="left"/>
      <w:lvlText w:val="%1."/>
      <w:numFmt w:val="decimal"/>
      <w:start w:val="16"/>
    </w:lvl>
  </w:abstractNum>
  <w:abstractNum w:abstractNumId="39">
    <w:nsid w:val="749ABB43"/>
    <w:multiLevelType w:val="hybridMultilevel"/>
    <w:lvl w:ilvl="0">
      <w:lvlJc w:val="left"/>
      <w:lvlText w:val="%1."/>
      <w:numFmt w:val="decimal"/>
      <w:start w:val="17"/>
    </w:lvl>
  </w:abstractNum>
  <w:abstractNum w:abstractNumId="40">
    <w:nsid w:val="3DC240FB"/>
    <w:multiLevelType w:val="hybridMultilevel"/>
    <w:lvl w:ilvl="0">
      <w:lvlJc w:val="left"/>
      <w:lvlText w:val="%1."/>
      <w:numFmt w:val="decimal"/>
      <w:start w:val="18"/>
    </w:lvl>
  </w:abstractNum>
  <w:abstractNum w:abstractNumId="41">
    <w:nsid w:val="1BA026FA"/>
    <w:multiLevelType w:val="hybridMultilevel"/>
    <w:lvl w:ilvl="0">
      <w:lvlJc w:val="left"/>
      <w:lvlText w:val="%1."/>
      <w:numFmt w:val="decimal"/>
      <w:start w:val="19"/>
    </w:lvl>
  </w:abstractNum>
  <w:abstractNum w:abstractNumId="42">
    <w:nsid w:val="79A1DEAA"/>
    <w:multiLevelType w:val="hybridMultilevel"/>
    <w:lvl w:ilvl="0">
      <w:lvlJc w:val="left"/>
      <w:lvlText w:val="%1."/>
      <w:numFmt w:val="decimal"/>
      <w:start w:val="20"/>
    </w:lvl>
  </w:abstractNum>
  <w:abstractNum w:abstractNumId="43">
    <w:nsid w:val="75C6C33A"/>
    <w:multiLevelType w:val="hybridMultilevel"/>
    <w:lvl w:ilvl="0">
      <w:lvlJc w:val="left"/>
      <w:lvlText w:val="%1."/>
      <w:numFmt w:val="decimal"/>
      <w:start w:val="2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1."/>
      <w:numFmt w:val="decimal"/>
      <w:start w:val="2"/>
    </w:lvl>
  </w:abstractNum>
  <w:abstractNum w:abstractNumId="47">
    <w:nsid w:val="374A3FE6"/>
    <w:multiLevelType w:val="hybridMultilevel"/>
    <w:lvl w:ilvl="0">
      <w:lvlJc w:val="left"/>
      <w:lvlText w:val="%1."/>
      <w:numFmt w:val="decimal"/>
      <w:start w:val="3"/>
    </w:lvl>
  </w:abstractNum>
  <w:abstractNum w:abstractNumId="48">
    <w:nsid w:val="4F4EF005"/>
    <w:multiLevelType w:val="hybridMultilevel"/>
    <w:lvl w:ilvl="0">
      <w:lvlJc w:val="left"/>
      <w:lvlText w:val="%1."/>
      <w:numFmt w:val="decimal"/>
      <w:start w:val="4"/>
    </w:lvl>
  </w:abstractNum>
  <w:abstractNum w:abstractNumId="49">
    <w:nsid w:val="23F9C13C"/>
    <w:multiLevelType w:val="hybridMultilevel"/>
    <w:lvl w:ilvl="0">
      <w:lvlJc w:val="left"/>
      <w:lvlText w:val="%1."/>
      <w:numFmt w:val="decimal"/>
      <w:start w:val="5"/>
    </w:lvl>
  </w:abstractNum>
  <w:abstractNum w:abstractNumId="50">
    <w:nsid w:val="649BB77C"/>
    <w:multiLevelType w:val="hybridMultilevel"/>
    <w:lvl w:ilvl="0">
      <w:lvlJc w:val="left"/>
      <w:lvlText w:val="%1."/>
      <w:numFmt w:val="decimal"/>
      <w:start w:val="6"/>
    </w:lvl>
  </w:abstractNum>
  <w:abstractNum w:abstractNumId="51">
    <w:nsid w:val="275AC794"/>
    <w:multiLevelType w:val="hybridMultilevel"/>
    <w:lvl w:ilvl="0">
      <w:lvlJc w:val="left"/>
      <w:lvlText w:val="%1."/>
      <w:numFmt w:val="decimal"/>
      <w:start w:val="7"/>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1."/>
      <w:numFmt w:val="decimal"/>
      <w:start w:val="1"/>
    </w:lvl>
  </w:abstractNum>
  <w:abstractNum w:abstractNumId="54">
    <w:nsid w:val="180115BE"/>
    <w:multiLevelType w:val="hybridMultilevel"/>
    <w:lvl w:ilvl="0">
      <w:lvlJc w:val="left"/>
      <w:lvlText w:val="%1."/>
      <w:numFmt w:val="decimal"/>
      <w:start w:val="5"/>
    </w:lvl>
  </w:abstractNum>
  <w:abstractNum w:abstractNumId="55">
    <w:nsid w:val="235BA861"/>
    <w:multiLevelType w:val="hybridMultilevel"/>
    <w:lvl w:ilvl="0">
      <w:lvlJc w:val="left"/>
      <w:lvlText w:val="%1."/>
      <w:numFmt w:val="decimal"/>
      <w:start w:val="9"/>
    </w:lvl>
  </w:abstractNum>
  <w:abstractNum w:abstractNumId="56">
    <w:nsid w:val="47398C89"/>
    <w:multiLevelType w:val="hybridMultilevel"/>
    <w:lvl w:ilvl="0">
      <w:lvlJc w:val="left"/>
      <w:lvlText w:val="%1."/>
      <w:numFmt w:val="decimal"/>
      <w:start w:val="1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60" Type="http://schemas.openxmlformats.org/officeDocument/2006/relationships/hyperlink" Target="http://www.sec.gov/Archives/edgar/data/1438423/000119312516737688/d271840dex31.htm" TargetMode="External"/><Relationship Id="rId61" Type="http://schemas.openxmlformats.org/officeDocument/2006/relationships/hyperlink" Target="http://www.sec.gov/Archives/edgar/data/1438423/000119312519154165/d752899dex31.htm" TargetMode="External"/><Relationship Id="rId62" Type="http://schemas.openxmlformats.org/officeDocument/2006/relationships/hyperlink" Target="https://www.sec.gov/Archives/edgar/data/1438423/000119312520153247/d936625dex31.htm" TargetMode="External"/><Relationship Id="rId63" Type="http://schemas.openxmlformats.org/officeDocument/2006/relationships/hyperlink" Target="https://www.sec.gov/Archives/edgar/data/1438423/000110465923064640/tm2316966d1_ex3-1.htm" TargetMode="External"/><Relationship Id="rId64" Type="http://schemas.openxmlformats.org/officeDocument/2006/relationships/hyperlink" Target="https://www.sec.gov/Archives/edgar/data/1438423/000119312519154165/d75289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2023-11-02T14:51:34Z</dcterms:created>
  <dcterms:modified xsi:type="dcterms:W3CDTF">2023-11-02T14:51:34Z</dcterms:modified>
</cp:coreProperties>
</file>