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7, 2016.</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333-213569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Amendment No.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to</w:t>
      </w:r>
    </w:p>
    <w:p>
      <w:pPr>
        <w:jc w:val="center"/>
        <w:spacing w:after="0" w:line="231" w:lineRule="auto"/>
        <w:rPr>
          <w:sz w:val="20"/>
          <w:szCs w:val="20"/>
          <w:color w:val="auto"/>
        </w:rPr>
      </w:pPr>
      <w:r>
        <w:rPr>
          <w:rFonts w:ascii="Arial" w:cs="Arial" w:eastAsia="Arial" w:hAnsi="Arial"/>
          <w:sz w:val="28"/>
          <w:szCs w:val="28"/>
          <w:b w:val="1"/>
          <w:bCs w:val="1"/>
          <w:color w:val="auto"/>
        </w:rPr>
        <w:t>FORM S-1</w:t>
      </w:r>
    </w:p>
    <w:p>
      <w:pPr>
        <w:jc w:val="center"/>
        <w:spacing w:after="0" w:line="235" w:lineRule="auto"/>
        <w:rPr>
          <w:sz w:val="20"/>
          <w:szCs w:val="20"/>
          <w:color w:val="auto"/>
        </w:rPr>
      </w:pPr>
      <w:r>
        <w:rPr>
          <w:rFonts w:ascii="Arial" w:cs="Arial" w:eastAsia="Arial" w:hAnsi="Arial"/>
          <w:sz w:val="28"/>
          <w:szCs w:val="28"/>
          <w:b w:val="1"/>
          <w:bCs w:val="1"/>
          <w:color w:val="auto"/>
        </w:rPr>
        <w:t>REGISTRATION STATEMENT</w:t>
      </w: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Everspin Technologies,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93"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3"/>
              </w:rPr>
              <w:t>Delaware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3674</w:t>
            </w:r>
          </w:p>
        </w:tc>
        <w:tc>
          <w:tcPr>
            <w:tcW w:w="2500" w:type="dxa"/>
            <w:vAlign w:val="bottom"/>
          </w:tcPr>
          <w:p>
            <w:pPr>
              <w:jc w:val="center"/>
              <w:ind w:left="965"/>
              <w:spacing w:after="0"/>
              <w:rPr>
                <w:sz w:val="20"/>
                <w:szCs w:val="20"/>
                <w:color w:val="auto"/>
              </w:rPr>
            </w:pPr>
            <w:r>
              <w:rPr>
                <w:rFonts w:ascii="Arial" w:cs="Arial" w:eastAsia="Arial" w:hAnsi="Arial"/>
                <w:sz w:val="16"/>
                <w:szCs w:val="16"/>
                <w:b w:val="1"/>
                <w:bCs w:val="1"/>
                <w:color w:val="auto"/>
                <w:w w:val="91"/>
              </w:rPr>
              <w:t>26-2640654</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1347 N. Alma School Road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220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Chandler, Arizona 85224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(480) 347-1111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Phillip LoPresti</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Everspin Technologies,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1347 N. Alma School Road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220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Chandler, Arizona 85224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(480) 347-1111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920" w:type="dxa"/>
        <w:tblCellMar>
          <w:top w:w="0" w:type="dxa"/>
          <w:left w:w="0" w:type="dxa"/>
          <w:bottom w:w="0" w:type="dxa"/>
          <w:right w:w="0" w:type="dxa"/>
        </w:tblCellMar>
      </w:tblPr>
      <w:tr>
        <w:trPr>
          <w:trHeight w:val="206"/>
        </w:trPr>
        <w:tc>
          <w:tcPr>
            <w:tcW w:w="2680" w:type="dxa"/>
            <w:vAlign w:val="bottom"/>
          </w:tcPr>
          <w:p>
            <w:pPr>
              <w:spacing w:after="0"/>
              <w:rPr>
                <w:sz w:val="17"/>
                <w:szCs w:val="17"/>
                <w:color w:val="auto"/>
              </w:rPr>
            </w:pPr>
          </w:p>
        </w:tc>
        <w:tc>
          <w:tcPr>
            <w:tcW w:w="5440" w:type="dxa"/>
            <w:vAlign w:val="bottom"/>
          </w:tcPr>
          <w:p>
            <w:pPr>
              <w:ind w:left="780"/>
              <w:spacing w:after="0"/>
              <w:rPr>
                <w:sz w:val="20"/>
                <w:szCs w:val="20"/>
                <w:color w:val="auto"/>
              </w:rPr>
            </w:pPr>
            <w:r>
              <w:rPr>
                <w:rFonts w:ascii="Arial" w:cs="Arial" w:eastAsia="Arial" w:hAnsi="Arial"/>
                <w:sz w:val="16"/>
                <w:szCs w:val="16"/>
                <w:b w:val="1"/>
                <w:bCs w:val="1"/>
                <w:i w:val="1"/>
                <w:iCs w:val="1"/>
                <w:color w:val="auto"/>
              </w:rPr>
              <w:t>Copies to:</w:t>
            </w:r>
          </w:p>
        </w:tc>
      </w:tr>
      <w:tr>
        <w:trPr>
          <w:trHeight w:val="276"/>
        </w:trPr>
        <w:tc>
          <w:tcPr>
            <w:tcW w:w="268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Matthew B. Hemington</w:t>
            </w:r>
          </w:p>
        </w:tc>
        <w:tc>
          <w:tcPr>
            <w:tcW w:w="5440" w:type="dxa"/>
            <w:vAlign w:val="bottom"/>
          </w:tcPr>
          <w:p>
            <w:pPr>
              <w:jc w:val="center"/>
              <w:ind w:left="2639"/>
              <w:spacing w:after="0"/>
              <w:rPr>
                <w:sz w:val="20"/>
                <w:szCs w:val="20"/>
                <w:color w:val="auto"/>
              </w:rPr>
            </w:pPr>
            <w:r>
              <w:rPr>
                <w:rFonts w:ascii="Arial" w:cs="Arial" w:eastAsia="Arial" w:hAnsi="Arial"/>
                <w:sz w:val="16"/>
                <w:szCs w:val="16"/>
                <w:b w:val="1"/>
                <w:bCs w:val="1"/>
                <w:color w:val="auto"/>
                <w:w w:val="96"/>
              </w:rPr>
              <w:t>Gabriella A. Lombardi</w:t>
            </w:r>
          </w:p>
        </w:tc>
      </w:tr>
      <w:tr>
        <w:trPr>
          <w:trHeight w:val="203"/>
        </w:trPr>
        <w:tc>
          <w:tcPr>
            <w:tcW w:w="2680" w:type="dxa"/>
            <w:vAlign w:val="bottom"/>
          </w:tcPr>
          <w:p>
            <w:pPr>
              <w:jc w:val="center"/>
              <w:ind w:right="699"/>
              <w:spacing w:after="0"/>
              <w:rPr>
                <w:sz w:val="20"/>
                <w:szCs w:val="20"/>
                <w:color w:val="auto"/>
              </w:rPr>
            </w:pPr>
            <w:r>
              <w:rPr>
                <w:rFonts w:ascii="Arial" w:cs="Arial" w:eastAsia="Arial" w:hAnsi="Arial"/>
                <w:sz w:val="16"/>
                <w:szCs w:val="16"/>
                <w:b w:val="1"/>
                <w:bCs w:val="1"/>
                <w:color w:val="auto"/>
                <w:w w:val="96"/>
              </w:rPr>
              <w:t>Brett D. White</w:t>
            </w:r>
          </w:p>
        </w:tc>
        <w:tc>
          <w:tcPr>
            <w:tcW w:w="5440" w:type="dxa"/>
            <w:vAlign w:val="bottom"/>
          </w:tcPr>
          <w:p>
            <w:pPr>
              <w:jc w:val="center"/>
              <w:ind w:left="2639"/>
              <w:spacing w:after="0"/>
              <w:rPr>
                <w:sz w:val="20"/>
                <w:szCs w:val="20"/>
                <w:color w:val="auto"/>
              </w:rPr>
            </w:pPr>
            <w:r>
              <w:rPr>
                <w:rFonts w:ascii="Arial" w:cs="Arial" w:eastAsia="Arial" w:hAnsi="Arial"/>
                <w:sz w:val="16"/>
                <w:szCs w:val="16"/>
                <w:b w:val="1"/>
                <w:bCs w:val="1"/>
                <w:color w:val="auto"/>
                <w:w w:val="93"/>
              </w:rPr>
              <w:t>Stanton D. Wong</w:t>
            </w:r>
          </w:p>
        </w:tc>
      </w:tr>
      <w:tr>
        <w:trPr>
          <w:trHeight w:val="203"/>
        </w:trPr>
        <w:tc>
          <w:tcPr>
            <w:tcW w:w="2680" w:type="dxa"/>
            <w:vAlign w:val="bottom"/>
          </w:tcPr>
          <w:p>
            <w:pPr>
              <w:jc w:val="center"/>
              <w:ind w:right="719"/>
              <w:spacing w:after="0"/>
              <w:rPr>
                <w:sz w:val="20"/>
                <w:szCs w:val="20"/>
                <w:color w:val="auto"/>
              </w:rPr>
            </w:pPr>
            <w:r>
              <w:rPr>
                <w:rFonts w:ascii="Arial" w:cs="Arial" w:eastAsia="Arial" w:hAnsi="Arial"/>
                <w:sz w:val="16"/>
                <w:szCs w:val="16"/>
                <w:b w:val="1"/>
                <w:bCs w:val="1"/>
                <w:color w:val="auto"/>
                <w:w w:val="95"/>
              </w:rPr>
              <w:t>Cooley LLP</w:t>
            </w:r>
          </w:p>
        </w:tc>
        <w:tc>
          <w:tcPr>
            <w:tcW w:w="5440" w:type="dxa"/>
            <w:vAlign w:val="bottom"/>
          </w:tcPr>
          <w:p>
            <w:pPr>
              <w:jc w:val="center"/>
              <w:ind w:left="2639"/>
              <w:spacing w:after="0"/>
              <w:rPr>
                <w:sz w:val="20"/>
                <w:szCs w:val="20"/>
                <w:color w:val="auto"/>
              </w:rPr>
            </w:pPr>
            <w:r>
              <w:rPr>
                <w:rFonts w:ascii="Arial" w:cs="Arial" w:eastAsia="Arial" w:hAnsi="Arial"/>
                <w:sz w:val="16"/>
                <w:szCs w:val="16"/>
                <w:b w:val="1"/>
                <w:bCs w:val="1"/>
                <w:color w:val="auto"/>
                <w:w w:val="94"/>
              </w:rPr>
              <w:t>Pillsbury Winthrop Shaw Pittman LLP</w:t>
            </w:r>
          </w:p>
        </w:tc>
      </w:tr>
      <w:tr>
        <w:trPr>
          <w:trHeight w:val="203"/>
        </w:trPr>
        <w:tc>
          <w:tcPr>
            <w:tcW w:w="2680" w:type="dxa"/>
            <w:vAlign w:val="bottom"/>
          </w:tcPr>
          <w:p>
            <w:pPr>
              <w:jc w:val="center"/>
              <w:ind w:right="699"/>
              <w:spacing w:after="0"/>
              <w:rPr>
                <w:sz w:val="20"/>
                <w:szCs w:val="20"/>
                <w:color w:val="auto"/>
              </w:rPr>
            </w:pPr>
            <w:r>
              <w:rPr>
                <w:rFonts w:ascii="Arial" w:cs="Arial" w:eastAsia="Arial" w:hAnsi="Arial"/>
                <w:sz w:val="16"/>
                <w:szCs w:val="16"/>
                <w:b w:val="1"/>
                <w:bCs w:val="1"/>
                <w:color w:val="auto"/>
                <w:w w:val="92"/>
              </w:rPr>
              <w:t>3175 Hanover Street</w:t>
            </w:r>
          </w:p>
        </w:tc>
        <w:tc>
          <w:tcPr>
            <w:tcW w:w="5440" w:type="dxa"/>
            <w:vAlign w:val="bottom"/>
          </w:tcPr>
          <w:p>
            <w:pPr>
              <w:jc w:val="center"/>
              <w:ind w:left="2619"/>
              <w:spacing w:after="0"/>
              <w:rPr>
                <w:sz w:val="20"/>
                <w:szCs w:val="20"/>
                <w:color w:val="auto"/>
              </w:rPr>
            </w:pPr>
            <w:r>
              <w:rPr>
                <w:rFonts w:ascii="Arial" w:cs="Arial" w:eastAsia="Arial" w:hAnsi="Arial"/>
                <w:sz w:val="16"/>
                <w:szCs w:val="16"/>
                <w:b w:val="1"/>
                <w:bCs w:val="1"/>
                <w:color w:val="auto"/>
                <w:w w:val="92"/>
              </w:rPr>
              <w:t>2550 Hanover Street</w:t>
            </w:r>
          </w:p>
        </w:tc>
      </w:tr>
      <w:tr>
        <w:trPr>
          <w:trHeight w:val="203"/>
        </w:trPr>
        <w:tc>
          <w:tcPr>
            <w:tcW w:w="268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Palo Alto, California 94304</w:t>
            </w:r>
          </w:p>
        </w:tc>
        <w:tc>
          <w:tcPr>
            <w:tcW w:w="5440" w:type="dxa"/>
            <w:vAlign w:val="bottom"/>
          </w:tcPr>
          <w:p>
            <w:pPr>
              <w:jc w:val="center"/>
              <w:ind w:left="2639"/>
              <w:spacing w:after="0"/>
              <w:rPr>
                <w:sz w:val="20"/>
                <w:szCs w:val="20"/>
                <w:color w:val="auto"/>
              </w:rPr>
            </w:pPr>
            <w:r>
              <w:rPr>
                <w:rFonts w:ascii="Arial" w:cs="Arial" w:eastAsia="Arial" w:hAnsi="Arial"/>
                <w:sz w:val="16"/>
                <w:szCs w:val="16"/>
                <w:b w:val="1"/>
                <w:bCs w:val="1"/>
                <w:color w:val="auto"/>
                <w:w w:val="93"/>
              </w:rPr>
              <w:t>Palo Alto, CA 94304</w:t>
            </w:r>
          </w:p>
        </w:tc>
      </w:tr>
      <w:tr>
        <w:trPr>
          <w:trHeight w:val="210"/>
        </w:trPr>
        <w:tc>
          <w:tcPr>
            <w:tcW w:w="268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(650) 843-5000</w:t>
            </w:r>
          </w:p>
        </w:tc>
        <w:tc>
          <w:tcPr>
            <w:tcW w:w="5440" w:type="dxa"/>
            <w:vAlign w:val="bottom"/>
          </w:tcPr>
          <w:p>
            <w:pPr>
              <w:jc w:val="center"/>
              <w:ind w:left="2639"/>
              <w:spacing w:after="0"/>
              <w:rPr>
                <w:sz w:val="20"/>
                <w:szCs w:val="20"/>
                <w:color w:val="auto"/>
              </w:rPr>
            </w:pPr>
            <w:r>
              <w:rPr>
                <w:rFonts w:ascii="Arial" w:cs="Arial" w:eastAsia="Arial" w:hAnsi="Arial"/>
                <w:sz w:val="16"/>
                <w:szCs w:val="16"/>
                <w:b w:val="1"/>
                <w:bCs w:val="1"/>
                <w:color w:val="auto"/>
                <w:w w:val="91"/>
              </w:rPr>
              <w:t>(650) 233-4500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0"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07" w:lineRule="exact"/>
        <w:rPr>
          <w:sz w:val="24"/>
          <w:szCs w:val="24"/>
          <w:color w:val="auto"/>
        </w:rPr>
      </w:pPr>
    </w:p>
    <w:p>
      <w:pPr>
        <w:ind w:right="20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6" w:lineRule="exact"/>
        <w:rPr>
          <w:sz w:val="24"/>
          <w:szCs w:val="24"/>
          <w:color w:val="auto"/>
        </w:rPr>
      </w:pPr>
    </w:p>
    <w:p>
      <w:pPr>
        <w:ind w:right="22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2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firstLine="342"/>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161" w:lineRule="exact"/>
        <w:tabs>
          <w:tab w:leader="none" w:pos="1820" w:val="left"/>
          <w:tab w:leader="none" w:pos="91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16" w:lineRule="exact"/>
        <w:rPr>
          <w:sz w:val="24"/>
          <w:szCs w:val="24"/>
          <w:color w:val="auto"/>
        </w:rPr>
      </w:pPr>
    </w:p>
    <w:p>
      <w:pPr>
        <w:spacing w:after="0" w:line="161" w:lineRule="exact"/>
        <w:tabs>
          <w:tab w:leader="none" w:pos="1820" w:val="left"/>
          <w:tab w:leader="none" w:pos="91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1240" w:space="40"/>
            <w:col w:w="140"/>
          </w:cols>
          <w:pgMar w:left="240" w:top="23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Share(2)</w:t>
            </w:r>
          </w:p>
        </w:tc>
        <w:tc>
          <w:tcPr>
            <w:tcW w:w="17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6"/>
              </w:rPr>
              <w:t>Offering Price(1)(2)</w:t>
            </w:r>
          </w:p>
        </w:tc>
        <w:tc>
          <w:tcPr>
            <w:tcW w:w="1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740" w:type="dxa"/>
            <w:vAlign w:val="bottom"/>
            <w:tcBorders>
              <w:bottom w:val="single" w:sz="8" w:color="auto"/>
              <w:right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5,750,000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$8.00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$46,000,000</w:t>
            </w:r>
          </w:p>
        </w:tc>
        <w:tc>
          <w:tcPr>
            <w:tcW w:w="168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$5,332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additional 750,000 shares that the underwriters have the right to purchase.</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457(a)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$5,646 of the registration fee in connection with the previous filings of this registration statement.</w:t>
      </w:r>
    </w:p>
    <w:p>
      <w:pPr>
        <w:spacing w:after="0" w:line="48" w:lineRule="exact"/>
        <w:rPr>
          <w:sz w:val="20"/>
          <w:szCs w:val="20"/>
          <w:color w:val="auto"/>
        </w:rPr>
      </w:pPr>
    </w:p>
    <w:p>
      <w:pPr>
        <w:ind w:right="20" w:firstLine="342"/>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October 7,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281305</wp:posOffset>
            </wp:positionV>
            <wp:extent cx="204089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329565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This is the initial public offering of the common stock of Everspin Technologies, Inc. We are selling 5,000,000 shares of common stock.</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is expected to be $8.00 per share. Our common stock has been approved for listing on The Nasdaq Global Market under the symbol “MRAM.”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280035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We are an “emerging growth company” as defined under the federal securities laws. Investing in our common stock involves risks.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w:t>
      </w:r>
    </w:p>
    <w:p>
      <w:pPr>
        <w:spacing w:after="0" w:line="3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Price to</w:t>
            </w: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Underwriting</w:t>
            </w:r>
          </w:p>
        </w:tc>
        <w:tc>
          <w:tcPr>
            <w:tcW w:w="720" w:type="dxa"/>
            <w:vAlign w:val="bottom"/>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Discounts and</w:t>
            </w:r>
          </w:p>
        </w:tc>
        <w:tc>
          <w:tcPr>
            <w:tcW w:w="7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rPr>
              <w:t>Public</w:t>
            </w:r>
          </w:p>
        </w:tc>
        <w:tc>
          <w:tcPr>
            <w:tcW w:w="7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w w:val="88"/>
              </w:rPr>
              <w:t>Commissions</w:t>
            </w:r>
            <w:r>
              <w:rPr>
                <w:rFonts w:ascii="Arial" w:cs="Arial" w:eastAsia="Arial" w:hAnsi="Arial"/>
                <w:sz w:val="12"/>
                <w:szCs w:val="12"/>
                <w:b w:val="1"/>
                <w:bCs w:val="1"/>
                <w:color w:val="auto"/>
                <w:w w:val="88"/>
              </w:rPr>
              <w:t>(1)</w:t>
            </w:r>
          </w:p>
        </w:tc>
        <w:tc>
          <w:tcPr>
            <w:tcW w:w="7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Everspin</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76835</wp:posOffset>
            </wp:positionV>
            <wp:extent cx="720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5" w:lineRule="exact"/>
        <w:rPr>
          <w:sz w:val="20"/>
          <w:szCs w:val="20"/>
          <w:color w:val="auto"/>
        </w:rPr>
      </w:pPr>
    </w:p>
    <w:p>
      <w:pPr>
        <w:ind w:left="1360" w:hanging="447"/>
        <w:spacing w:after="0"/>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the section titled “Underwriting” for a description of the compensation payable to the underwriters.</w:t>
      </w:r>
    </w:p>
    <w:p>
      <w:pPr>
        <w:spacing w:after="0" w:line="33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have granted the underwriters the option to purchase up to an additional 750,000 shares of common stock to cover over-allotments at the initial public offering price less the underwriting discount and commissions. The underwriters may exercise their option at any time within 30 days from the date of this prospectus.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GigaDevice Semiconductor (HK) Limited has agreed to purchase $5.0 million of our common stock in a separate private placement concurrent with the completion of this offering at a price per share equal to the initial public offering price. The sale of these shares will not be registered under the Securities Act of 1933, as amended. The closing of this offering is not conditioned upon the closing of this concurrent private placement.</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Certain of our directors and principal stockholders affiliated with our directors, have indicated an interest in purchasing up to an aggregate of approximately $6.2 million of shares of common stock in this offering at the public offering price. See “Certain Relationships and Related Party Transactions” beginning on page 98.</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regulators has approved or disapproved of these securities or determined if this prospectus is truthful or complete. Any representation to the contrary is a criminal offense.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w w:val="97"/>
              </w:rPr>
              <w:t>The underwriters expect to deliver the shares of common stock to purchasers on</w:t>
            </w:r>
          </w:p>
        </w:tc>
        <w:tc>
          <w:tcPr>
            <w:tcW w:w="100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300355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8640" w:val="left"/>
        </w:tabs>
        <w:rPr>
          <w:sz w:val="20"/>
          <w:szCs w:val="20"/>
          <w:color w:val="auto"/>
        </w:rPr>
      </w:pPr>
      <w:r>
        <w:rPr>
          <w:rFonts w:ascii="Arial" w:cs="Arial" w:eastAsia="Arial" w:hAnsi="Arial"/>
          <w:sz w:val="26"/>
          <w:szCs w:val="26"/>
          <w:b w:val="1"/>
          <w:bCs w:val="1"/>
          <w:color w:val="auto"/>
        </w:rPr>
        <w:t>Stifel</w:t>
      </w:r>
      <w:r>
        <w:rPr>
          <w:sz w:val="20"/>
          <w:szCs w:val="20"/>
          <w:color w:val="auto"/>
        </w:rPr>
        <w:tab/>
      </w:r>
      <w:r>
        <w:rPr>
          <w:rFonts w:ascii="Arial" w:cs="Arial" w:eastAsia="Arial" w:hAnsi="Arial"/>
          <w:sz w:val="26"/>
          <w:szCs w:val="26"/>
          <w:b w:val="1"/>
          <w:bCs w:val="1"/>
          <w:color w:val="auto"/>
        </w:rPr>
        <w:t>Needham &amp; Company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Co-Managers</w:t>
      </w:r>
    </w:p>
    <w:p>
      <w:pPr>
        <w:spacing w:after="0" w:line="118" w:lineRule="exact"/>
        <w:rPr>
          <w:sz w:val="20"/>
          <w:szCs w:val="20"/>
          <w:color w:val="auto"/>
        </w:rPr>
      </w:pPr>
    </w:p>
    <w:p>
      <w:pPr>
        <w:spacing w:after="0"/>
        <w:tabs>
          <w:tab w:leader="none" w:pos="8700" w:val="left"/>
        </w:tabs>
        <w:rPr>
          <w:sz w:val="20"/>
          <w:szCs w:val="20"/>
          <w:color w:val="auto"/>
        </w:rPr>
      </w:pPr>
      <w:r>
        <w:rPr>
          <w:rFonts w:ascii="Arial" w:cs="Arial" w:eastAsia="Arial" w:hAnsi="Arial"/>
          <w:sz w:val="22"/>
          <w:szCs w:val="22"/>
          <w:b w:val="1"/>
          <w:bCs w:val="1"/>
          <w:color w:val="auto"/>
        </w:rPr>
        <w:t>Canaccord Genuity</w:t>
      </w:r>
      <w:r>
        <w:rPr>
          <w:sz w:val="20"/>
          <w:szCs w:val="20"/>
          <w:color w:val="auto"/>
        </w:rPr>
        <w:tab/>
      </w:r>
      <w:r>
        <w:rPr>
          <w:rFonts w:ascii="Arial" w:cs="Arial" w:eastAsia="Arial" w:hAnsi="Arial"/>
          <w:sz w:val="19"/>
          <w:szCs w:val="19"/>
          <w:b w:val="1"/>
          <w:bCs w:val="1"/>
          <w:color w:val="auto"/>
        </w:rPr>
        <w:t>Craig-Hallum Capital Group</w:t>
      </w:r>
    </w:p>
    <w:p>
      <w:pPr>
        <w:sectPr>
          <w:pgSz w:w="11900" w:h="16838" w:orient="portrait"/>
          <w:cols w:equalWidth="0" w:num="1">
            <w:col w:w="11420"/>
          </w:cols>
          <w:pgMar w:left="240" w:top="459" w:right="239" w:bottom="152" w:gutter="0" w:footer="0" w:header="0"/>
        </w:sectPr>
      </w:pPr>
    </w:p>
    <w:p>
      <w:pPr>
        <w:spacing w:after="0" w:line="337" w:lineRule="exact"/>
        <w:rPr>
          <w:sz w:val="20"/>
          <w:szCs w:val="20"/>
          <w:color w:val="auto"/>
        </w:rPr>
      </w:pPr>
    </w:p>
    <w:p>
      <w:pPr>
        <w:ind w:left="5940"/>
        <w:spacing w:after="0"/>
        <w:rPr>
          <w:sz w:val="20"/>
          <w:szCs w:val="20"/>
          <w:color w:val="auto"/>
        </w:rPr>
      </w:pPr>
      <w:r>
        <w:rPr>
          <w:rFonts w:ascii="Arial" w:cs="Arial" w:eastAsia="Arial" w:hAnsi="Arial"/>
          <w:sz w:val="15"/>
          <w:szCs w:val="15"/>
          <w:b w:val="1"/>
          <w:bCs w:val="1"/>
          <w:color w:val="auto"/>
        </w:rPr>
        <w:t>, 2016</w:t>
      </w:r>
    </w:p>
    <w:p>
      <w:pPr>
        <w:sectPr>
          <w:pgSz w:w="11900" w:h="16838" w:orient="portrait"/>
          <w:cols w:equalWidth="0" w:num="1">
            <w:col w:w="11420"/>
          </w:cols>
          <w:pgMar w:left="240" w:top="459" w:right="239" w:bottom="15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6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460" w:type="dxa"/>
            <w:vAlign w:val="bottom"/>
          </w:tcPr>
          <w:p>
            <w:pPr>
              <w:spacing w:after="0"/>
              <w:rPr>
                <w:sz w:val="17"/>
                <w:szCs w:val="17"/>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3"/>
          </w:tcPr>
          <w:p>
            <w:pPr>
              <w:ind w:left="8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r>
      <w:tr>
        <w:trPr>
          <w:trHeight w:val="419"/>
        </w:trPr>
        <w:tc>
          <w:tcPr>
            <w:tcW w:w="15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7320" w:type="dxa"/>
            <w:vAlign w:val="bottom"/>
            <w:gridSpan w:val="12"/>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794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Special Note Regarding 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Market, Industry and Other Data</w:t>
              </w:r>
            </w:hyperlink>
          </w:p>
        </w:tc>
        <w:tc>
          <w:tcPr>
            <w:tcW w:w="49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Use of Proceeds</w:t>
              </w:r>
            </w:hyperlink>
          </w:p>
        </w:tc>
        <w:tc>
          <w:tcPr>
            <w:tcW w:w="1180" w:type="dxa"/>
            <w:vAlign w:val="bottom"/>
            <w:tcBorders>
              <w:top w:val="single" w:sz="8" w:color="0000EE"/>
            </w:tcBorders>
            <w:gridSpan w:val="8"/>
          </w:tcPr>
          <w:p>
            <w:pPr>
              <w:spacing w:after="0"/>
              <w:rPr>
                <w:sz w:val="17"/>
                <w:szCs w:val="17"/>
                <w:color w:val="auto"/>
              </w:rPr>
            </w:pPr>
          </w:p>
        </w:tc>
        <w:tc>
          <w:tcPr>
            <w:tcW w:w="650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768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Dilution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Selected Financial Data</w:t>
              </w:r>
            </w:hyperlink>
          </w:p>
        </w:tc>
        <w:tc>
          <w:tcPr>
            <w:tcW w:w="714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Business</w:t>
              </w:r>
            </w:hyperlink>
          </w:p>
        </w:tc>
        <w:tc>
          <w:tcPr>
            <w:tcW w:w="240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Management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Executive Compensation</w:t>
              </w:r>
            </w:hyperlink>
          </w:p>
        </w:tc>
        <w:tc>
          <w:tcPr>
            <w:tcW w:w="704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Party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3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Stockholders</w:t>
              </w:r>
            </w:hyperlink>
          </w:p>
        </w:tc>
        <w:tc>
          <w:tcPr>
            <w:tcW w:w="502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Description of Capital Stock</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Shares Eligible for Future Sale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9"/>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1"/>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Material United States Federal Income and Estate Tax Consequences to Non-U.S. 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Underwriting</w:t>
              </w:r>
            </w:hyperlink>
          </w:p>
        </w:tc>
        <w:tc>
          <w:tcPr>
            <w:tcW w:w="5520" w:type="dxa"/>
            <w:vAlign w:val="bottom"/>
            <w:tcBorders>
              <w:top w:val="single" w:sz="8" w:color="0000EE"/>
            </w:tcBorders>
            <w:gridSpan w:val="16"/>
          </w:tcPr>
          <w:p>
            <w:pPr>
              <w:spacing w:after="0"/>
              <w:rPr>
                <w:sz w:val="17"/>
                <w:szCs w:val="17"/>
                <w:color w:val="auto"/>
              </w:rPr>
            </w:pPr>
          </w:p>
        </w:tc>
        <w:tc>
          <w:tcPr>
            <w:tcW w:w="23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Legal Matters</w:t>
              </w:r>
            </w:hyperlink>
          </w:p>
        </w:tc>
        <w:tc>
          <w:tcPr>
            <w:tcW w:w="784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Experts</w:t>
              </w:r>
            </w:hyperlink>
          </w:p>
        </w:tc>
        <w:tc>
          <w:tcPr>
            <w:tcW w:w="82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Where You Can Find More Information</w:t>
              </w:r>
            </w:hyperlink>
          </w:p>
        </w:tc>
        <w:tc>
          <w:tcPr>
            <w:tcW w:w="59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Index to Financial Statements</w:t>
              </w:r>
            </w:hyperlink>
          </w:p>
        </w:tc>
        <w:tc>
          <w:tcPr>
            <w:tcW w:w="664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firstLine="456"/>
        <w:spacing w:after="0" w:line="273" w:lineRule="auto"/>
        <w:rPr>
          <w:sz w:val="20"/>
          <w:szCs w:val="20"/>
          <w:color w:val="auto"/>
        </w:rPr>
      </w:pPr>
      <w:r>
        <w:rPr>
          <w:rFonts w:ascii="Arial" w:cs="Arial" w:eastAsia="Arial" w:hAnsi="Arial"/>
          <w:sz w:val="17"/>
          <w:szCs w:val="17"/>
          <w:color w:val="auto"/>
        </w:rPr>
        <w:t>Neither we nor the underwriters have authorized anyone to provide you with information that is different from that contained in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shares of common stock and are seeking offers to buy shares of common stock only in jurisdictions where offers and sales are permitted. The information contained in this prospectus is accurate only as of the date on the front of this prospectus, regardless of the time of delivery of this prospectus or any sale of our common stock. Our business, financial condition, results of operations and prospects may have changed since that date.</w:t>
      </w:r>
    </w:p>
    <w:p>
      <w:pPr>
        <w:spacing w:after="0" w:line="17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Until , 2016 (25 days after the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Everspin Technologies, Inc., “The MRAM Company,” and our logo are our trademarks and are used in this prospectus. This prospectus also includes trademarks, tradenames and service marks that are the property of other organizations. Solely for convenience, our trademarks and tradenames referred to in this prospectus appear without the ™ symbol, but those references are not intended to indicate, in any way, that we will not assert, to the fullest extent under applicable law, our rights, or the right of the applicable licensor to these trademarks and tradenames.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is not complete and may not contain all the information you should consider before investing in our common stock. You should read this entire prospectus carefully, especially the risks of investing in our common stock discussed under the heading “Risk Factors,” and our financial statements and related notes included elsewhere in this prospectus, before making an investment decision. Except as otherwise indicated herein or as the context otherwise requires, references in this prospectus to “Everspin Technologies,” “the company,” “we,” “us” and “our” refer to Everspin Technologies, Inc.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are the leading provider of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93"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Our magnetoresistive random access memory (MRAM) technology, unlike traditional semiconductor memory technologies, stores data as a magnetic state rather than an electrical charge, and is offered as either a discrete or embedded solution. Our products read and write data at speeds on par with most dynamic RAM (DRAM) and static RAM (SRAM). Our products offer the non-volatility of flash memory but with significantly superior endurance. We offer our MRAM solutions with different densities and interfaces to address the various needs of our customers. Our lower-density MRAM products, which we define as having bit densities from 128kb to 16Mb, offer write-speeds on par with SRAM, with virtually unlimited endurance. Our higher density products, which we define as having bit densities at or greater than 64Mb, offer write-speeds on par with DRAM and have superior endurance compared to most other non-volatile memory technologies.</w:t>
      </w:r>
    </w:p>
    <w:p>
      <w:pPr>
        <w:spacing w:after="0" w:line="178" w:lineRule="exact"/>
        <w:rPr>
          <w:sz w:val="20"/>
          <w:szCs w:val="20"/>
          <w:color w:val="auto"/>
        </w:rPr>
      </w:pPr>
    </w:p>
    <w:p>
      <w:pPr>
        <w:ind w:left="200" w:right="160" w:firstLine="443"/>
        <w:spacing w:after="0" w:line="297" w:lineRule="auto"/>
        <w:rPr>
          <w:sz w:val="20"/>
          <w:szCs w:val="20"/>
          <w:color w:val="auto"/>
        </w:rPr>
      </w:pPr>
      <w:r>
        <w:rPr>
          <w:rFonts w:ascii="Arial" w:cs="Arial" w:eastAsia="Arial" w:hAnsi="Arial"/>
          <w:sz w:val="16"/>
          <w:szCs w:val="16"/>
          <w:color w:val="auto"/>
        </w:rPr>
        <w:t>Our lower-density products are optimized for use in industrial, and automotive and transportation applications, while our higher-density products are optimized for use in enterprise storage applications. In the enterprise storage market, we collaborate with industry-leading memory controller companies to enable compatibility of their controllers with our MRAM products, facilitating the adoption of our solutions into our customers’ existing end products. We have over 600 customers worldwide, including Honeywell, ifm, Nikkiso and Siemens in the industrial market, Airbus and Hyundai Mobis in the automotive and transportation market, and Broadcom, Dell, IBM and Lenovo in the enterprise storage market.</w:t>
      </w:r>
    </w:p>
    <w:p>
      <w:pPr>
        <w:spacing w:after="0" w:line="158"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leverage both internal and outsourced manufacturing capabilities to produce our MRAM products. We purchase industry-standard complementary metal-oxide semiconductor (CMOS) wafers from semiconductor foundries and complete the processing of our products by inserting our magnetic-bit technology at our 200mm fabrication facility in Chandler, Arizona. We have entered into a manufacturing agreement with GLOBALFOUNDRIES for 300mm high-volume production of our higher-density products. We believe our strategic relationship with GLOBALFOUNDRIES accelerates the development of our MRAM solutions, provides us with leading-edge outsourced manufacturing capabilities, and enables us to operate a variable cost financial model. In addition, GLOBALFOUNDRIES has the ability to embed our technology in its products for sale to its customers, from which we would earn licensing or royalty revenue.</w:t>
      </w:r>
    </w:p>
    <w:p>
      <w:pPr>
        <w:spacing w:after="0" w:line="189"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For the years ended December 31, 2014 and 2015, and six months ended June 30, 2016, we recorded revenue of $24.9 million, $26.5 million and $12.9 million, gross margin of 52.6%, 52.7% and 55.7%, and a net loss of $10.2 million, $18.2 million and $10.0 million, respectively. As of June 30, 2016, we had 86 employees,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94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0944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approximately half of whom are engaged in research and development. Our headquarters are located in Chandler, Arizona. Our principal design center is in Austin, Texas, and we have additional sales operations in the Americas, Europe and Asia-Pacific regions.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Opportunity for MRAM</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Traditional memory technologies have either fast write-speeds or are non-volatile, but not both. MRAM combines both features into a single solution, making it an ideal memory to protect data in the event of power interruption or failure, and to store data that is frequently written and accessed. The following attributes make MRAM an increasingly important application specific memory solution for system architectures that require non-volatile memory with the speed and endurance of RAM:</w:t>
      </w:r>
    </w:p>
    <w:p>
      <w:pPr>
        <w:spacing w:after="0" w:line="79" w:lineRule="exact"/>
        <w:rPr>
          <w:sz w:val="20"/>
          <w:szCs w:val="20"/>
          <w:color w:val="auto"/>
        </w:rPr>
      </w:pPr>
    </w:p>
    <w:p>
      <w:pPr>
        <w:ind w:left="640" w:right="320" w:firstLine="425"/>
        <w:spacing w:after="0" w:line="277" w:lineRule="auto"/>
        <w:rPr>
          <w:sz w:val="20"/>
          <w:szCs w:val="20"/>
          <w:color w:val="auto"/>
        </w:rPr>
      </w:pPr>
      <w:r>
        <w:rPr>
          <w:rFonts w:ascii="Arial" w:cs="Arial" w:eastAsia="Arial" w:hAnsi="Arial"/>
          <w:sz w:val="18"/>
          <w:szCs w:val="18"/>
          <w:b w:val="1"/>
          <w:bCs w:val="1"/>
          <w:i w:val="1"/>
          <w:iCs w:val="1"/>
          <w:color w:val="auto"/>
        </w:rPr>
        <w:t xml:space="preserve">Non-volatile. </w:t>
      </w:r>
      <w:r>
        <w:rPr>
          <w:rFonts w:ascii="Arial" w:cs="Arial" w:eastAsia="Arial" w:hAnsi="Arial"/>
          <w:sz w:val="18"/>
          <w:szCs w:val="18"/>
          <w:color w:val="auto"/>
        </w:rPr>
        <w:t>MRAM can retain data in the event of power interruption or failure, which enables end-system designers to create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costly power-loss protection systems, such as batteries and capacitors.</w:t>
      </w:r>
    </w:p>
    <w:p>
      <w:pPr>
        <w:spacing w:after="0" w:line="62" w:lineRule="exact"/>
        <w:rPr>
          <w:sz w:val="20"/>
          <w:szCs w:val="20"/>
          <w:color w:val="auto"/>
        </w:rPr>
      </w:pPr>
    </w:p>
    <w:p>
      <w:pPr>
        <w:ind w:left="640" w:right="400" w:firstLine="425"/>
        <w:spacing w:after="0" w:line="264" w:lineRule="auto"/>
        <w:rPr>
          <w:sz w:val="20"/>
          <w:szCs w:val="20"/>
          <w:color w:val="auto"/>
        </w:rPr>
      </w:pPr>
      <w:r>
        <w:rPr>
          <w:rFonts w:ascii="Arial" w:cs="Arial" w:eastAsia="Arial" w:hAnsi="Arial"/>
          <w:sz w:val="18"/>
          <w:szCs w:val="18"/>
          <w:b w:val="1"/>
          <w:bCs w:val="1"/>
          <w:i w:val="1"/>
          <w:iCs w:val="1"/>
          <w:color w:val="auto"/>
        </w:rPr>
        <w:t xml:space="preserve">Fast-write Speeds. </w:t>
      </w:r>
      <w:r>
        <w:rPr>
          <w:rFonts w:ascii="Arial" w:cs="Arial" w:eastAsia="Arial" w:hAnsi="Arial"/>
          <w:sz w:val="18"/>
          <w:szCs w:val="18"/>
          <w:color w:val="auto"/>
        </w:rPr>
        <w:t>MRAM offers write-speeds that are on par with the fastest available volatile memory technologies, including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and SRAM and is significantly faster than other non-volatile memories used today. For example, MRAM writes a block over 100,000 times faster than NAND flash, a type of non-volatile flash memory.</w:t>
      </w:r>
    </w:p>
    <w:p>
      <w:pPr>
        <w:spacing w:after="0" w:line="73" w:lineRule="exact"/>
        <w:rPr>
          <w:sz w:val="20"/>
          <w:szCs w:val="20"/>
          <w:color w:val="auto"/>
        </w:rPr>
      </w:pPr>
    </w:p>
    <w:p>
      <w:pPr>
        <w:jc w:val="both"/>
        <w:ind w:left="640" w:right="340" w:firstLine="425"/>
        <w:spacing w:after="0" w:line="264" w:lineRule="auto"/>
        <w:rPr>
          <w:sz w:val="20"/>
          <w:szCs w:val="20"/>
          <w:color w:val="auto"/>
        </w:rPr>
      </w:pPr>
      <w:r>
        <w:rPr>
          <w:rFonts w:ascii="Arial" w:cs="Arial" w:eastAsia="Arial" w:hAnsi="Arial"/>
          <w:sz w:val="18"/>
          <w:szCs w:val="18"/>
          <w:b w:val="1"/>
          <w:bCs w:val="1"/>
          <w:i w:val="1"/>
          <w:iCs w:val="1"/>
          <w:color w:val="auto"/>
        </w:rPr>
        <w:t xml:space="preserve">Superior Write Cycle Endurance. </w:t>
      </w:r>
      <w:r>
        <w:rPr>
          <w:rFonts w:ascii="Arial" w:cs="Arial" w:eastAsia="Arial" w:hAnsi="Arial"/>
          <w:sz w:val="18"/>
          <w:szCs w:val="18"/>
          <w:color w:val="auto"/>
        </w:rPr>
        <w:t>MRAM offers virtually unlimited write-cycle endurance (nearly ten million times greater than NAND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flash), enabling end-systems designers to offer products that are not limited by memory wear-out. A write cycle is the recording of data in the memory cell.</w:t>
      </w:r>
    </w:p>
    <w:p>
      <w:pPr>
        <w:spacing w:after="0" w:line="73" w:lineRule="exact"/>
        <w:rPr>
          <w:sz w:val="20"/>
          <w:szCs w:val="20"/>
          <w:color w:val="auto"/>
        </w:rPr>
      </w:pPr>
    </w:p>
    <w:p>
      <w:pPr>
        <w:ind w:left="640" w:right="160" w:firstLine="425"/>
        <w:spacing w:after="0" w:line="264" w:lineRule="auto"/>
        <w:rPr>
          <w:sz w:val="20"/>
          <w:szCs w:val="20"/>
          <w:color w:val="auto"/>
        </w:rPr>
      </w:pPr>
      <w:r>
        <w:rPr>
          <w:rFonts w:ascii="Arial" w:cs="Arial" w:eastAsia="Arial" w:hAnsi="Arial"/>
          <w:sz w:val="18"/>
          <w:szCs w:val="18"/>
          <w:b w:val="1"/>
          <w:bCs w:val="1"/>
          <w:i w:val="1"/>
          <w:iCs w:val="1"/>
          <w:color w:val="auto"/>
        </w:rPr>
        <w:t xml:space="preserve">Scalable to Greater Densities and Smaller Process Geometries. </w:t>
      </w:r>
      <w:r>
        <w:rPr>
          <w:rFonts w:ascii="Arial" w:cs="Arial" w:eastAsia="Arial" w:hAnsi="Arial"/>
          <w:sz w:val="18"/>
          <w:szCs w:val="18"/>
          <w:color w:val="auto"/>
        </w:rPr>
        <w:t>MRAM’s write-speed and endurance are scalable with increasing bit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densities and smaller geometries, which we believe will allow system designers to employ MRAM in applications that require more memory and smaller form factors.</w:t>
      </w:r>
    </w:p>
    <w:p>
      <w:pPr>
        <w:spacing w:after="0" w:line="73" w:lineRule="exact"/>
        <w:rPr>
          <w:sz w:val="20"/>
          <w:szCs w:val="20"/>
          <w:color w:val="auto"/>
        </w:rPr>
      </w:pPr>
    </w:p>
    <w:p>
      <w:pPr>
        <w:ind w:left="640" w:right="280" w:firstLine="425"/>
        <w:spacing w:after="0" w:line="277" w:lineRule="auto"/>
        <w:rPr>
          <w:sz w:val="20"/>
          <w:szCs w:val="20"/>
          <w:color w:val="auto"/>
        </w:rPr>
      </w:pPr>
      <w:r>
        <w:rPr>
          <w:rFonts w:ascii="Arial" w:cs="Arial" w:eastAsia="Arial" w:hAnsi="Arial"/>
          <w:sz w:val="18"/>
          <w:szCs w:val="18"/>
          <w:b w:val="1"/>
          <w:bCs w:val="1"/>
          <w:i w:val="1"/>
          <w:iCs w:val="1"/>
          <w:color w:val="auto"/>
        </w:rPr>
        <w:t xml:space="preserve">Proven to be Manufacturable at High Volumes. </w:t>
      </w:r>
      <w:r>
        <w:rPr>
          <w:rFonts w:ascii="Arial" w:cs="Arial" w:eastAsia="Arial" w:hAnsi="Arial"/>
          <w:sz w:val="18"/>
          <w:szCs w:val="18"/>
          <w:color w:val="auto"/>
        </w:rPr>
        <w:t>MRAM can be manufactured in high volumes and in advanced nodes, and is compatible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standard CMOS.</w:t>
      </w:r>
    </w:p>
    <w:p>
      <w:pPr>
        <w:spacing w:after="0" w:line="62" w:lineRule="exact"/>
        <w:rPr>
          <w:sz w:val="20"/>
          <w:szCs w:val="20"/>
          <w:color w:val="auto"/>
        </w:rPr>
      </w:pPr>
    </w:p>
    <w:p>
      <w:pPr>
        <w:ind w:left="640" w:firstLine="425"/>
        <w:spacing w:after="0" w:line="308" w:lineRule="auto"/>
        <w:rPr>
          <w:sz w:val="20"/>
          <w:szCs w:val="20"/>
          <w:color w:val="auto"/>
        </w:rPr>
      </w:pPr>
      <w:r>
        <w:rPr>
          <w:rFonts w:ascii="Arial" w:cs="Arial" w:eastAsia="Arial" w:hAnsi="Arial"/>
          <w:sz w:val="17"/>
          <w:szCs w:val="17"/>
          <w:b w:val="1"/>
          <w:bCs w:val="1"/>
          <w:i w:val="1"/>
          <w:iCs w:val="1"/>
          <w:color w:val="auto"/>
        </w:rPr>
        <w:t xml:space="preserve">Low Energy Requirement. </w:t>
      </w:r>
      <w:r>
        <w:rPr>
          <w:rFonts w:ascii="Arial" w:cs="Arial" w:eastAsia="Arial" w:hAnsi="Arial"/>
          <w:sz w:val="17"/>
          <w:szCs w:val="17"/>
          <w:color w:val="auto"/>
        </w:rPr>
        <w:t>MRAM utilizes energy efficiently over the duration of its write and read cycles. It has the ability to be completely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powered down, consuming no energy while still retaining data, which data can be accessed quickly once power is restored.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6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We are the only commercial provider of MRAM solutions. We have a strong track record of innovation in MRAM technology, as demonstrated by our successive introduction of MRAM products that address an increasingly broad spectrum of applications. Our three generations of MRAM discrete solutions are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We offer embedded MRAM (eMRAM) to our customers for integration into their system-on-a-chip (SoC) solutions. We also enable GLOBALFOUNDRIES to offer eMRAM in the solutions they manufacture for their customers. We believe eMRAM offers significant advantages over existing embedded memory solutions, particularly in endurance, bandwidth, energy and area requirements, leakage and persistence. We also sell a high performance magnetic sensor, which is based on our Magnetic Tunnel Junction (MTJ) technology.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apply our strengths to enhance our position as the leading supplier of MRAM products. We consider our key strengths to include the following:</w:t>
      </w:r>
    </w:p>
    <w:p>
      <w:pPr>
        <w:spacing w:after="0" w:line="248"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i w:val="1"/>
          <w:iCs w:val="1"/>
          <w:color w:val="auto"/>
        </w:rPr>
        <w:t xml:space="preserve">Technology Leadership in MRAM. </w:t>
      </w:r>
      <w:r>
        <w:rPr>
          <w:rFonts w:ascii="Arial" w:cs="Arial" w:eastAsia="Arial" w:hAnsi="Arial"/>
          <w:sz w:val="17"/>
          <w:szCs w:val="17"/>
          <w:color w:val="auto"/>
        </w:rPr>
        <w:t>We are recognized as the industry leader in MRAM technology. We have invested significant capital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 research and development, which has enabled us to become the only commercial supplier of MRAM. We have successfully developed and launched successive generations of solutions, each of which is based on the continued advancement of our MTJ technology. We have a substantial intellectual property portfolio that consists of more than 300 patents and more than 150 patent applications.</w:t>
      </w:r>
    </w:p>
    <w:p>
      <w:pPr>
        <w:spacing w:after="0" w:line="171"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 xml:space="preserve">Strong Customer Base. </w:t>
      </w:r>
      <w:r>
        <w:rPr>
          <w:rFonts w:ascii="Arial" w:cs="Arial" w:eastAsia="Arial" w:hAnsi="Arial"/>
          <w:sz w:val="18"/>
          <w:szCs w:val="18"/>
          <w:color w:val="auto"/>
        </w:rPr>
        <w:t>We have sold our products to over 600 customers worldwide. We collaborate closely with our customers on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which helps us to optimize the performance, capability and features of our MRAM products. We believe our multi-year relationships with our industry-leading customers and their familiarity with our proven MRAM technologies enable us to drive more rapid adoption of our solutions into their current and future products.</w:t>
      </w:r>
    </w:p>
    <w:p>
      <w:pPr>
        <w:spacing w:after="0" w:line="18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Flexible Manufacturing and Integrated Value Chain. </w:t>
      </w:r>
      <w:r>
        <w:rPr>
          <w:rFonts w:ascii="Arial" w:cs="Arial" w:eastAsia="Arial" w:hAnsi="Arial"/>
          <w:sz w:val="18"/>
          <w:szCs w:val="18"/>
          <w:color w:val="auto"/>
        </w:rPr>
        <w:t>We leverage both internal and outsourced capabilities to manufacture our MRAM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purchase industry-standard CMOS wafers from semiconductor foundries and complete the processing by inserting our magnetic-bit technology at our 200mm fabrication facility in Chandler, Arizona. We also utilize leading foundries to support high-volume production of our MRAM products at advanced process nodes. We believe our flexible approach to manufacturing allows us to streamline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6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36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color w:val="auto"/>
        </w:rPr>
        <w:t>research and development, rapidly prototype new products, and bring new products to market quickly and cost-effectively with limited capital expenditure requirements.</w:t>
      </w:r>
    </w:p>
    <w:p>
      <w:pPr>
        <w:spacing w:after="0" w:line="170" w:lineRule="exact"/>
        <w:rPr>
          <w:sz w:val="20"/>
          <w:szCs w:val="20"/>
          <w:color w:val="auto"/>
        </w:rPr>
      </w:pPr>
    </w:p>
    <w:p>
      <w:pPr>
        <w:ind w:left="200" w:right="180" w:firstLine="443"/>
        <w:spacing w:after="0" w:line="279" w:lineRule="auto"/>
        <w:rPr>
          <w:sz w:val="20"/>
          <w:szCs w:val="20"/>
          <w:color w:val="auto"/>
        </w:rPr>
      </w:pPr>
      <w:r>
        <w:rPr>
          <w:rFonts w:ascii="Arial" w:cs="Arial" w:eastAsia="Arial" w:hAnsi="Arial"/>
          <w:sz w:val="17"/>
          <w:szCs w:val="17"/>
          <w:i w:val="1"/>
          <w:iCs w:val="1"/>
          <w:color w:val="auto"/>
        </w:rPr>
        <w:t xml:space="preserve">Strategic Relationship with GLOBALFOUNDRIES. </w:t>
      </w:r>
      <w:r>
        <w:rPr>
          <w:rFonts w:ascii="Arial" w:cs="Arial" w:eastAsia="Arial" w:hAnsi="Arial"/>
          <w:sz w:val="17"/>
          <w:szCs w:val="17"/>
          <w:color w:val="auto"/>
        </w:rPr>
        <w:t>We have a manufacturing agreement with GLOBALFOUNDRIES related to 300mm</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and we also have a joint development agreement to support research and development of MRAM. We believe this relationship allows us to leverage GLOBALFOUNDRIES’ manufacturing expertise and technology portfolio to support our continued development of MRAM technology, and enables GLOBALFOUNDRIES to offer embedded MRAM technology in the products it manufactures for its customers.</w:t>
      </w:r>
    </w:p>
    <w:p>
      <w:pPr>
        <w:spacing w:after="0" w:line="171" w:lineRule="exact"/>
        <w:rPr>
          <w:sz w:val="20"/>
          <w:szCs w:val="20"/>
          <w:color w:val="auto"/>
        </w:rPr>
      </w:pPr>
    </w:p>
    <w:p>
      <w:pPr>
        <w:ind w:left="200" w:right="80" w:firstLine="443"/>
        <w:spacing w:after="0" w:line="279" w:lineRule="auto"/>
        <w:rPr>
          <w:sz w:val="20"/>
          <w:szCs w:val="20"/>
          <w:color w:val="auto"/>
        </w:rPr>
      </w:pPr>
      <w:r>
        <w:rPr>
          <w:rFonts w:ascii="Arial" w:cs="Arial" w:eastAsia="Arial" w:hAnsi="Arial"/>
          <w:sz w:val="17"/>
          <w:szCs w:val="17"/>
          <w:i w:val="1"/>
          <w:iCs w:val="1"/>
          <w:color w:val="auto"/>
        </w:rPr>
        <w:t xml:space="preserve">Proven Track Record. </w:t>
      </w:r>
      <w:r>
        <w:rPr>
          <w:rFonts w:ascii="Arial" w:cs="Arial" w:eastAsia="Arial" w:hAnsi="Arial"/>
          <w:sz w:val="17"/>
          <w:szCs w:val="17"/>
          <w:color w:val="auto"/>
        </w:rPr>
        <w:t>We have produced successive generations of MRAM products and have continued to invest in research and development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new products. We have successfully established a manufacturing ecosystem, including internal and outsourced fabrication coupled with leading packaging, assembly and test providers, to maintain high quality and availability of our products. We believe our strategic relationship with GLOBALFOUNDRIES validates our leadership position in current and next-generation MRAM technology.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Our growth strategy focuses on increasing the adoption of our MRAM technologies, which we believe will enable a change in the architecture of storage and computing systems. We believe MRAM will continue to be adopted because it is replacing alternative solutions in a market that already exists. Our strategy comprises the following elements:</w:t>
      </w:r>
    </w:p>
    <w:p>
      <w:pPr>
        <w:spacing w:after="0" w:line="181"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i w:val="1"/>
          <w:iCs w:val="1"/>
          <w:color w:val="auto"/>
        </w:rPr>
        <w:t xml:space="preserve">Grow our Technology Leadership. </w:t>
      </w:r>
      <w:r>
        <w:rPr>
          <w:rFonts w:ascii="Arial" w:cs="Arial" w:eastAsia="Arial" w:hAnsi="Arial"/>
          <w:sz w:val="18"/>
          <w:szCs w:val="18"/>
          <w:color w:val="auto"/>
        </w:rPr>
        <w:t>Our leadership in designing, developing and manufacturing MRAM solutions provides a strong foundation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delivering new products. We plan to grow our technology leadership position by offering higher density memory solutions, including 1Gb and above, to our customers through the continued advancement of our technology.</w:t>
      </w:r>
    </w:p>
    <w:p>
      <w:pPr>
        <w:spacing w:after="0" w:line="18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i w:val="1"/>
          <w:iCs w:val="1"/>
          <w:color w:val="auto"/>
        </w:rPr>
        <w:t xml:space="preserve">Expand our Presence with Existing Customers. </w:t>
      </w:r>
      <w:r>
        <w:rPr>
          <w:rFonts w:ascii="Arial" w:cs="Arial" w:eastAsia="Arial" w:hAnsi="Arial"/>
          <w:sz w:val="16"/>
          <w:szCs w:val="16"/>
          <w:color w:val="auto"/>
        </w:rPr>
        <w:t>We intend to continue to collaborate with our industry-leading customers to accelerate the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MRAM solutions into their systems. We believe our established and collaborative relationships with industry-leading providers of solid state drives (SSDs), redundant array of independent disks (RAIDs), and memory controllers will allow us to further penetrate enterprise storage applications with our MRAM solutions. We believe that our customers’ experience with our first generation of products will help increase adoption of our current and future high density MRAM products and will allow MRAM to become a higher percentage of our customers’ memory usage.</w:t>
      </w:r>
    </w:p>
    <w:p>
      <w:pPr>
        <w:spacing w:after="0" w:line="158"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i w:val="1"/>
          <w:iCs w:val="1"/>
          <w:color w:val="auto"/>
        </w:rPr>
        <w:t xml:space="preserve">Expand our Customer Base. </w:t>
      </w:r>
      <w:r>
        <w:rPr>
          <w:rFonts w:ascii="Arial" w:cs="Arial" w:eastAsia="Arial" w:hAnsi="Arial"/>
          <w:sz w:val="17"/>
          <w:szCs w:val="17"/>
          <w:color w:val="auto"/>
        </w:rPr>
        <w:t>We believe there are significant opportunities to expand our customer base within the industrial, automotive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and enterprise storage markets. Our success has facilitated a growing knowledge and acceptance of MRAM technology that we intend to leverage to acquire new customers. Additionally, as we release higher density products, we expect to broaden the applications for our MRAM solutions in the enterprise storage market, and address complementary end markets such as server and mobile computing.</w:t>
      </w:r>
    </w:p>
    <w:p>
      <w:pPr>
        <w:spacing w:after="0" w:line="17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i w:val="1"/>
          <w:iCs w:val="1"/>
          <w:color w:val="auto"/>
        </w:rPr>
        <w:t xml:space="preserve">Grow our Embedded MRAM Business. </w:t>
      </w:r>
      <w:r>
        <w:rPr>
          <w:rFonts w:ascii="Arial" w:cs="Arial" w:eastAsia="Arial" w:hAnsi="Arial"/>
          <w:sz w:val="18"/>
          <w:szCs w:val="18"/>
          <w:color w:val="auto"/>
        </w:rPr>
        <w:t>We expect to leverage our expertise in embedded MRAM technology to grow our licensing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generates a royalty-based revenue stream. Currently, we collaborate with GLOBALFOUNDRIES to provide our embedded MRAM technology to its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Our business is subject to numerous risks, including those described in the section titled “Risk Factors” immediately following this prospectus summary. Some of the more significant risks are:</w:t>
      </w:r>
    </w:p>
    <w:p>
      <w:pPr>
        <w:spacing w:after="0" w:line="76" w:lineRule="exact"/>
        <w:rPr>
          <w:sz w:val="20"/>
          <w:szCs w:val="20"/>
          <w:color w:val="auto"/>
        </w:rPr>
      </w:pPr>
    </w:p>
    <w:p>
      <w:pPr>
        <w:ind w:left="1060" w:hanging="43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losses and that we may not be able to achieve or sustain profitability in the future.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 that makes it difficult to evaluate our current business and future prospects.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lose the lease of our 200mm facility in Chandler, Arizona, we will need to move our manufacturing capability to another facility.</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accurately forecast customer demand and match production levels to customer orders.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manufacture, package, assemble and test our products.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market for our products is characterized by declines in average selling prices, which could negatively affect our revenue and margins.</w:t>
      </w:r>
    </w:p>
    <w:p>
      <w:pPr>
        <w:spacing w:after="0" w:line="153" w:lineRule="exact"/>
        <w:rPr>
          <w:rFonts w:ascii="Arial" w:cs="Arial" w:eastAsia="Arial" w:hAnsi="Arial"/>
          <w:sz w:val="16"/>
          <w:szCs w:val="16"/>
          <w:color w:val="auto"/>
        </w:rPr>
      </w:pPr>
    </w:p>
    <w:p>
      <w:pPr>
        <w:ind w:left="1060" w:right="360" w:hanging="431"/>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our relationships with original equipment manufacturers (OEMs) and original design manufacturers (ODMs) to enhance our product offerings and market position, and our failure to continue to develop or maintain such relationships in the future would harm our ability to remain competitive.</w:t>
      </w:r>
    </w:p>
    <w:p>
      <w:pPr>
        <w:spacing w:after="0" w:line="86" w:lineRule="exact"/>
        <w:rPr>
          <w:rFonts w:ascii="Arial" w:cs="Arial" w:eastAsia="Arial" w:hAnsi="Arial"/>
          <w:sz w:val="18"/>
          <w:szCs w:val="18"/>
          <w:color w:val="auto"/>
        </w:rPr>
      </w:pPr>
    </w:p>
    <w:p>
      <w:pPr>
        <w:ind w:left="1060" w:right="34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competition and expect competition to increase in the future. If we fail to compete effectively, our revenue growth and results of operations will be materially adversely affected.</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material weakness in our internal control over financial reporting.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Concurrent Private Placement</w:t>
      </w:r>
    </w:p>
    <w:p>
      <w:pPr>
        <w:spacing w:after="0" w:line="121" w:lineRule="exact"/>
        <w:rPr>
          <w:sz w:val="20"/>
          <w:szCs w:val="20"/>
          <w:color w:val="auto"/>
        </w:rPr>
      </w:pPr>
    </w:p>
    <w:p>
      <w:pPr>
        <w:ind w:left="200" w:right="140" w:firstLine="443"/>
        <w:spacing w:after="0" w:line="312" w:lineRule="auto"/>
        <w:rPr>
          <w:sz w:val="20"/>
          <w:szCs w:val="20"/>
          <w:color w:val="auto"/>
        </w:rPr>
      </w:pPr>
      <w:r>
        <w:rPr>
          <w:rFonts w:ascii="Arial" w:cs="Arial" w:eastAsia="Arial" w:hAnsi="Arial"/>
          <w:sz w:val="16"/>
          <w:szCs w:val="16"/>
          <w:color w:val="auto"/>
        </w:rPr>
        <w:t>GigaDevice Semiconductor (HK) Limited has agreed to purchase $5.0 million of our common stock in a separate private placement concurrent with the completion of this offering at a price per share equal to the initial public offering price. The sale of these shares will not be registered under the Securities Act of 1933, as amended. The closing of this offering is not conditioned upon the closing of this concurrent private placement.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0" w:firstLine="443"/>
        <w:spacing w:after="0" w:line="257" w:lineRule="auto"/>
        <w:rPr>
          <w:sz w:val="20"/>
          <w:szCs w:val="20"/>
          <w:color w:val="auto"/>
        </w:rPr>
      </w:pPr>
      <w:r>
        <w:rPr>
          <w:rFonts w:ascii="Arial" w:cs="Arial" w:eastAsia="Arial" w:hAnsi="Arial"/>
          <w:sz w:val="18"/>
          <w:szCs w:val="18"/>
          <w:color w:val="auto"/>
        </w:rPr>
        <w:t xml:space="preserve">We were incorporated in Delaware in May 2008. In June 2008, Freescale Semiconductor, Inc. (now a wholly-owned subsidiary of NXP Semiconductors N.V.), spun-out its MRAM business as Everspin. Our offices are located at 1347 N. Alma School Road, Suite 220, Chandler, Arizona 85224. Our telephone number is (480) 347-1111. Our corporate website is at </w:t>
      </w:r>
      <w:r>
        <w:rPr>
          <w:rFonts w:ascii="Arial" w:cs="Arial" w:eastAsia="Arial" w:hAnsi="Arial"/>
          <w:sz w:val="18"/>
          <w:szCs w:val="18"/>
          <w:i w:val="1"/>
          <w:iCs w:val="1"/>
          <w:color w:val="auto"/>
        </w:rPr>
        <w:t>www.Everspin.com</w:t>
      </w:r>
      <w:r>
        <w:rPr>
          <w:rFonts w:ascii="Arial" w:cs="Arial" w:eastAsia="Arial" w:hAnsi="Arial"/>
          <w:sz w:val="18"/>
          <w:szCs w:val="18"/>
          <w:color w:val="auto"/>
        </w:rPr>
        <w:t>. The information contained on or that can be accessed through our website is not incorporated by reference into this prospectus, and you should not consider information on our website to be part of this prospectus or in deciding to purchase our common stock.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and therefore we intend to take advantage of certain exemptions from various public company reporting requirements, including not being required to have our internal control over financial reporting attested to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and other exemptions for up to five years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to be sold in the concurrent private placement</w:t>
      </w:r>
    </w:p>
    <w:p>
      <w:pPr>
        <w:spacing w:after="0" w:line="266" w:lineRule="exact"/>
        <w:rPr>
          <w:sz w:val="20"/>
          <w:szCs w:val="20"/>
          <w:color w:val="auto"/>
        </w:rPr>
      </w:pPr>
    </w:p>
    <w:p>
      <w:pPr>
        <w:ind w:left="300" w:hanging="103"/>
        <w:spacing w:after="0" w:line="277" w:lineRule="auto"/>
        <w:rPr>
          <w:sz w:val="20"/>
          <w:szCs w:val="20"/>
          <w:color w:val="auto"/>
        </w:rPr>
      </w:pPr>
      <w:r>
        <w:rPr>
          <w:rFonts w:ascii="Arial" w:cs="Arial" w:eastAsia="Arial" w:hAnsi="Arial"/>
          <w:sz w:val="18"/>
          <w:szCs w:val="18"/>
          <w:color w:val="auto"/>
        </w:rPr>
        <w:t>Common stock to be outstanding immediately after this offering and the concurrent private placement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Underwriters’ option to purchase additional shares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Everspin Technologies, Inc.</w:t>
      </w:r>
    </w:p>
    <w:p>
      <w:pPr>
        <w:spacing w:after="0" w:line="26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5,000,000 shares (or 5,750,000 shares if the underwriters exercise in full their option to purchase additional shares to cover over-allotments)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625,000 shares</w:t>
      </w:r>
    </w:p>
    <w:p>
      <w:pPr>
        <w:spacing w:after="0" w:line="2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12,492,015 shares (or 13,242,015 shares if the underwriters exercise in full their option to purchase additional shares to cover over-allotments)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750,000 shares</w:t>
      </w:r>
    </w:p>
    <w:p>
      <w:pPr>
        <w:spacing w:after="0" w:line="2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intend to use substantially all of the net proceeds from this offering and the concurrent private placement for working capital and other general corporate purposes, including an estimated payment of $8.5 million due to GLOBALFOUNDRIES in December 2016. We may also use a portion of the net proceeds we receive from this offering and the concurrent private placement for investments in or acquisitions of complementary businesses, products, services, technologies or other assets. See “Use of Proceeds” on page 36 for a more complete description of the intended use of proceeds from this offering and the concurrent private placement.</w:t>
      </w:r>
    </w:p>
    <w:p>
      <w:pPr>
        <w:spacing w:after="0" w:line="200" w:lineRule="exact"/>
        <w:rPr>
          <w:sz w:val="20"/>
          <w:szCs w:val="20"/>
          <w:color w:val="auto"/>
        </w:rPr>
      </w:pPr>
    </w:p>
    <w:p>
      <w:pPr>
        <w:sectPr>
          <w:pgSz w:w="11900" w:h="16838" w:orient="portrait"/>
          <w:cols w:equalWidth="0" w:num="2">
            <w:col w:w="5400" w:space="100"/>
            <w:col w:w="5740"/>
          </w:cols>
          <w:pgMar w:left="240" w:top="459" w:right="419" w:bottom="1440" w:gutter="0" w:footer="0" w:header="0"/>
          <w:type w:val="continuous"/>
        </w:sectPr>
      </w:pPr>
    </w:p>
    <w:p>
      <w:pPr>
        <w:spacing w:after="0" w:line="9" w:lineRule="exact"/>
        <w:rPr>
          <w:sz w:val="20"/>
          <w:szCs w:val="20"/>
          <w:color w:val="auto"/>
        </w:rPr>
      </w:pPr>
    </w:p>
    <w:p>
      <w:pPr>
        <w:ind w:left="200"/>
        <w:spacing w:after="0"/>
        <w:tabs>
          <w:tab w:leader="none" w:pos="54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beginning on page 11 and other information included in this</w:t>
      </w:r>
    </w:p>
    <w:p>
      <w:pPr>
        <w:spacing w:after="0" w:line="23" w:lineRule="exact"/>
        <w:rPr>
          <w:sz w:val="20"/>
          <w:szCs w:val="20"/>
          <w:color w:val="auto"/>
        </w:rPr>
      </w:pPr>
    </w:p>
    <w:p>
      <w:pPr>
        <w:ind w:left="5500" w:right="60"/>
        <w:spacing w:after="0" w:line="261" w:lineRule="auto"/>
        <w:rPr>
          <w:sz w:val="20"/>
          <w:szCs w:val="20"/>
          <w:color w:val="auto"/>
        </w:rPr>
      </w:pPr>
      <w:r>
        <w:rPr>
          <w:rFonts w:ascii="Arial" w:cs="Arial" w:eastAsia="Arial" w:hAnsi="Arial"/>
          <w:sz w:val="18"/>
          <w:szCs w:val="18"/>
          <w:color w:val="auto"/>
        </w:rPr>
        <w:t>prospectus for a discussion of factors that you should consider carefully before deciding to invest in our common stock.</w:t>
      </w:r>
    </w:p>
    <w:p>
      <w:pPr>
        <w:spacing w:after="0" w:line="211" w:lineRule="exact"/>
        <w:rPr>
          <w:sz w:val="20"/>
          <w:szCs w:val="20"/>
          <w:color w:val="auto"/>
        </w:rPr>
      </w:pPr>
    </w:p>
    <w:p>
      <w:pPr>
        <w:ind w:left="200"/>
        <w:spacing w:after="0"/>
        <w:tabs>
          <w:tab w:leader="none" w:pos="548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“MRAM”</w:t>
      </w:r>
    </w:p>
    <w:p>
      <w:pPr>
        <w:spacing w:after="0" w:line="266" w:lineRule="exact"/>
        <w:rPr>
          <w:sz w:val="20"/>
          <w:szCs w:val="20"/>
          <w:color w:val="auto"/>
        </w:rPr>
      </w:pPr>
    </w:p>
    <w:p>
      <w:pPr>
        <w:ind w:left="200"/>
        <w:spacing w:after="0"/>
        <w:tabs>
          <w:tab w:leader="none" w:pos="5480" w:val="left"/>
        </w:tabs>
        <w:rPr>
          <w:sz w:val="20"/>
          <w:szCs w:val="20"/>
          <w:color w:val="auto"/>
        </w:rPr>
      </w:pPr>
      <w:r>
        <w:rPr>
          <w:rFonts w:ascii="Arial" w:cs="Arial" w:eastAsia="Arial" w:hAnsi="Arial"/>
          <w:sz w:val="18"/>
          <w:szCs w:val="18"/>
          <w:color w:val="auto"/>
        </w:rPr>
        <w:t>Potential Insider Participation</w:t>
      </w:r>
      <w:r>
        <w:rPr>
          <w:sz w:val="20"/>
          <w:szCs w:val="20"/>
          <w:color w:val="auto"/>
        </w:rPr>
        <w:tab/>
      </w:r>
      <w:r>
        <w:rPr>
          <w:rFonts w:ascii="Arial" w:cs="Arial" w:eastAsia="Arial" w:hAnsi="Arial"/>
          <w:sz w:val="16"/>
          <w:szCs w:val="16"/>
          <w:color w:val="auto"/>
        </w:rPr>
        <w:t>Certain of our directors and principal stockholders affiliated with our directors,</w:t>
      </w:r>
    </w:p>
    <w:p>
      <w:pPr>
        <w:spacing w:after="0" w:line="23" w:lineRule="exact"/>
        <w:rPr>
          <w:sz w:val="20"/>
          <w:szCs w:val="20"/>
          <w:color w:val="auto"/>
        </w:rPr>
      </w:pPr>
    </w:p>
    <w:p>
      <w:pPr>
        <w:ind w:left="5500" w:right="60"/>
        <w:spacing w:after="0" w:line="252" w:lineRule="auto"/>
        <w:rPr>
          <w:sz w:val="20"/>
          <w:szCs w:val="20"/>
          <w:color w:val="auto"/>
        </w:rPr>
      </w:pPr>
      <w:r>
        <w:rPr>
          <w:rFonts w:ascii="Arial" w:cs="Arial" w:eastAsia="Arial" w:hAnsi="Arial"/>
          <w:sz w:val="18"/>
          <w:szCs w:val="18"/>
          <w:color w:val="auto"/>
        </w:rPr>
        <w:t>have indicated an interest in purchasing up to an aggregate of approximately $6.2 million of shares of common stock in this offering at the public offering price. See “Certain Relationships and Related Party Transactions.” Because these indications of interest are not binding agreements or commitments to purchase, these stockholders may elect not to purchase any shares in this offering, or the underwriters may elect to sell more, fewer or no shares to them in this offering.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00"/>
        <w:spacing w:after="0" w:line="257" w:lineRule="auto"/>
        <w:rPr>
          <w:sz w:val="20"/>
          <w:szCs w:val="20"/>
          <w:color w:val="auto"/>
        </w:rPr>
      </w:pPr>
      <w:r>
        <w:rPr>
          <w:rFonts w:ascii="Arial" w:cs="Arial" w:eastAsia="Arial" w:hAnsi="Arial"/>
          <w:sz w:val="18"/>
          <w:szCs w:val="18"/>
          <w:color w:val="auto"/>
        </w:rPr>
        <w:t>underwriters will receive the same discounts and commissions from any shares of our common stock purchased by these stockholders as they will from any other shares of our common stock sold to the public in this offering. Any shares purchased by these stockholders will be subject to the lock-up restrictions described in “Shares Eligible for Future Sale.”</w:t>
      </w:r>
    </w:p>
    <w:p>
      <w:pPr>
        <w:spacing w:after="0" w:line="202"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The number of shares of common stock to be outstanding after this offering and the concurrent private placement is based on 6,867,015 shares of common stock outstanding as of June 30, 2016, assuming conversion of all outstanding preferred stock into an aggregate of 2,486,199 shares of common stock, and the conversion of $8.5 million principal amount of convertible promissory notes, plus interest assuming a conversion date of October 12, 2016, and initial public offering price of $8.00 per share into 1,361,009 shares of common stock (which includes 552,262 shares of common stock issuable upon conversion of convertible promissory notes in the aggregate principal amount of $3.5 million issued in August 2016) immediately prior to the closing of this offering, and excludes the following:</w:t>
      </w:r>
    </w:p>
    <w:p>
      <w:pPr>
        <w:spacing w:after="0" w:line="84" w:lineRule="exact"/>
        <w:rPr>
          <w:sz w:val="20"/>
          <w:szCs w:val="20"/>
          <w:color w:val="auto"/>
        </w:rPr>
      </w:pPr>
    </w:p>
    <w:p>
      <w:pPr>
        <w:ind w:left="1060" w:right="60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862,383 shares of our common stock issuable upon the exercise of options to purchase shares of our common stock outstanding as of June 30, 2016, with a weighted-average exercise price of $4.43 per share;</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27,690 shares of our common stock issuable upon exercise of outstanding warrants as of June 30, 2016, with a weighted-average exercise price of $26.00 per share;</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463,259 shares of common stock reserved for future grants under our 2008 Equity Incentive Plan as of June 30, 2016, which shares reserved for future issuance and not subject to outstanding stock options will cease to be available for issuance at the time our 2016 Equity Incentive Plan becomes effective in connection with this offering;</w:t>
      </w:r>
    </w:p>
    <w:p>
      <w:pPr>
        <w:spacing w:after="0" w:line="86" w:lineRule="exact"/>
        <w:rPr>
          <w:rFonts w:ascii="Arial" w:cs="Arial" w:eastAsia="Arial" w:hAnsi="Arial"/>
          <w:sz w:val="18"/>
          <w:szCs w:val="18"/>
          <w:color w:val="auto"/>
        </w:rPr>
      </w:pPr>
    </w:p>
    <w:p>
      <w:pPr>
        <w:ind w:left="1060" w:right="20" w:hanging="431"/>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500,000 shares of common stock reserved for future issuance under our 2016 Equity Incentive Plan, as well as any automatic increases in the number of shares of common stock reserved for future issuance under this plan, which will become effective upon the execution of the underwriting agreement related to this offering; and</w:t>
      </w:r>
    </w:p>
    <w:p>
      <w:pPr>
        <w:spacing w:after="0" w:line="86" w:lineRule="exact"/>
        <w:rPr>
          <w:rFonts w:ascii="Arial" w:cs="Arial" w:eastAsia="Arial" w:hAnsi="Arial"/>
          <w:sz w:val="18"/>
          <w:szCs w:val="18"/>
          <w:color w:val="auto"/>
        </w:rPr>
      </w:pPr>
    </w:p>
    <w:p>
      <w:pPr>
        <w:jc w:val="both"/>
        <w:ind w:left="1060" w:right="540" w:hanging="431"/>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96,153 shares of common stock reserved for future issuance under our 2016 Employee Stock Purchase Plan, as well as any automatic increases in the number of shares of common stock reserved for future issuance under this plan, which will become effective upon the execution of the underwriting agreement related to this offering.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1-for-26 reverse split of our common and preferred stock effected on September 21, 2016;</w:t>
      </w:r>
    </w:p>
    <w:p>
      <w:pPr>
        <w:spacing w:after="0" w:line="130" w:lineRule="exact"/>
        <w:rPr>
          <w:rFonts w:ascii="Arial" w:cs="Arial" w:eastAsia="Arial" w:hAnsi="Arial"/>
          <w:sz w:val="18"/>
          <w:szCs w:val="18"/>
          <w:color w:val="auto"/>
        </w:rPr>
      </w:pPr>
    </w:p>
    <w:p>
      <w:pPr>
        <w:ind w:left="1060" w:right="10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conversion of 2,486,199 shares of our convertible preferred stock outstanding as of June 30, 2016, into an aggregate of 2,486,199 shares of our common stock immediately prior to the closing of this offering;</w:t>
      </w:r>
    </w:p>
    <w:p>
      <w:pPr>
        <w:spacing w:after="0" w:line="75" w:lineRule="exact"/>
        <w:rPr>
          <w:rFonts w:ascii="Arial" w:cs="Arial" w:eastAsia="Arial" w:hAnsi="Arial"/>
          <w:sz w:val="18"/>
          <w:szCs w:val="18"/>
          <w:color w:val="auto"/>
        </w:rPr>
      </w:pPr>
    </w:p>
    <w:p>
      <w:pPr>
        <w:ind w:left="1060" w:right="2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and issuance of 625,000 shares of common stock in the concurrent private placement to GigaDevice Semiconductor (HK) Limited at the initial public offering price;</w:t>
      </w:r>
    </w:p>
    <w:p>
      <w:pPr>
        <w:spacing w:after="0" w:line="75" w:lineRule="exact"/>
        <w:rPr>
          <w:rFonts w:ascii="Arial" w:cs="Arial" w:eastAsia="Arial" w:hAnsi="Arial"/>
          <w:sz w:val="18"/>
          <w:szCs w:val="18"/>
          <w:color w:val="auto"/>
        </w:rPr>
      </w:pPr>
    </w:p>
    <w:p>
      <w:pPr>
        <w:ind w:left="1060" w:right="80" w:hanging="431"/>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conversion of $8.5 million principal amount of convertible promissory notes plus interest assuming a conversion date of October 12, 2016, and initial public offering price of $8.00 per share into 1,361,009 shares of common stock (which includes 552,262 shares of common stock issuable upon conversion of convertible promissory notes in the aggregate principal amount of $3.5 million issued in August 2016) immediately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44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444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of all convertible preferred stock warrants outstanding as of June 30, 2016, into warrants to purchase up to an aggregate 27,690 shares of our common stock immediately prior to the closing of this offering;</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June 30, 2016;</w:t>
      </w:r>
    </w:p>
    <w:p>
      <w:pPr>
        <w:spacing w:after="0" w:line="130"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immediately prior to the closing of this offering; and</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to cover over-allotments.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240" w:top="459" w:right="7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The following tables summarize our historical financial and other financial data. We have derived the summary statements of operations data for the years ended December 31, 2014 and 2015, from our audited financial statements included elsewhere in this prospectus. We derived the summary statements of operations data for the six months ended June 30, 2015 and 2016, and the summary balance sheet data as of June 30, 2016, from our unaudited interim financial statements included elsewhere in this prospectus. The unaudited interim financial statements have been prepared on the same basis as our audited financial statements and, in the opinion of management, reflect all adjustments, consisting only of normal recurring adjustments, necessary to present fairly our financial position and results of operations.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Year Ended December 31,</w:t>
            </w: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0" w:type="dxa"/>
            <w:vAlign w:val="bottom"/>
            <w:gridSpan w:val="10"/>
          </w:tcPr>
          <w:p>
            <w:pPr>
              <w:jc w:val="right"/>
              <w:ind w:right="291"/>
              <w:spacing w:after="0" w:line="119" w:lineRule="exact"/>
              <w:rPr>
                <w:sz w:val="20"/>
                <w:szCs w:val="20"/>
                <w:color w:val="auto"/>
              </w:rPr>
            </w:pPr>
            <w:r>
              <w:rPr>
                <w:rFonts w:ascii="Arial" w:cs="Arial" w:eastAsia="Arial" w:hAnsi="Arial"/>
                <w:sz w:val="13"/>
                <w:szCs w:val="13"/>
                <w:b w:val="1"/>
                <w:bCs w:val="1"/>
                <w:color w:val="auto"/>
              </w:rPr>
              <w:t>(In thousands, except share and per share amount)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and royalty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7040" w:type="dxa"/>
            <w:vAlign w:val="bottom"/>
            <w:gridSpan w:val="2"/>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7040" w:type="dxa"/>
            <w:vAlign w:val="bottom"/>
            <w:gridSpan w:val="2"/>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12,664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21,126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net loss per common share, basic and diluted</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2,544,578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2,552,205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2,552,185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2,555,397</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pro forma net loss per share, basic and diluted (unaudited)</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5,038,404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5,839,451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0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6540" w:type="dxa"/>
            <w:vAlign w:val="bottom"/>
            <w:gridSpan w:val="2"/>
          </w:tcPr>
          <w:p>
            <w:pPr>
              <w:spacing w:after="0"/>
              <w:rPr>
                <w:sz w:val="20"/>
                <w:szCs w:val="20"/>
                <w:color w:val="auto"/>
              </w:rPr>
            </w:pPr>
            <w:r>
              <w:rPr>
                <w:rFonts w:ascii="Arial" w:cs="Arial" w:eastAsia="Arial" w:hAnsi="Arial"/>
                <w:sz w:val="14"/>
                <w:szCs w:val="14"/>
                <w:color w:val="auto"/>
              </w:rPr>
              <w:t>(1)  Includes stock-based compensation as follows: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58"/>
        </w:trPr>
        <w:tc>
          <w:tcPr>
            <w:tcW w:w="13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right"/>
              <w:ind w:right="168"/>
              <w:spacing w:after="0"/>
              <w:rPr>
                <w:sz w:val="20"/>
                <w:szCs w:val="20"/>
                <w:color w:val="auto"/>
              </w:rPr>
            </w:pPr>
            <w:r>
              <w:rPr>
                <w:rFonts w:ascii="Arial" w:cs="Arial" w:eastAsia="Arial" w:hAnsi="Arial"/>
                <w:sz w:val="14"/>
                <w:szCs w:val="14"/>
                <w:color w:val="auto"/>
              </w:rPr>
              <w:t>Year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color w:val="auto"/>
              </w:rPr>
              <w:t>Six Months Ended</w:t>
            </w:r>
          </w:p>
        </w:tc>
      </w:tr>
      <w:tr>
        <w:trPr>
          <w:trHeight w:val="167"/>
        </w:trPr>
        <w:tc>
          <w:tcPr>
            <w:tcW w:w="1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December 31,</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3"/>
              </w:rPr>
              <w:t>June 30,</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2014</w:t>
            </w: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89"/>
              </w:rPr>
              <w:t>2016</w:t>
            </w:r>
          </w:p>
        </w:tc>
        <w:tc>
          <w:tcPr>
            <w:tcW w:w="80" w:type="dxa"/>
            <w:vAlign w:val="bottom"/>
          </w:tcPr>
          <w:p>
            <w:pPr>
              <w:spacing w:after="0"/>
              <w:rPr>
                <w:sz w:val="12"/>
                <w:szCs w:val="12"/>
                <w:color w:val="auto"/>
              </w:rPr>
            </w:pPr>
          </w:p>
        </w:tc>
      </w:tr>
      <w:tr>
        <w:trPr>
          <w:trHeight w:val="123"/>
        </w:trPr>
        <w:tc>
          <w:tcPr>
            <w:tcW w:w="134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gridSpan w:val="4"/>
          </w:tcPr>
          <w:p>
            <w:pPr>
              <w:jc w:val="right"/>
              <w:ind w:right="88"/>
              <w:spacing w:after="0" w:line="123"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7"/>
        </w:trPr>
        <w:tc>
          <w:tcPr>
            <w:tcW w:w="1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$ 304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r>
      <w:tr>
        <w:trPr>
          <w:trHeight w:val="156"/>
        </w:trPr>
        <w:tc>
          <w:tcPr>
            <w:tcW w:w="1340" w:type="dxa"/>
            <w:vAlign w:val="bottom"/>
          </w:tcPr>
          <w:p>
            <w:pPr>
              <w:spacing w:after="0"/>
              <w:rPr>
                <w:sz w:val="13"/>
                <w:szCs w:val="13"/>
                <w:color w:val="auto"/>
              </w:rPr>
            </w:pPr>
          </w:p>
        </w:tc>
        <w:tc>
          <w:tcPr>
            <w:tcW w:w="5200" w:type="dxa"/>
            <w:vAlign w:val="bottom"/>
          </w:tcPr>
          <w:p>
            <w:pPr>
              <w:ind w:left="280"/>
              <w:spacing w:after="0" w:line="155"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4"/>
              </w:rPr>
              <w:t>$ 799</w:t>
            </w:r>
          </w:p>
        </w:tc>
        <w:tc>
          <w:tcPr>
            <w:tcW w:w="5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$ 416</w:t>
            </w: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5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100" w:hanging="323"/>
        <w:spacing w:after="0" w:line="230"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Notes 2 and 12 to our financial statements included elsewhere in this prospectus for an explanation of the calculations of our basic and diluted net loss per common share, pro forma net loss per share, and the weighted-average number of shares used in the computation of the per share amounts.</w:t>
      </w:r>
    </w:p>
    <w:p>
      <w:pPr>
        <w:ind w:left="520" w:right="220" w:hanging="323"/>
        <w:spacing w:after="0" w:line="229"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define Adjusted EBITDA as net income or loss adjusted for depreciation and amortization, stock-based compensation expense, compensation expense related to the vesting of common stock held by GLOBALFOUNDRIES resulting from our joint development agreement and interest expense. See “Selected Financial Data” for a reconciliation of Adjusted EBITDA to net loss, the most directly comparable GAAP financial measure, the explanation of why we track Adjusted EBITDA, why Adjusted EBITDA may be a useful measure for investors, and the limitations of this measure as an analytical tool.</w:t>
      </w:r>
    </w:p>
    <w:p>
      <w:pPr>
        <w:spacing w:after="0" w:line="18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that will be determined at pricing.</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As of June 30, 2016</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20" w:type="dxa"/>
            <w:vAlign w:val="bottom"/>
          </w:tcPr>
          <w:p>
            <w:pPr>
              <w:spacing w:after="0"/>
              <w:rPr>
                <w:sz w:val="10"/>
                <w:szCs w:val="10"/>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Actual</w:t>
            </w:r>
          </w:p>
        </w:tc>
        <w:tc>
          <w:tcPr>
            <w:tcW w:w="15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0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  2,642</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6,142</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44,867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(11,506)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(2,757)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13,696</w:t>
            </w:r>
          </w:p>
        </w:tc>
        <w:tc>
          <w:tcPr>
            <w:tcW w:w="5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17,196</w:t>
            </w:r>
          </w:p>
        </w:tc>
        <w:tc>
          <w:tcPr>
            <w:tcW w:w="4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55,921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Convertible promissory notes payable — related party</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4,861</w:t>
            </w:r>
          </w:p>
        </w:tc>
        <w:tc>
          <w:tcPr>
            <w:tcW w:w="5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9,046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9,046</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416</w:t>
            </w:r>
          </w:p>
        </w:tc>
        <w:tc>
          <w:tcPr>
            <w:tcW w:w="5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64,642</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(78,704)</w:t>
            </w:r>
          </w:p>
        </w:tc>
        <w:tc>
          <w:tcPr>
            <w:tcW w:w="52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(4,897)</w:t>
            </w:r>
          </w:p>
        </w:tc>
        <w:tc>
          <w:tcPr>
            <w:tcW w:w="4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33,828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60" w:hanging="323"/>
        <w:spacing w:after="0" w:line="224"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(i) the conversion of the outstanding shares of our redeemable convertible preferred stock as of June 30, 2016, into 2,486,199 shares of our common stock, (ii) the conversion of warrants to purchase 27,690 shares of redeemable convertible preferred stock into warrants to purchase 27,690 shares of common stock immediately prior to closing of this offering and the related reclassification of our redeemable convertible preferred stock warrant liability to total stockholders’ equity (deficit), (iii) the conversion of $8.5 million principal amount of convertible promissory notes, plus interest assuming a conversion date of October 12, 2016, and an initial public offering price of $8.00 per share into 1,361,009 shares of common stock (which includes 552,262 shares of common stock issuable upon conversion of convertible promissory notes in the aggregate principal amount of $3.5 million issued in August 2016) immediately prior to the closing of this offering.</w:t>
      </w:r>
    </w:p>
    <w:p>
      <w:pPr>
        <w:spacing w:after="0" w:line="1" w:lineRule="exact"/>
        <w:rPr>
          <w:rFonts w:ascii="Arial" w:cs="Arial" w:eastAsia="Arial" w:hAnsi="Arial"/>
          <w:sz w:val="14"/>
          <w:szCs w:val="14"/>
          <w:color w:val="auto"/>
        </w:rPr>
      </w:pPr>
    </w:p>
    <w:p>
      <w:pPr>
        <w:ind w:left="520" w:right="280" w:hanging="323"/>
        <w:spacing w:after="0" w:line="22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the pro forma adjustments described in footnote (1) and the sale and issuance of 5,000,000 shares of our common stock by us in this offering and 625,000 shares of common stock in the concurrent private placement to GigaDevice Semiconductor (HK) Limited at the assumed initial public offering price of $8.00 per share after deducting underwriting discounts and commissions, the placement agent fee and estimated offering expenses payable by us.</w:t>
      </w:r>
    </w:p>
    <w:p>
      <w:pPr>
        <w:ind w:left="520" w:right="80" w:hanging="323"/>
        <w:spacing w:after="0" w:line="22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$8.00 per share would increase (decrease) our cash and cash equivalents, working capital, total assets and total stockholders’ (deficit) equity by approximately $4.7 million, assuming that the number of shares of our common stock offered by us in this public offering as set forth on the cover page of this prospectus, remains the same and after deducting underwriting discounts and commissions and the placement agent fee payable by us. Each increase (decrease) of 100,000 shares in the number of shares offered by us in this public offering would increase (decrease) the amount of our cash and cash equivalents, working capital, total assets and total stockholders’ equity (deficit) by approximately $0.7 million, assuming an initial public offering price of $8.00 per share after deducting underwriting discounts and commissions and the placement agent fee payable by us.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 factors together with all of the other information contained in this prospectus, including our financial statements and the related notes, before deciding whether to invest in shares of our common stock. Each of these risks could harm our business, operating results, financial condition or growth prospects. As a result, the trading price of our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incurred net losses since our inception. We incurred net losses of $10.2 million, $18.2 million, and $10.0 million for the years ended December 31, 2014 and 2015, and the six months ended June 30, 2016, respectively. As of June 30, 2016, we had an accumulated deficit of $89.7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Our ability to generate sufficient revenue and to transition to profitability and generate consistent positive cash flows is uncertain. In addition, as a public company, we will incur significant additional legal, accounting and other expenses that we did not incur as a private company. We do not know whether our revenue will grow rapidly enough to absorb these costs, and our limited operating history makes it difficult to assess the extent of these expenses, or their impact on our results of operations.</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have been in existence as a stand-alone company since 2008, when Freescale Semiconductor, Inc. (now a wholly-owned subsidiary of NXP Semiconductors N.V.),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have also been developing our next-generation of Spin-Torque MRAM (ST-MRAM) products. Adoption of these products is important to the future growth of our business, but revenue associated with these products has not been material to date.</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manufacture some of our MRAM products at our 200mm facility we lease in Chandler, Arizona, and if we are unable to renew this lease we will need to find another facility and move our manufacturing capability, which would be time consuming, costly, and hamper our ability to provide our MRAM products to customers in the time frames they require.</w:t>
      </w:r>
    </w:p>
    <w:p>
      <w:pPr>
        <w:spacing w:after="0" w:line="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Under a single agreement we lease two facilities for our 200mm manufacturing and research and development functions from NXP. NXP has exercised its option to terminate the lease effective April 14, 2017. We are currently in negotiations with NXP to renew the manufacturing facility portion of the lease, and NXP has indicated its desire to continue to lease to us this facility. However, if we are not able to extend the manufacturing portion of the lease before April 2017, or if we lose this lease earlier than expected for any reason or are not able to find alternative facilities in a timely manner, our ability to produce and deliver a large portion of our MRAM products will be severely harmed. Even if we are able to find alternative facilities, the time and cost of transferring our manufacturing to a new facility could substantially harm our business. We are also seeking office and laboratory space at a different location, and if we are unable to find this space on reasonable terms, our business and operations may be harmed.</w:t>
      </w:r>
    </w:p>
    <w:p>
      <w:pPr>
        <w:spacing w:after="0" w:line="286"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rely on third parties to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Relying on third-party manufacturing, assembly, packaging and testing presents a number of risks, including but not limited to:</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jc w:val="both"/>
        <w:ind w:right="380" w:firstLine="456"/>
        <w:spacing w:after="0" w:line="288" w:lineRule="auto"/>
        <w:rPr>
          <w:sz w:val="20"/>
          <w:szCs w:val="20"/>
          <w:color w:val="auto"/>
        </w:rPr>
      </w:pPr>
      <w:r>
        <w:rPr>
          <w:rFonts w:ascii="Arial" w:cs="Arial" w:eastAsia="Arial" w:hAnsi="Arial"/>
          <w:sz w:val="16"/>
          <w:szCs w:val="16"/>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Advanced Semiconductor Engineering (ASE), and Amkor, and we typically negotiate pricing on a per-purchase order basis and in some cases on an annual basis.</w:t>
      </w:r>
    </w:p>
    <w:p>
      <w:pPr>
        <w:ind w:right="60"/>
        <w:spacing w:after="0" w:line="252" w:lineRule="auto"/>
        <w:rPr>
          <w:sz w:val="20"/>
          <w:szCs w:val="20"/>
          <w:color w:val="auto"/>
        </w:rPr>
      </w:pPr>
      <w:r>
        <w:rPr>
          <w:rFonts w:ascii="Arial" w:cs="Arial" w:eastAsia="Arial" w:hAnsi="Arial"/>
          <w:sz w:val="18"/>
          <w:szCs w:val="18"/>
          <w:color w:val="auto"/>
        </w:rPr>
        <w:t>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9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117"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ST-MRAM. These relationships are subject to various risks that could adversely affect the value of our investments and our results of operations. These risks include the following:</w:t>
      </w:r>
    </w:p>
    <w:p>
      <w:pPr>
        <w:spacing w:after="0" w:line="92" w:lineRule="exact"/>
        <w:rPr>
          <w:sz w:val="20"/>
          <w:szCs w:val="20"/>
          <w:color w:val="auto"/>
        </w:rPr>
      </w:pPr>
    </w:p>
    <w:p>
      <w:pPr>
        <w:ind w:left="900" w:right="2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or if we fail to pay project costs by December 16, 2016, which were approximately $5.6 million as of June 30, 2016, and are estimated to be approximately $8.5 million in December 2016. If GLOBALFOUNDRIES terminates the joint development agreement, our ability to continue to develop our MRAM technology will be significantly impaired.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our strategic relationships are unsuccessful, our business, results of operations, or financial condition may be materially adversely affected.</w:t>
      </w:r>
    </w:p>
    <w:p>
      <w:pPr>
        <w:spacing w:after="0" w:line="3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6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26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next-generation products, which we expect to be one of the drivers of our revenue growth in the future. However, we may not succeed in developing and marketing these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new generations of our products, our revenue could decline and our business, financial condition, results of operations and cash flows would be negatively affected. For example, we generated limited revenue from sales of our ST-MRAM products to date. While we expect revenue from our ST-MRAM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29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sell to customers that incorporate MRAM into their products. A design win occurs after a customer has tested our product, verified that it meets the customer’s requirements and qualified our solutions for their products. Our customers may need several months to years to test, evaluate and adopt our product and additional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97" w:lineRule="auto"/>
        <w:rPr>
          <w:sz w:val="20"/>
          <w:szCs w:val="20"/>
          <w:color w:val="auto"/>
        </w:rPr>
      </w:pPr>
      <w:r>
        <w:rPr>
          <w:rFonts w:ascii="Arial" w:cs="Arial" w:eastAsia="Arial" w:hAnsi="Arial"/>
          <w:sz w:val="16"/>
          <w:szCs w:val="16"/>
          <w:color w:val="auto"/>
        </w:rPr>
        <w:t>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If current or prospective customers do not include our solutions in their products and we fail to achieve a sufficient number of design wins, our results of operations and business may be harmed.</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62"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 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2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41% of our total revenue for the year ended December 31, 2015, and two customers each accounted for more than 10% of our total revenue during the period. Our five largest end customers together accounted for 34% of our total revenue for the six months ended June 30, 2016,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can fluctuate from period to period, which could cause our share price to fluctuate.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contribute to these fluctuations include the following factors, as well as other factors described elsewhere in this prospectus: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reduction, delay or cancellation of orders by large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or loss of significant customers or distributors;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our launch of new or enhanced products and those of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growth or decline in the industrial, automotive and transportation, enterprise storage and other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extent of research and development and sales and marketing expenditures;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the manufacturing costs of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resulting in lower than expected average selling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cyclical and seasonal fluctuations in our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manufacturing yields of our third-party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issues that arise from manufacturing issues at our third-party manufacturers;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constraints for and changes in the cost of the other components incorporated into our customers’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repair and replacement of defective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our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others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7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2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62"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Asahi Kasei Microdevices, Fairchild, Invensys (now Schneider), Kionix and Micronas. In addition, as the MRAM market opportunity grows, we expect new entrants such as Avalanche will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costs may increase substantially if we or our third-party manufacturing contractors do not achieve satisfactory product yields or quality.</w:t>
      </w:r>
    </w:p>
    <w:p>
      <w:pPr>
        <w:spacing w:after="0" w:line="129"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production time and costs and adversely impact our operating results. Product yield losses will increase our costs and reduce our gross margin. For example, cost of sales increased in the third and fourth quarters of 2015 due to product yield issues in our fabrication line. In addition to significantly harming our results of operations and cash flow, poor yields may delay shipment of our products and harm our relationships with existing and potential customers.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complexity of our products may lead to defects, which could negatively impact our reputation with customers and result in liability.</w:t>
      </w:r>
    </w:p>
    <w:p>
      <w:pPr>
        <w:spacing w:after="0" w:line="1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7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event could have a material adverse effect on our business, financial condition and results of operations.</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2"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 processes for smaller geometry products. We may not be able to achieve smaller geometries with</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7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9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license technology from the third-party claiming infringement, which license may not be available on commercially reasonable terms, or at all;</w:t>
      </w:r>
    </w:p>
    <w:p>
      <w:pPr>
        <w:spacing w:after="0" w:line="153"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6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2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expect that our new and future generation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recently issued refresh equity awards to our personnel in connection with this offering,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62"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62"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52" w:lineRule="exact"/>
        <w:rPr>
          <w:sz w:val="20"/>
          <w:szCs w:val="20"/>
          <w:color w:val="auto"/>
        </w:rPr>
      </w:pPr>
    </w:p>
    <w:p>
      <w:pPr>
        <w:ind w:left="900" w:right="36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or liabilities, including possible litigation, associated with the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an acquisition.</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maintain operations outside of the United States and intend to expand our international operations, which exposes us to significant risks.</w:t>
      </w:r>
    </w:p>
    <w:p>
      <w:pPr>
        <w:spacing w:after="0" w:line="14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84" w:lineRule="exact"/>
        <w:rPr>
          <w:sz w:val="20"/>
          <w:szCs w:val="20"/>
          <w:color w:val="auto"/>
        </w:rPr>
      </w:pPr>
    </w:p>
    <w:p>
      <w:pPr>
        <w:ind w:left="5620" w:right="3740" w:hanging="5166"/>
        <w:spacing w:after="0" w:line="449" w:lineRule="auto"/>
        <w:tabs>
          <w:tab w:leader="none" w:pos="8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 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consequences as a result of repatriating cash generated from foreign operations to the United States;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33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6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fund our business, which may not be available to us on favorable terms or at all.</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believe that our existing cash and cash equivalents as of June 30, 2016, together with the additional borrowings available under our credit facility, cash proceeds from the convertible promissory notes issued in August 2016 and the net proceeds from this offering and the concurrent private placement, will be sufficient to meet our anticipated cash requirements for the next 12 months. Our ability to access the revolving loan under our credit facility depends upon levels of our accounts receivable and, therefore, the full amount may not be available to us at any specific time. Without the net proceeds from this offering and the concurrent private placement we will not have sufficient funds to meet our planned operating requirements throughout 2016 and beyond.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6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audit report from our independent registered public accounting firm for the year ended December 31, 2015, states that our recurring losses raise substantial doubt about our ability to continue as a going concern. This report does not take into account any proceeds we will receive in this proposed offering and the concurrent private placement or our ability to draw down amounts under our line of credit. If we are unable to obtain adequate funding from this proposed offering and the concurrent private placement or in the future, or if we are unable to grow our revenue substantially to achieve and sustain profitability, we may not be able to continue as a going concern.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Our term loan facility prohibits our ability to,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These restrictions are subject to certain exceptions.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In addition, although we do not expect to undergo an ownership change in connection with this offering and the concurrent private placement,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For example, we will be subject to the reporting requirements of the Securities Exchange Act of 1934, as amended, or the Exchange Act, and will be required to comply with the applicable requirements of the Sarbanes-Oxley Act, and the Dodd-Frank Wall Street Reform and Consumer Protection Act of 2010, or the Dodd-Frank Act, as well as rules and regulations subsequently implemented by the SEC and the NASDAQ Stock Market, including the establishment and maintenance of effective disclosure and internal controls and the establishment corporate governance practices. We expect that compliance with these requirements will increase our legal and financial compliance costs and will make some activities more time consuming and costly.</w:t>
      </w:r>
    </w:p>
    <w:p>
      <w:pPr>
        <w:spacing w:after="0" w:line="2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fail to hire additional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intend to hire additional accounting and finance staff with technical accounting, SEC reporting and Sarbanes-Oxley Act compliance expertise. Any inability to recruit and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fail to strengthen our financial reporting systems, infrastructure and internal control over financial reporting to meet the demands that will be placed upon us as a public company, including the requirements of the Sarbanes-Oxley Act, we may be unable to report our financial results timely and accurately and prevent fraud. We expect to incur significant expense and devote substantial management effort toward ensuring compliance with Section 404.</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7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29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If we fail to remediate a material weakness in our internal control over financial reporting,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39"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2017.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connection with the audit of our financial statements as of and for the years ended December 31, 2014, and 2015, we identified a material weakness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do not yet have the appropriate resources with the appropriate level of experience and technical expertise to oversee our closing and financial reporting processes.</w:t>
      </w:r>
    </w:p>
    <w:p>
      <w:pPr>
        <w:spacing w:after="0" w:line="158"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identified as described above, we will be unable to conclude that our internal controls are effective. The effectiveness of our controls and procedures may be limited by a variety of factors, including:</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possibility that any enhancements to controls and procedures may still not be adequate to assure timely and accurate financial control.</w:t>
      </w:r>
    </w:p>
    <w:p>
      <w:pPr>
        <w:spacing w:after="0" w:line="2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of new accounting standards or future interpretations of existing accounting standards could adversely affect our operating results.</w:t>
      </w:r>
    </w:p>
    <w:p>
      <w:pPr>
        <w:spacing w:after="0" w:line="14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prepare our financial statements in accordance with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2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An active trading market may not develop following completion of this offering or, if developed, may not be sustained. The lack of an active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6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initial public offering price for the shares of our common stock sold in this offering and the concurrent private placement is determined by negotiation between the representatives of the underwriters and us. This price may not reflect the market price of our common stock following this offering. In addition, the market price of our common stock is likely to be highly volatile and may fluctuate substantially due to many factors, including:</w:t>
      </w:r>
    </w:p>
    <w:p>
      <w:pPr>
        <w:spacing w:after="0" w:line="7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may remain an “emerging growth company” until as late as December 31, 2021, the fiscal year-end following the fifth anniversary of the completion of this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 billion in any fiscal year.</w:t>
      </w:r>
    </w:p>
    <w:p>
      <w:pPr>
        <w:spacing w:after="0" w:line="17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Investors purchasing common stock in this offering will pay a price per share that substantially exceeds the pro forma as adjusted net tangible book value per share. As a result, investors purchasing common stock in this offering will incur immediate dilution of $5.42 per share, based on an assumed initial public offering price of $8.00 per share and our pro forma as adjusted net tangible book value per share as of June 30, 2016. For more information on the dilution you may suffer as a result of investing in this offering, see the section titled “Dilution.”</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and the exercise of stock options granted to our employees.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and the concurrent private placement, we will have outstanding 12,492,015 shares of common stock based on the number of shares outstanding as of June 30, 2016, including the shares of common stock issuable upon conversion of outstanding preferred stock and the conversion of $8.5 million principal amount of convertible promissory notes, plus interest assuming a conversion date of October 12, 2016, and an initial public offering price of $8.00 per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share into 1,361,009 shares of common stock (which includes 552,262 shares of common stock issuable upon conversion of convertible promissory notes in the aggregate principal amount of $3.5 million issued in August 2016) immediately prior to the closing of this offering. This includes the shares that we are selling in this offering, which may be resold in the public market immediately without restriction, unless purchased by our affiliates. Of the remaining shares, 7,492,015 shares are currently restricted as a result of securities laws or lock-up agreements but will be able to be sold after the offering and the concurrent private placement as described in the section of this prospectus titled “Shares Eligible for Future Sale.” Moreover, immediately after this offering, holders of an aggregate of up to 6,405,582 shares of our common stock, including shares of our common stock issuable upon the exercise or, in certain cases, net exercise of outstanding warrants, will have rights, subject to some conditions, to require us to file registration statements covering their shares or to include their shares in registration statements that we may file for ourselves or other stockholders as described in the section of this prospectus titled “Description of Capital Stock—Registration Rights.”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2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upon shares outstanding as of September 1, 2016, after this offering and the concurrent private placement, our officers, directors and principal stockholders each holding more than 5% of our common stock, collectively, will control approximately 28.7%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30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proceeds from this offering and the concurrent private placement for working capital and general corporate purposes.</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net proceeds of this offering and the concurrent private placement will be allocated to sales, marketing, research and development activities, working capital and general corporate purposes, including an estimated $8.5 million to make a payment due to GLOBALFOUNDRIES in December 2016. We may also use a portion of the net proceeds of this offering and the concurrent private placement, other than the payment to GLOBALFOUNDRIES, to acquire complementary products, technologies or businesses. Within those categories, we have not determined the specific allocation of the net proceeds of this offering and the concurrent private placement. Our management will have broad discretion over the use and investment of the net proceeds of this offering and the concurrent private placement within those categories. Accordingly, investors in this offering have only limited information concerning management’s specific intentions and will need to rely upon the judgment of our management with respect to the use of proceeds.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73" w:lineRule="exact"/>
        <w:rPr>
          <w:sz w:val="20"/>
          <w:szCs w:val="20"/>
          <w:color w:val="auto"/>
        </w:rPr>
      </w:pPr>
    </w:p>
    <w:p>
      <w:pPr>
        <w:ind w:left="900" w:right="8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92"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70"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8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our future revenue, expenses, capital requirements and our needs for additional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products, technologies and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estimates of the MRAM market opportunity;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volatility of our share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use of proceeds from this offering and the concurrent private placement.</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prospectus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contains estimates, projections and other information concerning our industry and the market in which we operate, including our general expectations and market opportunity and market size, from our own internal estimates and research, and from industry publications and research, including the International Data Corporation (IDC) report, Worldwide Storage in Big Data Forecast, October 2015.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and elsewhere in this prospectus. These and other factors could cause results to differ materially from those expressed in the estimates made by the independent parties and by us.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the net proceeds from this initial public offering of 5,000,000 shares of common stock will be approximately $34.1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$39.7 million if the underwriters exercise their option to purchase additional shares in full, assuming an initial public offering price of $8.00 per share,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deducting the underwriting discounts and commissions and estimated offering expenses. Our net proceeds from the concurrent private placement will be $4.7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after deducting the placement agent fee.</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$1.00 increase (decrease) in the assumed initial public offering price of $8.00 per share would increase (decrease) the net proceeds from this offering and the concurrent private placement by approximately $4.7 million, assuming that the number of shares we are offering, as set forth on the cover page of this prospectus, remains the same, after deducting underwriting discounts and commissions, the placement agent fee and estimated offering expenses payable by us. We may also increase or decrease the number of shares we are offering. Each increase (decrease) of 100,000 shares in the number of shares we are offering in this public offering, would increase (decrease) the net proceeds to us from this offering by approximately $0.7 million, assuming that the assumed initial public offering price remains the same, and after deducting underwriting discounts and commissions, the placement agent fee and estimated offering expenses payable by us.</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principal purposes of this offering are to obtain additional capital, to create a public market for our common stock and to facilitate our future access to the public equity markets. We expect to use the net proceeds that we receive from this offering and the concurrent private placement for working capital and other general corporate purposes, including an estimated payment of $8.5 million due to GLOBALFOUNDRIES in December 2016, research and development activities, sales and marketing activities and capital expenditures, to enhance existing and develop new products, expand our manufacturing capabilities and to fund our growth. The amount due to GLOBALFOUNDRIES by December 16, 2016, is for agreed upon project costs which bear interest at a rate of 14% per annum pursuant to our joint development agreement with GLOBALFOUNDRIES, as amended. We will make this payment by or before December 16, 2016. We may also use a portion of the net proceeds that we receive from this offering and the concurrent private placement for investments in or acquisitions of complementary businesses, products, services, technologies or other assets. We have not entered into any agreements or commitments with respect to any investments or acquisitions at this time.</w:t>
      </w:r>
    </w:p>
    <w:p>
      <w:pPr>
        <w:spacing w:after="0" w:line="18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currently have no specific plans for the use of the net proceeds that we receive from this offering other than with respect to the payment to GLOBALFOUNDRIES set forth above. Accordingly, our management will have broad discretion over the use of the net proceeds from this offering and the concurrent private placement. Pending the use of the proceeds from this offering and the concurrent private placement, we intend to invest the net proceeds in short-term, interest-bearing, investment-grade securities, certificates of deposit or government securities.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in the foreseeable future. In addition, our term loan and revolving credit facility prohibits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2016, on:</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 forma basis, giving effect to (i) the conversion of the outstanding shares of our redeemable convertible preferred stock as of June 30, 2016, into 2,486,199 shares of our common stock, (ii) the conversion of warrants to purchase 27,690 shares of our redeemable convertible preferred stock into warrants to purchase 27,690 shares of common stock immediately prior to closing of this offering and the related reclassification of our convertible preferred stock warrant liability to additional paid-in capital, (iii) the conversion of $8.5 million principal amount of convertible promissory notes plus interest assuming a conversion date of October 12, 2016, and initial public offering price of $8.00 per share, into 1,361,009 shares of common stock immediately prior to the closing of this offering (which includes 552,262 shares of common stock issuable upon conversion of convertible promissory notes in the aggregate principal amount of $3.5 million issued in August 2016), and (iv) the effectiveness of our amended and restated certificate of incorporation; and</w:t>
      </w:r>
    </w:p>
    <w:p>
      <w:pPr>
        <w:spacing w:after="0" w:line="84"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 forma as adjusted basis, giving effect to (i) the pro forma adjustments set forth above and (ii) the sale and issuance of 5,000,000 shares of our common stock by us in this offering and the sale and issuance of 625,000 shares of common stock in the concurrent private placement, based upon the assumed initial public offering price of $8.00 per share, after deducting underwriting discounts and commissions, the placement agent fee and estimated offering expenses payable by us.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You should read this table together with the section of this prospectus titled “Management’s Discussion and Analysis of Financial Condition and Results of Operations” and our financial statements and related notes included elsewhere in this prospectus.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2016</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jc w:val="right"/>
              <w:ind w:right="913"/>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0"/>
                <w:szCs w:val="10"/>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9"/>
              </w:rPr>
              <w:t>Pro Forma</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01"/>
              <w:spacing w:after="0" w:line="119"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40" w:type="dxa"/>
            <w:vAlign w:val="bottom"/>
            <w:tcBorders>
              <w:top w:val="single" w:sz="8" w:color="auto"/>
            </w:tcBorders>
            <w:gridSpan w:val="7"/>
          </w:tcPr>
          <w:p>
            <w:pPr>
              <w:jc w:val="center"/>
              <w:ind w:right="601"/>
              <w:spacing w:after="0" w:line="119" w:lineRule="exact"/>
              <w:rPr>
                <w:sz w:val="20"/>
                <w:szCs w:val="20"/>
                <w:color w:val="auto"/>
              </w:rPr>
            </w:pPr>
            <w:r>
              <w:rPr>
                <w:rFonts w:ascii="Arial" w:cs="Arial" w:eastAsia="Arial" w:hAnsi="Arial"/>
                <w:sz w:val="13"/>
                <w:szCs w:val="13"/>
                <w:b w:val="1"/>
                <w:bCs w:val="1"/>
                <w:color w:val="auto"/>
                <w:w w:val="97"/>
              </w:rPr>
              <w:t>(In thousands, except share and per share amounts)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6,142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6"/>
                <w:szCs w:val="16"/>
                <w:color w:val="auto"/>
              </w:rPr>
              <w:t>Derivative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0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388</w:t>
            </w:r>
          </w:p>
        </w:tc>
        <w:tc>
          <w:tcPr>
            <w:tcW w:w="8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Convertible promissory notes payable-related party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Long-term debt, current and non-current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9,046</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6"/>
                <w:szCs w:val="16"/>
                <w:color w:val="auto"/>
              </w:rPr>
              <w:t>9,046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Redeemable convertible preferred stock, $0.0001 par value per share—68,080,000 shares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Arial" w:cs="Arial" w:eastAsia="Arial" w:hAnsi="Arial"/>
                <w:sz w:val="16"/>
                <w:szCs w:val="16"/>
                <w:color w:val="auto"/>
              </w:rPr>
              <w:t>authorized; 2,486,199 shares issued and outstanding, actual; no shares authorized, issued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64,642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ind w:left="320"/>
              <w:spacing w:after="0"/>
              <w:rPr>
                <w:sz w:val="20"/>
                <w:szCs w:val="20"/>
                <w:color w:val="auto"/>
              </w:rPr>
            </w:pPr>
            <w:r>
              <w:rPr>
                <w:rFonts w:ascii="Arial" w:cs="Arial" w:eastAsia="Arial" w:hAnsi="Arial"/>
                <w:sz w:val="16"/>
                <w:szCs w:val="16"/>
                <w:color w:val="auto"/>
              </w:rPr>
              <w:t>Preferred stock, $0.0001 par value per share—no shares authorized, issued and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480"/>
              <w:spacing w:after="0"/>
              <w:rPr>
                <w:sz w:val="20"/>
                <w:szCs w:val="20"/>
                <w:color w:val="auto"/>
              </w:rPr>
            </w:pPr>
            <w:r>
              <w:rPr>
                <w:rFonts w:ascii="Arial" w:cs="Arial" w:eastAsia="Arial" w:hAnsi="Arial"/>
                <w:sz w:val="16"/>
                <w:szCs w:val="16"/>
                <w:color w:val="auto"/>
              </w:rPr>
              <w:t>outstanding, actual and pro forma; 5,000,000 shares authorized, no shares issued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6"/>
                <w:szCs w:val="16"/>
                <w:color w:val="auto"/>
              </w:rPr>
              <w:t>outstanding, pro forma as adjusted</w:t>
            </w:r>
          </w:p>
        </w:tc>
        <w:tc>
          <w:tcPr>
            <w:tcW w:w="100" w:type="dxa"/>
            <w:vAlign w:val="bottom"/>
          </w:tcPr>
          <w:p>
            <w:pPr>
              <w:spacing w:after="0"/>
              <w:rPr>
                <w:sz w:val="18"/>
                <w:szCs w:val="18"/>
                <w:color w:val="auto"/>
              </w:rPr>
            </w:pPr>
          </w:p>
        </w:tc>
        <w:tc>
          <w:tcPr>
            <w:tcW w:w="1420" w:type="dxa"/>
            <w:vAlign w:val="bottom"/>
            <w:gridSpan w:val="2"/>
          </w:tcPr>
          <w:p>
            <w:pPr>
              <w:jc w:val="right"/>
              <w:ind w:right="8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$0.0001 par value per share – 175,000,000 shares authorized;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3,019,807 shares issued and outstanding, actual; 100,000,000 shares authorized,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6,867,015 shares issued and outstanding, pro forma; and 12,492,015 shares issued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outstanding, pro forma as adjusted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5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10,983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6"/>
                <w:szCs w:val="16"/>
                <w:color w:val="auto"/>
              </w:rPr>
              <w:t>84,751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13"/>
              <w:spacing w:after="0"/>
              <w:rPr>
                <w:sz w:val="20"/>
                <w:szCs w:val="20"/>
                <w:color w:val="auto"/>
              </w:rPr>
            </w:pPr>
            <w:r>
              <w:rPr>
                <w:rFonts w:ascii="Arial" w:cs="Arial" w:eastAsia="Arial" w:hAnsi="Arial"/>
                <w:sz w:val="16"/>
                <w:szCs w:val="16"/>
                <w:color w:val="auto"/>
              </w:rPr>
              <w:t>(89,687)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(89,649)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(89,649)</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6"/>
                <w:szCs w:val="16"/>
                <w:color w:val="auto"/>
              </w:rPr>
              <w:t>Total stockholders’ equity (deficit)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713"/>
              <w:spacing w:after="0"/>
              <w:rPr>
                <w:sz w:val="20"/>
                <w:szCs w:val="20"/>
                <w:color w:val="auto"/>
              </w:rPr>
            </w:pPr>
            <w:r>
              <w:rPr>
                <w:rFonts w:ascii="Arial" w:cs="Arial" w:eastAsia="Arial" w:hAnsi="Arial"/>
                <w:sz w:val="16"/>
                <w:szCs w:val="16"/>
                <w:color w:val="auto"/>
              </w:rPr>
              <w:t>(78,704)</w:t>
            </w:r>
          </w:p>
        </w:tc>
        <w:tc>
          <w:tcPr>
            <w:tcW w:w="100" w:type="dxa"/>
            <w:vAlign w:val="bottom"/>
          </w:tcPr>
          <w:p>
            <w:pPr>
              <w:spacing w:after="0"/>
              <w:rPr>
                <w:sz w:val="17"/>
                <w:szCs w:val="17"/>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6"/>
                <w:szCs w:val="16"/>
                <w:color w:val="auto"/>
              </w:rPr>
              <w:t>(4,897)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4,149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right="40" w:hanging="332"/>
        <w:spacing w:after="0" w:line="22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$8.00 per share would increase (decrease) our cash and cash equivalents, total stockholders’ (deficit) equity, and total capitalization by approximately $4.7 million, assuming that the number of shares of our common stock offered by us, as set forth on the cover page of this prospectus and the net proceeds from the concurrent private placement, remains the same and after deducting underwriting discounts and commissions and the placement agent fee payable by us. Each increase (decrease) of 100,000 shares in the number of shares offered by us in this public offering would increase (decrease) the amount of our cash and cash equivalents, total stockholders’ equity (deficit) and total capitalization by approximately $0.7 million, assuming an initial public offering price of $8.00 per share, after deducting underwriting discounts and commissions and the placement agent fee payable by 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issued and outstanding in the table above does not include the following shares:</w:t>
      </w:r>
    </w:p>
    <w:p>
      <w:pPr>
        <w:spacing w:after="0" w:line="131" w:lineRule="exact"/>
        <w:rPr>
          <w:sz w:val="20"/>
          <w:szCs w:val="20"/>
          <w:color w:val="auto"/>
        </w:rPr>
      </w:pPr>
    </w:p>
    <w:p>
      <w:pPr>
        <w:ind w:left="900" w:right="3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862,383 shares of our common stock issuable upon the exercise of options to purchase shares of our common stock outstanding as of June 30, 2016, with a weighted-average exercise price of $4.43 per share;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27,690 shares of our common stock issuable upon exercise of outstanding warrants as of June 30, 2016, with a weighted-average exercise price of $26.00 per share;</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463,259 shares of common stock reserved for future grants under our 2008 Equity Incentive Plan as of June 30, 2016, which shares reserved for future issuance and not subject to an outstanding stock option will cease to be available for issuance at the time our 2016 Equity Incentive Plan becomes effective in connection with this offering;</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500,000 shares of common stock reserved for future issuance under our 2016 Equity Incentive Plan, as well as any automatic increases in the number of shares of common stock reserved for future issuance under this plan, which will become effective upon the execution of the underwriting agreement related to this offering; and</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96,153 shares of common stock reserved for future issuance under our 2016 Employee Stock Purchase Plan, as well as any automatic increases in the number of shares of common stock reserved for future issuance under this plan, which will become effective upon the execution of the underwriting agreement related to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As of June 30, 2016, our historical net tangible book value (deficit) was approximately $(80.3) million, or $(26.58) per share of common stock. Historical net tangible book value (deficit) per share represents our total tangible assets less total liabilities, less redeemable convertible preferred stock, divided by the number of our outstanding shares of common stock.</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June 30, 2016, our pro forma net tangible book value was approximately $(6.5) million, or $(0.94) per share of common stock. Our pro forma net tangible book value per share represents the amount of our total tangible assets reduced by the amount of our total liabilities and divided by the total number of shares of our common stock outstanding as of June 30, 2016, assuming the conversion of all outstanding shares of our redeemable convertible preferred stock into 2,486,199 shares of our common stock, which conversion will occur immediately prior to the completion of the offering, the conversion of warrants to purchase 27,690 shares of our redeemable convertible preferred stock into warrants to purchase 27,690 shares of common stock immediately prior to closing of this offering, the related reclassification of our redeemable convertible preferred stock warrant liability to stockholders’ equity (deficit), and the conversion of $8.5 million aggregate principal amount of convertible promissory notes, plus interest assuming a conversion date of October 12, 2016, and initial public offering price of $8.00 per share, into 1,361,009 shares of common stock (which includes 552,262 shares of common stock issuable upon conversion of convertible promissory notes in the aggregate principal amount of $3.5 million issued in August 2016) immediately prior to the closing of this offering.</w:t>
      </w:r>
    </w:p>
    <w:p>
      <w:pPr>
        <w:spacing w:after="0" w:line="19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After giving further effect to the sale of 5,000,000 shares of our common stock in this offering and 625,000 shares of common stock in the concurrent private placement, at the assumed initial public offering price of $8.00 per share, after deducting underwriting discounts and commissions, the placement agent fee and estimated offering expenses payable by us, our pro forma as adjusted net tangible book value as of June 30, 2016, would have been approximately $32.3 million, or $2.58 per share. This represents an immediate increase in pro forma as adjusted net tangible book value of $3.52 per share to our existing stockholders and an immediate dilution of $5.42 per share to investors purchasing shares in this offering.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80" w:type="dxa"/>
            <w:vAlign w:val="bottom"/>
          </w:tcPr>
          <w:p>
            <w:pPr>
              <w:ind w:left="440"/>
              <w:spacing w:after="0"/>
              <w:rPr>
                <w:sz w:val="20"/>
                <w:szCs w:val="20"/>
                <w:color w:val="auto"/>
              </w:rPr>
            </w:pPr>
            <w:r>
              <w:rPr>
                <w:rFonts w:ascii="Arial" w:cs="Arial" w:eastAsia="Arial" w:hAnsi="Arial"/>
                <w:sz w:val="18"/>
                <w:szCs w:val="18"/>
                <w:color w:val="auto"/>
              </w:rPr>
              <w:t>The following table illustrates this dilution:</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Historical net tangible book deficit per share as of June 30, 2016</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$(26.58)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increase in net tangible book value per share</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June 30, 2016</w:t>
            </w:r>
          </w:p>
        </w:tc>
        <w:tc>
          <w:tcPr>
            <w:tcW w:w="4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Increase in pro forma net tangible book value per share attributable to investors purchasing shares in this offering and the</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concurrent private placement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Pro forma net tangible book value, as adjusted to give effect to this offering and the concurrent private placement</w:t>
            </w:r>
          </w:p>
        </w:tc>
        <w:tc>
          <w:tcPr>
            <w:tcW w:w="4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investors purchasing shares in this offering</w:t>
            </w:r>
          </w:p>
        </w:tc>
        <w:tc>
          <w:tcPr>
            <w:tcW w:w="1400" w:type="dxa"/>
            <w:vAlign w:val="bottom"/>
            <w:gridSpan w:val="3"/>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$1.00 increase (decrease) in the assumed initial public offering price of $8.00 per share would increase (decrease) our pro forma as adjusted net tangible book value by approximately $0.39 per share and the dilution per share to new investors in this offering by $0.61 per share, assuming the number of shares of our common stock offered by us in this public offering, as set forth on the cover page of this prospectus, remains the same and after deducting underwriting discounts and commissions and the placement agent fee payable by 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Similarly, a 100,000 increase (decrease) in the number of shares of our common stock offered by us in this public offering would increase (decrease) our pro forma as adjusted net tangible book value by approximately $0.04 per share and the dilution per share to new investors in this offering by $0.04 per share, assuming the assumed initial public offering price remains the same and after deducting underwriting discounts and commissions and placement agent fee payable by us.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per share of our common stock would be $2.86 per share, and the dilution in pro forma net tangible book value per share to investors purchasing shares in this offering would be $5.14 per share.</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following table summarizes, on a pro forma as adjusted basis described above as of June 30, 2016, the differences between existing stockholders and new investors (including the private placement shares) with respect to the number of shares of common stock purchased from us, the total consideration paid to us, and the average price per share paid, before deducting estimated underwriting discounts and commissions, the placement agent fee and estimated offering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57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Number</w:t>
            </w:r>
          </w:p>
        </w:tc>
        <w:tc>
          <w:tcPr>
            <w:tcW w:w="3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6,867,015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64,758,000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rPr>
              <w:t>Investors purchasing shares in this offering and the concurrent private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60" w:type="dxa"/>
            <w:vAlign w:val="bottom"/>
          </w:tcPr>
          <w:p>
            <w:pPr>
              <w:jc w:val="center"/>
              <w:ind w:right="4570"/>
              <w:spacing w:after="0"/>
              <w:rPr>
                <w:sz w:val="20"/>
                <w:szCs w:val="20"/>
                <w:color w:val="auto"/>
              </w:rPr>
            </w:pPr>
            <w:r>
              <w:rPr>
                <w:rFonts w:ascii="Arial" w:cs="Arial" w:eastAsia="Arial" w:hAnsi="Arial"/>
                <w:sz w:val="18"/>
                <w:szCs w:val="18"/>
                <w:color w:val="auto"/>
                <w:w w:val="89"/>
              </w:rPr>
              <w:t>placement</w:t>
            </w:r>
          </w:p>
        </w:tc>
        <w:tc>
          <w:tcPr>
            <w:tcW w:w="860" w:type="dxa"/>
            <w:vAlign w:val="bottom"/>
          </w:tcPr>
          <w:p>
            <w:pPr>
              <w:jc w:val="right"/>
              <w:spacing w:after="0"/>
              <w:rPr>
                <w:sz w:val="20"/>
                <w:szCs w:val="20"/>
                <w:color w:val="auto"/>
              </w:rPr>
            </w:pPr>
            <w:r>
              <w:rPr>
                <w:rFonts w:ascii="Arial" w:cs="Arial" w:eastAsia="Arial" w:hAnsi="Arial"/>
                <w:sz w:val="18"/>
                <w:szCs w:val="18"/>
                <w:color w:val="auto"/>
              </w:rPr>
              <w:t>5,625,000</w:t>
            </w:r>
          </w:p>
        </w:tc>
        <w:tc>
          <w:tcPr>
            <w:tcW w:w="3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45,000,000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41.0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7"/>
        </w:trPr>
        <w:tc>
          <w:tcPr>
            <w:tcW w:w="5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60" w:type="dxa"/>
            <w:vAlign w:val="bottom"/>
            <w:shd w:val="clear" w:color="auto" w:fill="CCEEFF"/>
          </w:tcPr>
          <w:p>
            <w:pPr>
              <w:jc w:val="center"/>
              <w:ind w:right="4570"/>
              <w:spacing w:after="0"/>
              <w:rPr>
                <w:sz w:val="20"/>
                <w:szCs w:val="20"/>
                <w:color w:val="auto"/>
              </w:rPr>
            </w:pPr>
            <w:r>
              <w:rPr>
                <w:rFonts w:ascii="Arial" w:cs="Arial" w:eastAsia="Arial" w:hAnsi="Arial"/>
                <w:sz w:val="18"/>
                <w:szCs w:val="18"/>
                <w:color w:val="auto"/>
                <w:w w:val="94"/>
              </w:rPr>
              <w:t>Total</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12,492,015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109,758,000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Except as otherwise indicated, the above discussion and tables assume no exercise of the underwriters’ option to purchase additional shares. If the underwriters exercise their option to purchase additional shares in full, our existing stockholders would own 51.9% and our new investors would own 48.1% of the total number of shares of our common stock outstanding upon the completion of this offering, including the concurrent private placement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the completion of this offering excludes:</w:t>
      </w:r>
    </w:p>
    <w:p>
      <w:pPr>
        <w:spacing w:after="0" w:line="131" w:lineRule="exact"/>
        <w:rPr>
          <w:sz w:val="20"/>
          <w:szCs w:val="20"/>
          <w:color w:val="auto"/>
        </w:rPr>
      </w:pPr>
    </w:p>
    <w:p>
      <w:pPr>
        <w:ind w:left="900" w:right="3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862,383 shares of our common stock issuable upon the exercise of options to purchase shares of our common stock outstanding as of June 30, 2016, with a weighted-average exercise price of $4.43 per share;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27,690 shares of our common stock issuable upon exercise of outstanding warrants as of June 30, 2016, with a weighted-average exercise price of $26.00 per share;</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463,259 shares of common stock reserved for future grants under our 2008 Equity Incentive Plan as of June 30, 2016, which shares reserved for future issuance and not subject to an outstanding stock option will cease to be available for issuance at the time our 2016 Equity Incentive Plan becomes effective in connection with this offering;</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500,000 shares of common stock reserved for future issuance under our 2016 Equity Incentive Plan, as well as any automatic increases in the number of shares of common stock reserved for future issuance under this plan, which will become effective upon the execution of the underwriting agreement related to this offering; and</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96,153 shares of common stock reserved for future issuance under our 2016 Employee Stock Purchase Plan, as well as any automatic increases in the number of shares of common stock reserved for future issuance under this plan, which will become effective upon the execution of the underwriting agreement related to this offering.</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 the extent that any outstanding options to purchase shares of our common stock or warrants to purchase shares of our common stock or convertible preferred stock are exercised or new awards are granted under our equity compensation plans, there will be further dilution to investors participating in this offering.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selected statement of operations data for the years ended December 31, 2014 and 2015, and the balance sheet data as of December 31, 2014 and 2015, have been derived from our audited financial statements included elsewhere in this prospectus. The selected statements of operations data for the six months ended June 30, 2015 and 2016, and the selected balance sheet data as of June 30, 2016, have been derived from our unaudited interim financial statements included elsewhere in this prospectus. The unaudited interim financial statements have been prepared on the same basis as our audited financial statements and, in the opinion of management, reflect all adjustments, consisting only of normal recurring adjustments, necessary to present fairly our financial position and results of operations. Our historical results are not necessarily indicative of the results that may be expected in the future. You should read the following selected financial and other data below in conjunction with “Management’s Discussion and Analysis of Financial Condition and Results of Operations” and our financial statements and related notes included elsewhere in this prospectus.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00" w:type="dxa"/>
            <w:vAlign w:val="bottom"/>
            <w:gridSpan w:val="7"/>
          </w:tcPr>
          <w:p>
            <w:pPr>
              <w:jc w:val="right"/>
              <w:ind w:right="80"/>
              <w:spacing w:after="0" w:line="119" w:lineRule="exact"/>
              <w:rPr>
                <w:sz w:val="20"/>
                <w:szCs w:val="20"/>
                <w:color w:val="auto"/>
              </w:rPr>
            </w:pPr>
            <w:r>
              <w:rPr>
                <w:rFonts w:ascii="Arial" w:cs="Arial" w:eastAsia="Arial" w:hAnsi="Arial"/>
                <w:sz w:val="13"/>
                <w:szCs w:val="13"/>
                <w:b w:val="1"/>
                <w:bCs w:val="1"/>
                <w:color w:val="auto"/>
                <w:w w:val="99"/>
              </w:rPr>
              <w:t>(In thousands, except share and per share 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25,875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12,437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and royalty 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700"/>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26,546</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12,568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21,126</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31,514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(18,183)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(2)</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Shares used to compute net loss per common share, basic and diluted</w:t>
            </w:r>
            <w:r>
              <w:rPr>
                <w:rFonts w:ascii="Arial" w:cs="Arial" w:eastAsia="Arial" w:hAnsi="Arial"/>
                <w:sz w:val="15"/>
                <w:szCs w:val="15"/>
                <w:color w:val="auto"/>
                <w:w w:val="92"/>
              </w:rPr>
              <w:t>(2)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2,544,578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2,552,205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2,552,185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2,555,397</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5"/>
                <w:szCs w:val="15"/>
                <w:color w:val="auto"/>
              </w:rPr>
              <w:t>(2)</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Shares used to compute pro forma net loss per share, basic and diluted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5,038,404</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5,839,451</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gridSpan w:val="2"/>
          </w:tcPr>
          <w:p>
            <w:pPr>
              <w:spacing w:after="0"/>
              <w:rPr>
                <w:sz w:val="20"/>
                <w:szCs w:val="20"/>
                <w:color w:val="auto"/>
              </w:rPr>
            </w:pPr>
            <w:r>
              <w:rPr>
                <w:rFonts w:ascii="Arial" w:cs="Arial" w:eastAsia="Arial" w:hAnsi="Arial"/>
                <w:sz w:val="14"/>
                <w:szCs w:val="14"/>
                <w:color w:val="auto"/>
              </w:rPr>
              <w:t>(1)   Includes stock-based compensation as follows: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0"/>
              </w:rPr>
              <w:t>Year Ended</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2015</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c>
          <w:tcPr>
            <w:tcW w:w="840" w:type="dxa"/>
            <w:vAlign w:val="bottom"/>
            <w:gridSpan w:val="2"/>
            <w:vMerge w:val="restart"/>
          </w:tcPr>
          <w:p>
            <w:pPr>
              <w:jc w:val="center"/>
              <w:ind w:right="69"/>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3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7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7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7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4040" w:type="dxa"/>
            <w:vAlign w:val="bottom"/>
          </w:tcPr>
          <w:p>
            <w:pPr>
              <w:ind w:left="280"/>
              <w:spacing w:after="0" w:line="155"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799</w:t>
            </w:r>
          </w:p>
        </w:tc>
        <w:tc>
          <w:tcPr>
            <w:tcW w:w="7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7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7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80" w:hanging="332"/>
        <w:spacing w:after="0" w:line="230"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Notes 2 and 12 to our financial statements included elsewhere in this prospectus for an explanation of the calculations of our basic and diluted net loss per common share, pro forma net loss per share, and the weighted-average number of shares used in the computation of the per share amounts.</w:t>
      </w:r>
    </w:p>
    <w:p>
      <w:pPr>
        <w:ind w:left="340" w:right="220" w:hanging="332"/>
        <w:spacing w:after="0" w:line="227"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define Adjusted EBITDA as net income or loss adjusted for depreciation and amortization, stock-based compensation expense, compensation expense related to the vesting of common stock held by GLOBALFOUNDRIES resulting from our joint development agreement and interest expense. We use Adjusted EBITDA in conjunction with traditional GAAP operating performance measures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77" w:lineRule="exact"/>
        <w:rPr>
          <w:rFonts w:ascii="Arial" w:cs="Arial" w:eastAsia="Arial" w:hAnsi="Arial"/>
          <w:sz w:val="14"/>
          <w:szCs w:val="14"/>
          <w:color w:val="auto"/>
        </w:rPr>
      </w:pPr>
    </w:p>
    <w:p>
      <w:pPr>
        <w:ind w:left="360" w:right="320"/>
        <w:spacing w:after="0" w:line="253" w:lineRule="auto"/>
        <w:rPr>
          <w:rFonts w:ascii="Arial" w:cs="Arial" w:eastAsia="Arial" w:hAnsi="Arial"/>
          <w:sz w:val="14"/>
          <w:szCs w:val="14"/>
          <w:color w:val="auto"/>
        </w:rPr>
      </w:pPr>
      <w:r>
        <w:rPr>
          <w:rFonts w:ascii="Arial" w:cs="Arial" w:eastAsia="Arial" w:hAnsi="Arial"/>
          <w:sz w:val="14"/>
          <w:szCs w:val="14"/>
          <w:color w:val="auto"/>
        </w:rPr>
        <w:t>Adjusted EBITDA has limitations as a financial measure and should not be considered a substitute for other measures of financial performance reported in accordance with GAAP. These limitations include the following:</w:t>
      </w:r>
    </w:p>
    <w:p>
      <w:pPr>
        <w:spacing w:after="0" w:line="79" w:lineRule="exact"/>
        <w:rPr>
          <w:rFonts w:ascii="Arial" w:cs="Arial" w:eastAsia="Arial" w:hAnsi="Arial"/>
          <w:sz w:val="14"/>
          <w:szCs w:val="14"/>
          <w:color w:val="auto"/>
        </w:rPr>
      </w:pPr>
    </w:p>
    <w:p>
      <w:pPr>
        <w:ind w:left="900" w:hanging="554"/>
        <w:spacing w:after="0"/>
        <w:tabs>
          <w:tab w:leader="none" w:pos="9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Adjusted EBITDA does not reflect changes in, or cash requirements for, our working capital needs;</w:t>
      </w:r>
    </w:p>
    <w:p>
      <w:pPr>
        <w:spacing w:after="0" w:line="109" w:lineRule="exact"/>
        <w:rPr>
          <w:rFonts w:ascii="Arial" w:cs="Arial" w:eastAsia="Arial" w:hAnsi="Arial"/>
          <w:sz w:val="14"/>
          <w:szCs w:val="14"/>
          <w:color w:val="auto"/>
        </w:rPr>
      </w:pPr>
    </w:p>
    <w:p>
      <w:pPr>
        <w:ind w:left="900" w:hanging="554"/>
        <w:spacing w:after="0"/>
        <w:tabs>
          <w:tab w:leader="none" w:pos="9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Adjusted EBITDA does not reflect tax payments that may represent a reduction in cash available to us or the impact of deferred income tax;</w:t>
      </w:r>
    </w:p>
    <w:p>
      <w:pPr>
        <w:spacing w:after="0" w:line="109" w:lineRule="exact"/>
        <w:rPr>
          <w:rFonts w:ascii="Arial" w:cs="Arial" w:eastAsia="Arial" w:hAnsi="Arial"/>
          <w:sz w:val="14"/>
          <w:szCs w:val="14"/>
          <w:color w:val="auto"/>
        </w:rPr>
      </w:pPr>
    </w:p>
    <w:p>
      <w:pPr>
        <w:ind w:left="900" w:hanging="554"/>
        <w:spacing w:after="0"/>
        <w:tabs>
          <w:tab w:leader="none" w:pos="9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Adjusted EBITDA does not reflect cash expenditure requirements for replacements or for new capital expenditures;</w:t>
      </w:r>
    </w:p>
    <w:p>
      <w:pPr>
        <w:spacing w:after="0" w:line="109" w:lineRule="exact"/>
        <w:rPr>
          <w:rFonts w:ascii="Arial" w:cs="Arial" w:eastAsia="Arial" w:hAnsi="Arial"/>
          <w:sz w:val="14"/>
          <w:szCs w:val="14"/>
          <w:color w:val="auto"/>
        </w:rPr>
      </w:pPr>
    </w:p>
    <w:p>
      <w:pPr>
        <w:ind w:left="900" w:hanging="554"/>
        <w:spacing w:after="0"/>
        <w:tabs>
          <w:tab w:leader="none" w:pos="9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Adjusted EBITDA excludes some recurring costs, such as the dilutive impact of non-cash stock-based compensation and depreciation and amortization; and</w:t>
      </w:r>
    </w:p>
    <w:p>
      <w:pPr>
        <w:spacing w:after="0" w:line="109" w:lineRule="exact"/>
        <w:rPr>
          <w:rFonts w:ascii="Arial" w:cs="Arial" w:eastAsia="Arial" w:hAnsi="Arial"/>
          <w:sz w:val="14"/>
          <w:szCs w:val="14"/>
          <w:color w:val="auto"/>
        </w:rPr>
      </w:pPr>
    </w:p>
    <w:p>
      <w:pPr>
        <w:ind w:left="900" w:hanging="554"/>
        <w:spacing w:after="0" w:line="253" w:lineRule="auto"/>
        <w:tabs>
          <w:tab w:leader="none" w:pos="9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other companies, including companies in our industry, may calculate Adjusted EBITDA differently from how we calculate this measure or not at all, which reduces its usefulness as a comparative measure.</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Because of these limitations, you should consider Adjusted EBITDA alongside other financial performance measures, including net loss and our financial results presented in accordance with</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GAAP. The following table presents a reconciliation of net loss, the most directly comparable GAAP measure, to Adjusted EBITDA for each of the periods indicated:</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w w:val="95"/>
              </w:rPr>
              <w:t>Year Ended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2015</w:t>
            </w: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EBITDA Reconciliation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(10,183)</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(18,183)</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(7,421)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186</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vesting of GLOBALFOUNDRIES common stock</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1,761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(7,497)</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(14,013)</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(5,842)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60" w:type="dxa"/>
            <w:vAlign w:val="bottom"/>
            <w:gridSpan w:val="2"/>
            <w:vMerge w:val="restart"/>
          </w:tcPr>
          <w:p>
            <w:pPr>
              <w:jc w:val="right"/>
              <w:ind w:right="253"/>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vMerge w:val="restart"/>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50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860" w:type="dxa"/>
            <w:vAlign w:val="bottom"/>
            <w:tcBorders>
              <w:bottom w:val="single" w:sz="8" w:color="auto"/>
            </w:tcBorders>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52"/>
        </w:trPr>
        <w:tc>
          <w:tcPr>
            <w:tcW w:w="5040" w:type="dxa"/>
            <w:vAlign w:val="bottom"/>
          </w:tcPr>
          <w:p>
            <w:pPr>
              <w:spacing w:after="0"/>
              <w:rPr>
                <w:sz w:val="4"/>
                <w:szCs w:val="4"/>
                <w:color w:val="auto"/>
              </w:rPr>
            </w:pPr>
          </w:p>
        </w:tc>
        <w:tc>
          <w:tcPr>
            <w:tcW w:w="3160" w:type="dxa"/>
            <w:vAlign w:val="bottom"/>
            <w:vMerge w:val="restart"/>
          </w:tcPr>
          <w:p>
            <w:pPr>
              <w:spacing w:after="0"/>
              <w:rPr>
                <w:sz w:val="4"/>
                <w:szCs w:val="4"/>
                <w:color w:val="auto"/>
              </w:rPr>
            </w:pPr>
          </w:p>
        </w:tc>
        <w:tc>
          <w:tcPr>
            <w:tcW w:w="9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9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9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11"/>
        </w:trPr>
        <w:tc>
          <w:tcPr>
            <w:tcW w:w="50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tcPr>
          <w:p>
            <w:pPr>
              <w:jc w:val="right"/>
              <w:ind w:right="179"/>
              <w:spacing w:after="0"/>
              <w:rPr>
                <w:sz w:val="20"/>
                <w:szCs w:val="20"/>
                <w:color w:val="auto"/>
              </w:rPr>
            </w:pPr>
            <w:r>
              <w:rPr>
                <w:rFonts w:ascii="Arial" w:cs="Arial" w:eastAsia="Arial" w:hAnsi="Arial"/>
                <w:sz w:val="18"/>
                <w:szCs w:val="18"/>
                <w:color w:val="auto"/>
              </w:rPr>
              <w:t>$  9,624</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  2,307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2,642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 (deficit)</w:t>
            </w:r>
          </w:p>
        </w:tc>
        <w:tc>
          <w:tcPr>
            <w:tcW w:w="40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8,940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080" w:type="dxa"/>
            <w:vAlign w:val="bottom"/>
            <w:gridSpan w:val="2"/>
          </w:tcPr>
          <w:p>
            <w:pPr>
              <w:jc w:val="right"/>
              <w:ind w:right="179"/>
              <w:spacing w:after="0"/>
              <w:rPr>
                <w:sz w:val="20"/>
                <w:szCs w:val="20"/>
                <w:color w:val="auto"/>
              </w:rPr>
            </w:pPr>
            <w:r>
              <w:rPr>
                <w:rFonts w:ascii="Arial" w:cs="Arial" w:eastAsia="Arial" w:hAnsi="Arial"/>
                <w:sz w:val="18"/>
                <w:szCs w:val="18"/>
                <w:color w:val="auto"/>
              </w:rPr>
              <w:t>17,775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10,961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13,696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liability</w:t>
            </w:r>
          </w:p>
        </w:tc>
        <w:tc>
          <w:tcPr>
            <w:tcW w:w="3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Convertible promissory notes payable — related party</w:t>
            </w:r>
          </w:p>
        </w:tc>
        <w:tc>
          <w:tcPr>
            <w:tcW w:w="316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current and non-current</w:t>
            </w:r>
          </w:p>
        </w:tc>
        <w:tc>
          <w:tcPr>
            <w:tcW w:w="40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2,874</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7,914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 liability</w:t>
            </w:r>
          </w:p>
        </w:tc>
        <w:tc>
          <w:tcPr>
            <w:tcW w:w="4080" w:type="dxa"/>
            <w:vAlign w:val="bottom"/>
            <w:gridSpan w:val="2"/>
          </w:tcPr>
          <w:p>
            <w:pPr>
              <w:jc w:val="right"/>
              <w:ind w:right="179"/>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w:t>
            </w:r>
          </w:p>
        </w:tc>
        <w:tc>
          <w:tcPr>
            <w:tcW w:w="40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64,642</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64,642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64,642</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4080" w:type="dxa"/>
            <w:vAlign w:val="bottom"/>
            <w:gridSpan w:val="2"/>
          </w:tcPr>
          <w:p>
            <w:pPr>
              <w:jc w:val="right"/>
              <w:ind w:right="119"/>
              <w:spacing w:after="0"/>
              <w:rPr>
                <w:sz w:val="20"/>
                <w:szCs w:val="20"/>
                <w:color w:val="auto"/>
              </w:rPr>
            </w:pPr>
            <w:r>
              <w:rPr>
                <w:rFonts w:ascii="Arial" w:cs="Arial" w:eastAsia="Arial" w:hAnsi="Arial"/>
                <w:sz w:val="18"/>
                <w:szCs w:val="18"/>
                <w:color w:val="auto"/>
              </w:rPr>
              <w:t>(54,428)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(70,430)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(78,704)</w:t>
            </w:r>
          </w:p>
        </w:tc>
        <w:tc>
          <w:tcPr>
            <w:tcW w:w="0" w:type="dxa"/>
            <w:vAlign w:val="bottom"/>
          </w:tcPr>
          <w:p>
            <w:pPr>
              <w:spacing w:after="0"/>
              <w:rPr>
                <w:sz w:val="1"/>
                <w:szCs w:val="1"/>
                <w:color w:val="auto"/>
              </w:rPr>
            </w:pPr>
          </w:p>
        </w:tc>
      </w:tr>
      <w:tr>
        <w:trPr>
          <w:trHeight w:val="350"/>
        </w:trPr>
        <w:tc>
          <w:tcPr>
            <w:tcW w:w="5040" w:type="dxa"/>
            <w:vAlign w:val="bottom"/>
          </w:tcPr>
          <w:p>
            <w:pPr>
              <w:spacing w:after="0"/>
              <w:rPr>
                <w:sz w:val="24"/>
                <w:szCs w:val="24"/>
                <w:color w:val="auto"/>
              </w:rPr>
            </w:pPr>
          </w:p>
        </w:tc>
        <w:tc>
          <w:tcPr>
            <w:tcW w:w="3160" w:type="dxa"/>
            <w:vAlign w:val="bottom"/>
          </w:tcPr>
          <w:p>
            <w:pPr>
              <w:jc w:val="right"/>
              <w:ind w:right="2310"/>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the leading provider of MRAM solutions. Our MRAM solutions offer the persistence of non-volatile memory and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8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revenue is derived from the sale of our MRAM-based products in discrete unit form, as embedded technology, and through licensing and royalties of our MRAM technology. Revenue grew from $24.9 million in 2014 to $26.5 million in 2015. Revenue was $12.7 million and $12.9 million for the six months ended June 30, 2015 and 2016, respectively. 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71%, 66%, and 52% of our revenue from products sold through distributors for the years ended December 31, 2014 and 2015, and the six months ended June 30, 2016, respectively.</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$7.0 million and $6.1 million for the years ended December 31, 2014 and 2015, respectively, and $2.7 million and $3.0 million for the six months ended June 30, 2015 and 2016, respectively. Our revenue in North America decreased for the year ended December 31, 2015, compared to the same period in 2014 primarily due to our licensing revenue decreasing year over year due to a non-recurring engineering payment of $1.0 million in 2014 from one of our customers related to a technology transfer agreement. In EMEA, our revenue was $3.5 million and $4.3 million for the years ended December 31, 2014 and 2015, respectively, and $2.3 million and $2.7 million for the six months ended June 30, 2015 and 2016, respectively. In APAC, our revenue was $14.5 million and $16.1 million for the years ended December 31, 2014 and 2015, respectively, and $7.6 million and $7.2 million for the six months ended June 30, 2015 and 2016, respectively. We recognize revenue by geography based on the region in which our products are sold, and not to where the end products are shipped.</w:t>
      </w:r>
    </w:p>
    <w:p>
      <w:pPr>
        <w:spacing w:after="0" w:line="19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intend to utilize leading semiconductor foundries, including GLOBALFOUNDRIES, to support high-volume production of our high density MRAM products at advanced process nodes.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During the years ended December 31, 2014 and 2015, and the six months ended June 30, 2016, we continued to invest in research and development to support the development and production of our second generation of MRAM technology. We believe our continued investment will allow us to continue to develop and deploy products based on our Spin-Torque MRAM (ST-MRAM) technology. For the years ended December 31, 2014 and 2015, and the six months ended June 30, 2015 and 2016, our research and development expenses were $12.7 million, $21.1 million, $9.6 million and $11.2 million, respectively. We expect that our research and development expenses will increase in the future as we continue to develop our MRAM technology internally and through our joint development agreement with GLOBALFOUNDRIES.</w:t>
      </w:r>
    </w:p>
    <w:p>
      <w:pPr>
        <w:spacing w:after="0" w:line="178"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Our principal executive offices are located in Chandler, Arizona. The facility accommodates our principal sales, marketing and research and development. Also in Chandler, we lease office space, clean room space, and laboratory space for our 200mm production and research and development functions. Our primary product design personnel are located in our office in Austin, Texas.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2014 and 2015, and the six months ended June 30, 2015 and 2016, we recorded revenue of $24.9 million,</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$26.5 million, $12.7 million and $12.9 million, gross margin of 52.6%, 52.7%, 58.7% and 55.7%, and a net loss of $10.2 million, $18.2 million, $7.4 million and $10.0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monitor a variety of key financial metrics to help us evaluate growth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w:t>
      </w:r>
    </w:p>
    <w:p>
      <w:pPr>
        <w:spacing w:after="0" w:line="18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Our management and board of directors uses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was $(7.5) million in 2014 and $(14.0) million in 2015. The change was primarily a result of increased payroll and contract labor and expenses resulting from our joint development agreement with GLOBALFOUNDRIES. Payroll and contract labor increased $2.9 million, from $10.7 million in 2014 to $13.6 million in 2015, accounting for approximately 45% of the decrease of Adjusted EBITDA from 2014 to 2015. Adjusted EBITDA was $(5.8) million and $(6.7) million in the six months ended June 30, 2015 and 2016, respectively. Expenses from our joint development agreement with GLOBALFOUNDRIES increased from $0 in 2014 to $3.6 million in 2015, accounting for approximately 55% of the decrease in Adjusted EBITDA. In the six months ended June 30, 2016, expenses from our joint development agreement increased from $1.8 million to $2.0 million in the same period in 2015 and payroll and contracted labor increased $0.4 million from $6.3 million in the six months ended June 30, 2015 to $6.7 million in the same period in 2016. The increases in payroll and contract labor is consistent with our strategy to expand our operations and develop our MRAM technologies and products to support future growth.</w:t>
      </w:r>
    </w:p>
    <w:p>
      <w:pPr>
        <w:spacing w:after="0" w:line="18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See “Selected Financial Data” for more information and reconciliation of Adjusted EBITDA to net loss, the most directly comparable financial measure calculated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Design wins</w:t>
      </w:r>
      <w:r>
        <w:rPr>
          <w:rFonts w:ascii="Arial" w:cs="Arial" w:eastAsia="Arial" w:hAnsi="Arial"/>
          <w:sz w:val="18"/>
          <w:szCs w:val="18"/>
          <w:color w:val="auto"/>
        </w:rPr>
        <w:t>. In order to continue to grow our revenue, we must continue to achieve design wins for our MRAM products. We consider a design win to</w:t>
      </w:r>
      <w:r>
        <w:rPr>
          <w:rFonts w:ascii="Arial" w:cs="Arial" w:eastAsia="Arial" w:hAnsi="Arial"/>
          <w:sz w:val="18"/>
          <w:szCs w:val="18"/>
          <w:i w:val="1"/>
          <w:iCs w:val="1"/>
          <w:color w:val="auto"/>
        </w:rPr>
        <w:t xml:space="preserve"> </w:t>
      </w:r>
      <w:r>
        <w:rPr>
          <w:rFonts w:ascii="Arial" w:cs="Arial" w:eastAsia="Arial" w:hAnsi="Arial"/>
          <w:sz w:val="18"/>
          <w:szCs w:val="18"/>
          <w:color w:val="auto"/>
        </w:rPr>
        <w:t>occur when an original equipment manufacturer (OEM) or contract manufacturer notifies us that it has selected one of our products to be incorporated into a product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system under development. Because the life cycles for our customers’ products can last for several years, if these products have successful commercial introductions, we expect to continue to generate revenues over an extended period of time for each successful design win.</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In order for our customers to use our products, they may have to redesign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components of their existing designs. We have established relationships with several controller companies, including Broadcom (formerly LSI and Avago) and Microsemi (formerly PMC-Sierra), and IP core companies, including Cadence, Northwest Logic and Altera (now part of Intel), to accelerate the implementation of our MRAM solutions into our customers end products. Delays in our customers’ design cycles may have adverse effects on the demand, and therefore sales, of our products.</w:t>
      </w:r>
    </w:p>
    <w:p>
      <w:pPr>
        <w:spacing w:after="0" w:line="18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Customer concentration</w:t>
      </w:r>
      <w:r>
        <w:rPr>
          <w:rFonts w:ascii="Arial" w:cs="Arial" w:eastAsia="Arial" w:hAnsi="Arial"/>
          <w:sz w:val="17"/>
          <w:szCs w:val="17"/>
          <w:color w:val="auto"/>
        </w:rPr>
        <w:t>. A relatively small number of end customers have historically accounted for a significant percentage of our revenue.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through distributors, from Broadcom, NXP, STMicroelectronics, and Dell, collectively, accounted for 37% and 41% of our total revenue in 2014 and 2015, respectively. Two of these customers accounted for more than 10% of our revenue in 2015. Revenue, including through distributors, from Dell, Broadcom, ST Microelectronics, NXP, and Nikkiso, collectively, accounted for 34% of our total revenue in the six months ended June 30, 2016. None of these customers individually accounted for in excess of 10% of our total revenue in the six months ended June 30,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Pricing, product cost and gross margins of our products</w:t>
      </w:r>
      <w:r>
        <w:rPr>
          <w:rFonts w:ascii="Arial" w:cs="Arial" w:eastAsia="Arial" w:hAnsi="Arial"/>
          <w:sz w:val="17"/>
          <w:szCs w:val="17"/>
          <w:color w:val="auto"/>
        </w:rPr>
        <w:t>. Our gross margin has been, and will continue to be, affected by a variety of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Gross margin impact of licensing revenue</w:t>
      </w:r>
      <w:r>
        <w:rPr>
          <w:rFonts w:ascii="Arial" w:cs="Arial" w:eastAsia="Arial" w:hAnsi="Arial"/>
          <w:sz w:val="18"/>
          <w:szCs w:val="18"/>
          <w:color w:val="auto"/>
        </w:rPr>
        <w:t>. Our licensing revenue, which we collect as licensing fees and royalty payments, generates significantly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Technology, process, and product development investment</w:t>
      </w:r>
      <w:r>
        <w:rPr>
          <w:rFonts w:ascii="Arial" w:cs="Arial" w:eastAsia="Arial" w:hAnsi="Arial"/>
          <w:sz w:val="18"/>
          <w:szCs w:val="18"/>
          <w:color w:val="auto"/>
        </w:rPr>
        <w:t>. We invest heavily to develop our MRAM technology, including the core MRAM</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the joint development agreement with GLOBALFOUNDRIES, and the design of new and innovative products based on MRAM, to provide solutions to our current and future customers. We anticipate that we will continue to investment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derive our revenue from the sale of our MRAM-based products in discrete unit form, as embedded technology, and through licensing of and royalties on our MRAM technology. For sales through distributors, we defer recognition of revenue and the related expenses of our discrete MRAM products until the distributor has sold the products to its end customer. We recognize license fees 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 In addition, we expect to increase research and development expenditures, hire additional personnel necessary to support our growth, and incur additional expenses associated with being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expect our research and development expenses to increase as we hire additional personnel to develop new products and product enhancements. We recognize research and development expenses as they are incurred.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to incur additional general and administrative expenses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cash component of interest expense is attributable to our borrowings under our loan agreements.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Other income (expense), net consists primarily of the change in fair value of our convertible preferred stock warrant liability. Our convertible preferred stock warrants are exercisable into shares that are contingently redeemable and as such, are classified as a liability on our balance sheets at their estimated fair value and are marked to market at each reporting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$ 23,071</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$ 25,875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$12,437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37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1,825</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671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24,896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26,546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sales</w:t>
            </w:r>
          </w:p>
        </w:tc>
        <w:tc>
          <w:tcPr>
            <w:tcW w:w="37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11,806</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12,568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5,231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7,423</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3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12,664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21,126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620" w:type="dxa"/>
            <w:vAlign w:val="bottom"/>
            <w:gridSpan w:val="3"/>
          </w:tcPr>
          <w:p>
            <w:pPr>
              <w:jc w:val="right"/>
              <w:ind w:right="120"/>
              <w:spacing w:after="0"/>
              <w:rPr>
                <w:sz w:val="20"/>
                <w:szCs w:val="20"/>
                <w:color w:val="auto"/>
              </w:rPr>
            </w:pPr>
            <w:r>
              <w:rPr>
                <w:rFonts w:ascii="Arial" w:cs="Arial" w:eastAsia="Arial" w:hAnsi="Arial"/>
                <w:sz w:val="18"/>
                <w:szCs w:val="18"/>
                <w:color w:val="auto"/>
              </w:rPr>
              <w:t>7,085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6,565</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7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31,514</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(9,918)</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(17,536)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 expense</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(653)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7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(10,183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(18,183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(7,421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(9,956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760" w:type="dxa"/>
            <w:vAlign w:val="bottom"/>
            <w:vMerge w:val="restart"/>
          </w:tcPr>
          <w:p>
            <w:pPr>
              <w:jc w:val="right"/>
              <w:ind w:right="1930"/>
              <w:spacing w:after="0"/>
              <w:rPr>
                <w:sz w:val="20"/>
                <w:szCs w:val="20"/>
                <w:color w:val="auto"/>
              </w:rPr>
            </w:pPr>
            <w:r>
              <w:rPr>
                <w:rFonts w:ascii="Arial" w:cs="Arial" w:eastAsia="Arial" w:hAnsi="Arial"/>
                <w:sz w:val="18"/>
                <w:szCs w:val="18"/>
                <w:color w:val="auto"/>
              </w:rPr>
              <w:t>48</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8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3"/>
              </w:rPr>
              <w:t>Six Months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4"/>
                <w:szCs w:val="14"/>
                <w:b w:val="1"/>
                <w:bCs w:val="1"/>
                <w:color w:val="auto"/>
                <w:w w:val="91"/>
              </w:rPr>
              <w:t>Ended 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2015</w:t>
            </w: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gridSpan w:val="3"/>
            <w:vMerge w:val="restart"/>
          </w:tcPr>
          <w:p>
            <w:pPr>
              <w:jc w:val="center"/>
              <w:ind w:left="258"/>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9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 forth the statements of operations data for each of the periods presented as a percentage of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7"/>
          </w:tcPr>
          <w:p>
            <w:pPr>
              <w:jc w:val="right"/>
              <w:ind w:right="59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6"/>
          </w:tcPr>
          <w:p>
            <w:pPr>
              <w:jc w:val="right"/>
              <w:ind w:right="91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8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99"/>
              </w:rPr>
              <w:t>100%</w:t>
            </w:r>
          </w:p>
        </w:tc>
        <w:tc>
          <w:tcPr>
            <w:tcW w:w="3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4"/>
          </w:tcPr>
          <w:p>
            <w:pPr>
              <w:jc w:val="right"/>
              <w:ind w:right="1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ind w:left="340"/>
              <w:spacing w:after="0"/>
              <w:rPr>
                <w:sz w:val="20"/>
                <w:szCs w:val="20"/>
                <w:color w:val="auto"/>
              </w:rPr>
            </w:pPr>
            <w:r>
              <w:rPr>
                <w:rFonts w:ascii="Arial" w:cs="Arial" w:eastAsia="Arial" w:hAnsi="Arial"/>
                <w:sz w:val="18"/>
                <w:szCs w:val="18"/>
                <w:color w:val="auto"/>
              </w:rPr>
              <w:t>General and administrative</w:t>
            </w:r>
          </w:p>
        </w:tc>
        <w:tc>
          <w:tcPr>
            <w:tcW w:w="1180" w:type="dxa"/>
            <w:vAlign w:val="bottom"/>
            <w:gridSpan w:val="2"/>
          </w:tcPr>
          <w:p>
            <w:pPr>
              <w:jc w:val="right"/>
              <w:ind w:right="522"/>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140" w:type="dxa"/>
            <w:vAlign w:val="bottom"/>
            <w:gridSpan w:val="5"/>
          </w:tcPr>
          <w:p>
            <w:pPr>
              <w:jc w:val="right"/>
              <w:ind w:right="1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18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(57)</w:t>
            </w:r>
          </w:p>
        </w:tc>
        <w:tc>
          <w:tcPr>
            <w:tcW w:w="114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tcPr>
          <w:p>
            <w:pPr>
              <w:jc w:val="right"/>
              <w:ind w:right="46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9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18"/>
                <w:szCs w:val="18"/>
                <w:color w:val="auto"/>
              </w:rPr>
              <w:t>(1)</w:t>
            </w:r>
          </w:p>
        </w:tc>
        <w:tc>
          <w:tcPr>
            <w:tcW w:w="1140" w:type="dxa"/>
            <w:vAlign w:val="bottom"/>
            <w:gridSpan w:val="5"/>
          </w:tcPr>
          <w:p>
            <w:pPr>
              <w:jc w:val="right"/>
              <w:ind w:right="1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jc w:val="right"/>
              <w:ind w:right="30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w:t>
            </w:r>
          </w:p>
        </w:tc>
        <w:tc>
          <w:tcPr>
            <w:tcW w:w="5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360" w:type="dxa"/>
            <w:vAlign w:val="bottom"/>
            <w:gridSpan w:val="4"/>
          </w:tcPr>
          <w:p>
            <w:pPr>
              <w:spacing w:after="0"/>
              <w:rPr>
                <w:sz w:val="20"/>
                <w:szCs w:val="20"/>
                <w:color w:val="auto"/>
              </w:rPr>
            </w:pPr>
            <w:r>
              <w:rPr>
                <w:rFonts w:ascii="Arial" w:cs="Arial" w:eastAsia="Arial" w:hAnsi="Arial"/>
                <w:sz w:val="14"/>
                <w:szCs w:val="14"/>
                <w:color w:val="auto"/>
                <w:w w:val="95"/>
              </w:rPr>
              <w:t>*Not material.</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6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2015 and 2016</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4"/>
          </w:tcPr>
          <w:p>
            <w:pPr>
              <w:spacing w:after="0"/>
              <w:rPr>
                <w:sz w:val="20"/>
                <w:szCs w:val="20"/>
                <w:color w:val="auto"/>
              </w:rPr>
            </w:pPr>
            <w:r>
              <w:rPr>
                <w:rFonts w:ascii="Arial" w:cs="Arial" w:eastAsia="Arial" w:hAnsi="Arial"/>
                <w:sz w:val="18"/>
                <w:szCs w:val="18"/>
                <w:i w:val="1"/>
                <w:iCs w:val="1"/>
                <w:color w:val="auto"/>
              </w:rPr>
              <w:t>Revenue</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gridSpan w:val="6"/>
          </w:tcPr>
          <w:p>
            <w:pPr>
              <w:jc w:val="center"/>
              <w:ind w:right="110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7"/>
          </w:tcPr>
          <w:p>
            <w:pPr>
              <w:jc w:val="right"/>
              <w:ind w:right="699"/>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$12,437</w:t>
            </w:r>
          </w:p>
        </w:tc>
        <w:tc>
          <w:tcPr>
            <w:tcW w:w="8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$12,723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286</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Licensing and royalty revenue</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59"/>
              <w:spacing w:after="0"/>
              <w:rPr>
                <w:sz w:val="20"/>
                <w:szCs w:val="20"/>
                <w:color w:val="auto"/>
              </w:rPr>
            </w:pPr>
            <w:r>
              <w:rPr>
                <w:rFonts w:ascii="Arial" w:cs="Arial" w:eastAsia="Arial" w:hAnsi="Arial"/>
                <w:sz w:val="18"/>
                <w:szCs w:val="18"/>
                <w:color w:val="auto"/>
              </w:rPr>
              <w:t>(74)</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12,654</w:t>
            </w:r>
          </w:p>
        </w:tc>
        <w:tc>
          <w:tcPr>
            <w:tcW w:w="8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12,866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212</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Total revenue increased by $0.2 million or 1.7%, from $12.7 million during the six months ended June 30, 2015, to $12.9 million during the six months ended June 30, 2016. Product sales increased $0.3 million for the first half of 2016 compared to the same period in 2015 due primarily to an increase of $1.1 million in first generation MRAM sales partially offset by a decrease of $0.8 million in embedded MRAM sales. The decrease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embedded MRAM sales was due to a significant customer’s decision to decrease the amount of product held in inventory, which resulted in lower orders from this customer for the first half of 2016. The customer resumed its customary order level late in the second quarter of 2016.</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Licensing and royalty revenue is a highly variable revenue item characterized by a small number of transactions annually with revenues based on size and terms of each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32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120" w:type="dxa"/>
            <w:vAlign w:val="bottom"/>
            <w:tcBorders>
              <w:bottom w:val="single" w:sz="8" w:color="auto"/>
            </w:tcBorders>
          </w:tcPr>
          <w:p>
            <w:pPr>
              <w:jc w:val="right"/>
              <w:ind w:right="641"/>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80" w:type="dxa"/>
            <w:vAlign w:val="bottom"/>
            <w:gridSpan w:val="3"/>
          </w:tcPr>
          <w:p>
            <w:pPr>
              <w:jc w:val="right"/>
              <w:ind w:right="759"/>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87"/>
              </w:rPr>
              <w:t>$5,231</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$5,704</w:t>
            </w:r>
          </w:p>
        </w:tc>
        <w:tc>
          <w:tcPr>
            <w:tcW w:w="10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5"/>
              </w:rPr>
              <w:t>$  473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tcPr>
          <w:p>
            <w:pPr>
              <w:jc w:val="right"/>
              <w:ind w:right="381"/>
              <w:spacing w:after="0"/>
              <w:rPr>
                <w:sz w:val="20"/>
                <w:szCs w:val="20"/>
                <w:color w:val="auto"/>
              </w:rPr>
            </w:pPr>
            <w:r>
              <w:rPr>
                <w:rFonts w:ascii="Arial" w:cs="Arial" w:eastAsia="Arial" w:hAnsi="Arial"/>
                <w:sz w:val="18"/>
                <w:szCs w:val="18"/>
                <w:color w:val="auto"/>
              </w:rPr>
              <w:t>58.7%</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55.7%</w:t>
            </w:r>
          </w:p>
        </w:tc>
        <w:tc>
          <w:tcPr>
            <w:tcW w:w="1080" w:type="dxa"/>
            <w:vAlign w:val="bottom"/>
          </w:tcPr>
          <w:p>
            <w:pPr>
              <w:jc w:val="right"/>
              <w:ind w:right="4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4"/>
          <w:szCs w:val="14"/>
          <w:color w:val="auto"/>
        </w:rPr>
        <w:t>Not meaningful.</w:t>
      </w:r>
    </w:p>
    <w:p>
      <w:pPr>
        <w:spacing w:after="0" w:line="20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Cost of sales increased by $0.5 million or 9.0%, from $5.2 million during the six months ended June 30, 2015, to $5.7 million during the six months ended June 30, 2016, due to calibration issues with our manufacturing equipment in our fabrication line. Although we believe we have remedied these yield issues, manufacturing yields continue to remain a risk and could be adversely affected in the future in the event of break downs in mechanical systems, equipment failures or calibration errors. The increase was primarily due to a 13% increase in first generation MRAM product sales, and product mix. In an effort to fulfill pending customer orders, in the second half of 2016 we substituted product with a higher cost basis in place of a lower cost product for which we are expecting qualification certification late in the third quarter of 2016. Once the qualification certification is obtained, assuming the same order quantity, we expect we will achieve modest cost savings by shipping the new product.</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Gross margin decreased from 58.7% during the six months ended June 30, 2015, to 55.7% during the six months ended June 30, 2016. The decrease was primarily due to product mix and product substitution as discussed above. In addition, although revenue increased, margin decreased because we were not able to use the lower cost basis version of a product, as discussed above. We expect to obtain certification of the lower cost product in the third quarter of 2016, which we expect will increase our gross margin.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$ 1,589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3,574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3,295</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(279)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1,688</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16.1%</w:t>
            </w: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14,670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16,214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1,544</w:t>
            </w:r>
          </w:p>
        </w:tc>
        <w:tc>
          <w:tcPr>
            <w:tcW w:w="4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$1.6 million, or 16.5%, from $9.6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to $11.2 million during the six months ended June 30, 2016. The increase was primarily attributable to an increase of $0.9 million related to the vesting of common stock issued to GLOBALFOUNDRIES and increased payroll expense of $0.4 million due to additional headcount in product engineering.</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$0.3 million, or 7.8%, from $3.6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to $3.3 million during the six months ended June 30,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2016. The decrease was primarily due to a decrease of an aggregate $0.4 million in payroll and contract labor and employee related expenses primarily attributable to the redeployment of existing general and administrative operations personnel to research and development functions. These employees previously performed operations related duties such as planning and scheduling but have shifted focus to yield improvement and product certification efforts related to advanced product lifecycle and development stages. This decrease was partially offset by an increase of $0.1 million in professional services incurred related to our preparation and audit of financial statements in connection with our proposed initial public offering.</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$0.2 million, or 16.1%, from $1.5 million during the six months ended June 30,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during the six months ended June 30, 2016. The increase was primarily attributable to additional payroll expense and contract labor expense due to increased headcount.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305"/>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center"/>
              <w:ind w:right="285"/>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305"/>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080" w:type="dxa"/>
            <w:vAlign w:val="bottom"/>
            <w:tcBorders>
              <w:top w:val="single" w:sz="8" w:color="auto"/>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0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gridSpan w:val="3"/>
          </w:tcPr>
          <w:p>
            <w:pPr>
              <w:ind w:left="7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3"/>
              </w:rPr>
              <w:t>$ 1,001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456"/>
        <w:spacing w:after="0" w:line="342" w:lineRule="auto"/>
        <w:rPr>
          <w:sz w:val="20"/>
          <w:szCs w:val="20"/>
          <w:color w:val="auto"/>
        </w:rPr>
      </w:pPr>
      <w:r>
        <w:rPr>
          <w:rFonts w:ascii="Arial" w:cs="Arial" w:eastAsia="Arial" w:hAnsi="Arial"/>
          <w:sz w:val="16"/>
          <w:szCs w:val="16"/>
          <w:color w:val="auto"/>
        </w:rPr>
        <w:t>Interest expense increased $1.0 million from $0.2 million during the six months ended June 30, 2015, to $1.2 million during the six months ended June 30, 2016. The increase was primarily attributable to the increase in our outstanding debt balance year over year and amortization of debt discounts.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3"/>
          </w:tcPr>
          <w:p>
            <w:pPr>
              <w:jc w:val="right"/>
              <w:ind w:right="56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271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2"/>
          <w:szCs w:val="12"/>
          <w:color w:val="auto"/>
        </w:rPr>
      </w:pPr>
      <w:r>
        <w:rPr>
          <w:rFonts w:ascii="Arial" w:cs="Arial" w:eastAsia="Arial" w:hAnsi="Arial"/>
          <w:sz w:val="14"/>
          <w:szCs w:val="14"/>
          <w:color w:val="auto"/>
        </w:rPr>
        <w:t>Not meaningful.</w:t>
      </w:r>
    </w:p>
    <w:p>
      <w:pPr>
        <w:spacing w:after="0" w:line="20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income (expense), net increased from $9,000 during the six months ended June 30, 2015, to $0.3 million during the six months ended June 30, 2016. The change was primarily related to the fair value remeasurement of our warrant liabilities at each balance sheet date and the fair value remeasurement of our derivative liability, which was initially recognized in the first quarter of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2014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4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Year Ended</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6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900" w:type="dxa"/>
            <w:vAlign w:val="bottom"/>
            <w:gridSpan w:val="3"/>
            <w:shd w:val="clear" w:color="auto" w:fill="CCEEFF"/>
          </w:tcPr>
          <w:p>
            <w:pPr>
              <w:jc w:val="center"/>
              <w:ind w:left="2030"/>
              <w:spacing w:after="0"/>
              <w:rPr>
                <w:sz w:val="20"/>
                <w:szCs w:val="20"/>
                <w:color w:val="auto"/>
              </w:rPr>
            </w:pPr>
            <w:r>
              <w:rPr>
                <w:rFonts w:ascii="Arial" w:cs="Arial" w:eastAsia="Arial" w:hAnsi="Arial"/>
                <w:sz w:val="18"/>
                <w:szCs w:val="18"/>
                <w:color w:val="auto"/>
                <w:w w:val="89"/>
              </w:rPr>
              <w:t>$23,071</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$25,875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$ 2,804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2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1,825</w:t>
            </w:r>
          </w:p>
        </w:tc>
        <w:tc>
          <w:tcPr>
            <w:tcW w:w="6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671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(1,154)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900" w:type="dxa"/>
            <w:vAlign w:val="bottom"/>
            <w:gridSpan w:val="3"/>
            <w:shd w:val="clear" w:color="auto" w:fill="CCEEFF"/>
          </w:tcPr>
          <w:p>
            <w:pPr>
              <w:jc w:val="center"/>
              <w:ind w:left="203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24,896</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26,546</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$ 1,650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20" w:type="dxa"/>
            <w:vAlign w:val="bottom"/>
            <w:vMerge w:val="restart"/>
          </w:tcPr>
          <w:p>
            <w:pPr>
              <w:jc w:val="right"/>
              <w:ind w:right="970"/>
              <w:spacing w:after="0"/>
              <w:rPr>
                <w:sz w:val="20"/>
                <w:szCs w:val="20"/>
                <w:color w:val="auto"/>
              </w:rPr>
            </w:pPr>
            <w:r>
              <w:rPr>
                <w:rFonts w:ascii="Arial" w:cs="Arial" w:eastAsia="Arial" w:hAnsi="Arial"/>
                <w:sz w:val="18"/>
                <w:szCs w:val="18"/>
                <w:color w:val="auto"/>
              </w:rPr>
              <w:t>51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Total revenue increased by $1.7 million, or 6.6%, from $24.9 million during the year ended December 31, 2014, to $26.5 million during the year ended December 31, 2015. The increase in revenue was attributable to increased customer adoption of discrete MRAM products, partially offset by a decrease in licensing and royalty revenue primarily related to the timing of milestone payments under existing or new licensing arrangements.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Sales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5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Year Ended</w:t>
            </w:r>
          </w:p>
        </w:tc>
        <w:tc>
          <w:tcPr>
            <w:tcW w:w="10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50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80" w:type="dxa"/>
            <w:vAlign w:val="bottom"/>
            <w:gridSpan w:val="3"/>
          </w:tcPr>
          <w:p>
            <w:pPr>
              <w:jc w:val="right"/>
              <w:ind w:right="8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w w:val="89"/>
              </w:rPr>
              <w:t>$11,806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$12,568</w:t>
            </w:r>
          </w:p>
        </w:tc>
        <w:tc>
          <w:tcPr>
            <w:tcW w:w="10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5"/>
              </w:rPr>
              <w:t>$  762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Gross margin</w:t>
            </w:r>
          </w:p>
        </w:tc>
        <w:tc>
          <w:tcPr>
            <w:tcW w:w="1000" w:type="dxa"/>
            <w:vAlign w:val="bottom"/>
          </w:tcPr>
          <w:p>
            <w:pPr>
              <w:jc w:val="right"/>
              <w:ind w:right="161"/>
              <w:spacing w:after="0"/>
              <w:rPr>
                <w:sz w:val="20"/>
                <w:szCs w:val="20"/>
                <w:color w:val="auto"/>
              </w:rPr>
            </w:pPr>
            <w:r>
              <w:rPr>
                <w:rFonts w:ascii="Arial" w:cs="Arial" w:eastAsia="Arial" w:hAnsi="Arial"/>
                <w:sz w:val="18"/>
                <w:szCs w:val="18"/>
                <w:color w:val="auto"/>
              </w:rPr>
              <w:t>52.6%</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52.7%</w:t>
            </w:r>
          </w:p>
        </w:tc>
        <w:tc>
          <w:tcPr>
            <w:tcW w:w="1080" w:type="dxa"/>
            <w:vAlign w:val="bottom"/>
          </w:tcPr>
          <w:p>
            <w:pPr>
              <w:jc w:val="right"/>
              <w:ind w:right="4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Cost of sales increased by $0.8 million, or 6.5%, from $11.8 million during the year ended December 31, 2014, to $12.6 million during the year ended December 31, 2015. The increase was primarily due to an increase in the volume of products produced and sold.</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Gross margin increased from 52.6% during the year ended December 31, 2014, to 52.7% during the year ended December 31, 2015. The increase was not material in comparing the results of 2014 to 2015.</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$12,664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$21,126</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$ 8,462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66.8%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7,085</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6,565</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(520)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3,259</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3,823</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w:t>
            </w: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23,008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31,514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8,506</w:t>
            </w:r>
          </w:p>
        </w:tc>
        <w:tc>
          <w:tcPr>
            <w:tcW w:w="4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$8.5 million, or 66.8%, from $12.7 million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to $21.1 million during the year ended December 31, 2015. The increase was primarily attributable to spending to develop ST-MRAM technology, including $5.3 million in support of the joint development agreement with GLOBALFOUNDRIES, which included a non-cash charge of $1.8 million related to the vesting of common stock issued to GLOBALFOUNDRIES, and $2.8 million of additional payroll, contract labor, and direct materials for technology, process, design and systems development.</w:t>
      </w:r>
    </w:p>
    <w:p>
      <w:pPr>
        <w:spacing w:after="0" w:line="188"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$0.5 million, or 7.3%, from $7.1 million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to $6.6 million during the year ended December 31, 2015. The decrease was primarily attributable to the redeployment of existing general and administrative operations headcount to research and development functions.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$0.6 million, or 17.3%, from $3.3 million during the year ended December 31, 2014, to</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during the year ended December 31, 2015. The increase was attributable to additional payroll expense due to increased headcount and increased commissions to sales representatives.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2014</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0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5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$263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Interest expense increased $0.4 million from $0.3 million during the year ended December 31, 2014, to $0.7 million during the year ended December 31, 2015. The increase was attributable to the increase in our outstanding debt balance year over year.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Year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1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 (2)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6</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income (expense), net was an expense of $2,000 during the year ended December 31, 2014, compared to income of $6,000 during the year ended December 31, 2015. The change was primarily related to the fair value remeasurement of our warrant liabilities at each balance sheet date.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following table sets forth our unaudited quarterly statements of operations data and other operating data for each of the quarters indicated. We have prepared the quarterly data on a basis consistent with the audited financial statements included in this prospectus. In the opinion of management, the quarterly information reflects all necessary adjustments, consisting only of normal recurring adjustments, necessary for a fair statement of this data. This information should be read in conjunction with audited financial statements and related notes and other information included elsewhere in this prospectus. The results of historical periods are not necessarily indicative of results of operations for a full year or for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9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 31</w:t>
            </w: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7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Sept. 30</w:t>
            </w:r>
          </w:p>
        </w:tc>
        <w:tc>
          <w:tcPr>
            <w:tcW w:w="120" w:type="dxa"/>
            <w:vAlign w:val="bottom"/>
          </w:tcPr>
          <w:p>
            <w:pPr>
              <w:spacing w:after="0"/>
              <w:rPr>
                <w:sz w:val="10"/>
                <w:szCs w:val="10"/>
                <w:color w:val="auto"/>
              </w:rPr>
            </w:pPr>
          </w:p>
        </w:tc>
        <w:tc>
          <w:tcPr>
            <w:tcW w:w="92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Dec. 31</w:t>
            </w: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6,671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6,767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6,126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and royalty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ind w:left="7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6,800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3,879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2,921</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6,403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1,171</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8,931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(4,114)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(3,133)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(4,279)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(6,010)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(4,017)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(3,268)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(4,509)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(5,416)</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(3,544)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(2,298)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(3,247)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recognized consecutive quarterly product sales revenue growth during 2015 as product revenue increased from $6.1 million in the first quarter of 2015 to $6.8 million in the fourth quarter of 2015. Our product revenue decreased to $6.1 million in the first quarter of 2016 as compared to the fourth quarter of 2015, primarily due to a decrease in first generation and embedded MRAM product sales. This decrease was primarily due to a significant customer’s decision to decrease the amount of product held in inventory, which resulted in lower orders from this customer for the first half of 2016. The customer resumed its customary order level late in the second quarter of 2016, which contributed to the increase in product revenue in the second quarter of 2016.</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Licensing revenue is a highly variable revenue item characterized by a small number of transactions annually with revenue based on size and terms of each transaction. In the first and third quarters of 2015, licensing revenue was higher primarily due to the timing of milestone payments under existing or new licensing arrangements.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 of sales increased during each quarter in 2015, primarily due to volume and mix of product sold in the first generation MRAM product line and product yield issues in the third and fourth quarters of 2015. In the first quarter of 2016 as compared to fourth quarter of 2015, cost of sales decreased 34%, to $2.5 million, as a result of a decrease in product revenue and the cessation and correction of yield issues experienced in the second half of 2015. In an effort to fulfill pending customer orders, in the first half of 2016, we substituted product with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higher cost basis in place of a lower cost product for which we are expecting qualification certification late in the third quarter of 2016; this product substitution resulted in higher costs in the first half of 2016. Qualification certification has since been obtained, so assuming the same order quantity, we expect we will achieve modest cost savings by shipping the new product.</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Gross profit decreased from the third quarter to the fourth quarter of 2015 primarily due to volume, mix and product yield issues encountered in third and fourth quarters of 2015. The third quarter 2015 did not reflect a decrease from the prior quarter primarily as a result of the increased licensing revenue during that quarter.</w:t>
      </w:r>
    </w:p>
    <w:p>
      <w:pPr>
        <w:spacing w:after="0" w:line="18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Operating expenses were primarily impacted by increased headcount to support growth and investment in research and development activities. The increase was also attributable to the increase in stock-based compensation expense due to the increase in the fair value of our common stock and the related vesting of common stock issued to GLOBALFOUNDRIES. The decrease in the second quarter of 2015 was primarily driven by decreased research and development spending due to our investment in product development in the first quarter of 2015 that we were able to utilize throughout the year, offset primarily by increased headcount and increased expenses related to product certification goals. The decrease from the fourth quarter of 2015 to the first quarter of 2016 was primarily driven by $1.1 million of additional costs incurred in the fourth quarter on production of test units awaiting certification and increased non-cash charges related to the vesting of our common stock held by GLOBALFOUNDRIES in the fourth quarter 2015 compared to the first quarter 2016 in the amount of $0.5 million.</w:t>
      </w:r>
    </w:p>
    <w:p>
      <w:pPr>
        <w:spacing w:after="0" w:line="19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increase in interest expense quarter over quarter was primarily attributable to the increase in our outstanding debt balance and amortization of debt discounts.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define Adjusted EBITDA as net income or loss adjusted for depreciation and amortization, stock-based compensation expense, compensation expense related to the vesting of common stock held by GLOBALFOUNDRIES resulting from our joint development agreement and interest expense. See “Selected Financial Data” for the explanation of why we track Adjusted EBITDA, why Adjusted EBITDA may be a useful measure for investors, and the limitations of this measure as an analytical tool. The following table presents a reconciliation of net loss, the most directly comparable GAAP measure, to Adjusted EBITDA for each of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160" w:type="dxa"/>
            <w:vAlign w:val="bottom"/>
          </w:tcPr>
          <w:p>
            <w:pPr>
              <w:spacing w:after="0"/>
              <w:rPr>
                <w:sz w:val="10"/>
                <w:szCs w:val="10"/>
                <w:color w:val="auto"/>
              </w:rPr>
            </w:pPr>
          </w:p>
        </w:tc>
        <w:tc>
          <w:tcPr>
            <w:tcW w:w="9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 31</w:t>
            </w:r>
          </w:p>
        </w:tc>
        <w:tc>
          <w:tcPr>
            <w:tcW w:w="7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7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Sept. 30</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Dec. 31</w:t>
            </w:r>
          </w:p>
        </w:tc>
        <w:tc>
          <w:tcPr>
            <w:tcW w:w="7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r>
      <w:tr>
        <w:trPr>
          <w:trHeight w:val="171"/>
        </w:trPr>
        <w:tc>
          <w:tcPr>
            <w:tcW w:w="616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(4,153)</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(3,268)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(4,509)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(6,253)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(4,540)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(5,416)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272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396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267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rPr>
              <w:t>Compensation expense related to vesting of GLOBALFOUNDRIES common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stock</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208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494</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734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922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Adjusted EBITDA</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(3,544</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(2,298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(3,273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 (4,898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(3,247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(3,492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$89.7 million as of June 30, 2016. We have financed our operations primarily through sales of our redeemable convertible preferred stock, debt financing and the sale of our products. As of June 30, 2016, we had $2.6 million of cash and cash equivalents, compared to $2.3 million as of December 31, 2015.</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June 2015, we refinanced our existing indebtedness and entered into a loan and security agreement with Ares Venture Finance (the 2015 Credit Facility) for a term loan of $8.0 million and a $4.0 million revolving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which increased our borrowing costs and extended the maturity of our debt to June 2019 for the term loan and June 2017 for the revolving loan. The facility is collateralized by substantially all of our assets and contains various covenants as described in “—Contractual Obligations—2015 Credit Facility” below. We were in compliance with the financial covenants at December 31, 2015, and June 30, 2016. Our ability to access the revolving loan depends upon levels of our accounts receivable and, therefore, the full amount may not be available to us at any specific time.</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believe that our existing cash and cash equivalents as of June 30, 2016, and the $3.5 million from our August 2016 Notes, together with the additional borrowings available under our 2015 Credit Facility, and net proceeds from this offering and the concurrent private placement, will be sufficient to meet our anticipated cash requirements for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Our independent registered public accounting firm has expressed in its auditors’ report on our financial statements, included as part of this prospectus, a “going concern” opinion, meaning that we have suffered recurring losses from operations and negative cash flows from operations that raise substantial doubt regarding our ability to continue as a going concern. We need additional capital to meet our planned operating requirements throughout 2016 and beyond, which is one of the reasons why we are conducting this proposed initial public offering.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38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360" w:type="dxa"/>
            <w:vAlign w:val="bottom"/>
          </w:tcPr>
          <w:p>
            <w:pPr>
              <w:spacing w:after="0"/>
              <w:rPr>
                <w:sz w:val="14"/>
                <w:szCs w:val="14"/>
                <w:color w:val="auto"/>
              </w:rPr>
            </w:pPr>
          </w:p>
        </w:tc>
        <w:tc>
          <w:tcPr>
            <w:tcW w:w="23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center"/>
              <w:ind w:left="48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8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19"/>
        </w:trPr>
        <w:tc>
          <w:tcPr>
            <w:tcW w:w="6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60" w:type="dxa"/>
            <w:vAlign w:val="bottom"/>
            <w:gridSpan w:val="3"/>
          </w:tcPr>
          <w:p>
            <w:pPr>
              <w:jc w:val="right"/>
              <w:ind w:right="920"/>
              <w:spacing w:after="0" w:line="119" w:lineRule="exact"/>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8"/>
              </w:rPr>
              <w:t>$ (7,938)</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$(10,670)</w:t>
            </w:r>
          </w:p>
        </w:tc>
        <w:tc>
          <w:tcPr>
            <w:tcW w:w="108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89"/>
              </w:rPr>
              <w:t>$(6,587)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$(4,650)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(525)</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(1,295)</w:t>
            </w:r>
          </w:p>
        </w:tc>
        <w:tc>
          <w:tcPr>
            <w:tcW w:w="1080" w:type="dxa"/>
            <w:vAlign w:val="bottom"/>
          </w:tcPr>
          <w:p>
            <w:pPr>
              <w:jc w:val="right"/>
              <w:ind w:right="380"/>
              <w:spacing w:after="0"/>
              <w:rPr>
                <w:sz w:val="20"/>
                <w:szCs w:val="20"/>
                <w:color w:val="auto"/>
              </w:rPr>
            </w:pPr>
            <w:r>
              <w:rPr>
                <w:rFonts w:ascii="Arial" w:cs="Arial" w:eastAsia="Arial" w:hAnsi="Arial"/>
                <w:sz w:val="18"/>
                <w:szCs w:val="18"/>
                <w:color w:val="auto"/>
              </w:rPr>
              <w:t>(666)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13,712</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4,648</w:t>
            </w:r>
          </w:p>
        </w:tc>
        <w:tc>
          <w:tcPr>
            <w:tcW w:w="1080" w:type="dxa"/>
            <w:vAlign w:val="bottom"/>
            <w:shd w:val="clear" w:color="auto" w:fill="CCEEFF"/>
          </w:tcPr>
          <w:p>
            <w:pPr>
              <w:jc w:val="right"/>
              <w:ind w:right="440"/>
              <w:spacing w:after="0"/>
              <w:rPr>
                <w:sz w:val="20"/>
                <w:szCs w:val="20"/>
                <w:color w:val="auto"/>
              </w:rPr>
            </w:pPr>
            <w:r>
              <w:rPr>
                <w:rFonts w:ascii="Arial" w:cs="Arial" w:eastAsia="Arial" w:hAnsi="Arial"/>
                <w:sz w:val="18"/>
                <w:szCs w:val="18"/>
                <w:color w:val="auto"/>
              </w:rPr>
              <w:t>4,759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5,412</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During the six months ended June 30, 2016, cash used in operating activities was $4.7 million, which consisted of a net loss of $10.0 million, adjusted by non-cash charges of $2.6 million and an increase of $2.7 million in our net operating assets and liabilities. The non-cash charges primarily comprised compensation expense related to vesting of common stock issued to GLOBALFOUNDRIES under our joint development agreement of $1.4 million, depreciation and amortization of $0.4 million, non-cash interest expense of $0.8 million, stock-based compensation of $0.2 million and a gain of $0.3 million from the fair value remeasurement of our derivative liability. The increase in our net operating assets and liabilities was primarily due to a net increase of $2.1 million in the related party amount due to GLOBALFOUNDRIES in connection with the joint development agreement, a decrease of $0.4 million in inventory and an increase of $1.3 million in accounts payable and accrued liabilities due to an increase in purchases and timing of payments. These changes were partially offset by an increase in accounts receivable of $0.8 million due to timing of cash receipts for outstanding balances and $0.5 million in prepaid expenses and other current assets for advances made for the purchase of wafers.</w:t>
      </w:r>
    </w:p>
    <w:p>
      <w:pPr>
        <w:spacing w:after="0" w:line="18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During the six months ended June 30, 2015, cash used in operating activities was $6.6 million, which consisted of a net loss of $7.4 million, adjusted by non-cash charges of $1.5 million and a decrease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$0.7 million in our net operating assets and liabilities. The non-cash charges primarily comprised depreciation and amortization of $0.7 million, compensation expense related to vesting of common stock issued to GLOBALFOUNDRIES under our joint development agreement of $0.5 million, stock-based compensation of $0.2 million and non-cash interest of $0.1 million. The decrease in our net operating assets and liabilities was primarily due to an increase of $1.0 million inventory, an increase of $0.9 million in prepaid and other expenses for advances made for the purchase of wafers, and an increase of</w:t>
      </w:r>
    </w:p>
    <w:p>
      <w:pPr>
        <w:spacing w:after="0" w:line="2"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$0.3 million in accounts receivable due to timing of cash receipts for outstanding balances, a decrease of $0.6 million in accounts payable and accrued liabilities due to timing of payments. These changes were substantially offset by a net increase of $1.6 million in the related party amount due to GLOBALFOUNDRIES in connection with the joint development agreement and an increase of $0.5 million in the deferred income on shipments to distributors due to increase in such activity since year end.</w:t>
      </w:r>
    </w:p>
    <w:p>
      <w:pPr>
        <w:spacing w:after="0" w:line="19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During the year ended December 31, 2015, cash used in operating activities was $10.7 million, which consisted of a net loss of $18.2 million, adjusted by non-cash charges of $3.7 million and an increase of $3.8 million in our net operating assets and liabilities. The non-cash charges primarily comprised compensation expense related to vesting of common stock issued to GLOBALFOUNDRIES under our joint development agreement of $1.8 million, depreciation and amortization of $1.3 million, stock-based compensation of $0.4 million and non-cash interest expense of $0.2 million. The increase in our net operating assets and liabilities was primarily due to $3.3 million in accrued expenses associated with the joint development agreement.</w:t>
      </w:r>
    </w:p>
    <w:p>
      <w:pPr>
        <w:spacing w:after="0" w:line="15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During the year ended December 31, 2014, cash used in operating activities was $7.9 million, which consisted of a net loss of $10.2 million, adjusted by non-cash charges of $2.5 million and a decrease of $0.3 million in our net operating assets and liabilities. The non-cash charges primarily comprised depreciation and amortization of $1.5 million, stock-based compensation of $0.8 million, compensation expense related to vesting of common stock issued to GLOBALFOUNDRIES of $0.1 million and non-cash interest expense of $0.1 million. The decrease in our net operating assets and liabilities was primarily due to an increase in trade and related parties receivables resulting from an increase in our revenue in 2014.</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Cash used in investing activities during the six months ended June 30, 2016 and 2015, was $0.4 million and $0.7 million, respectively, consisting of capital expenditures primarily for the purchase of manufacturing equipment.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Cash used in investing activities during the years ended December 31, 2014 and 2015, was $0.5 million and $1.3 million, respectively, which consisted of capital expenditures primarily for the purchase of manufacturing equipment, and purchased software.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During the six months ended June 30, 2016, cash provided by financing activities was $5.4 million consisting of proceeds of $6.5 million from borrowings partially offset by payments on deferred offering costs of $0.6 million, long-term debt of $0.4 million, and capital lease obligations of $0.1 million.</w:t>
      </w:r>
    </w:p>
    <w:p>
      <w:pPr>
        <w:spacing w:after="0" w:line="18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During the six months ended June 30, 2015, cash provided by financing activities was $4.8 million consisting of from $8.0 million in borrowings partially offset by payments on long-term debt of $3.0 million, debt issuance costs of $0.1 million and capital lease obligations of $0.1 million.</w:t>
      </w:r>
    </w:p>
    <w:p>
      <w:pPr>
        <w:spacing w:after="0" w:line="124"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During the year ended December 31, 2015, cash provided by financing activities was $4.6 million consisting of proceeds of $8.0 million from borrowings under our long-term debt facility partially offset by $3.2 million in payments on long-term debt and capital lease obligations.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During the year ended December 31, 2014, cash provided by financing activities was $13.7 million consisting primarily of net proceeds of $10.0 million from the issuance of redeemable convertible preferred stock and proceeds of $4.0 million from borrowing under our debt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480" w:type="dxa"/>
            <w:vAlign w:val="bottom"/>
          </w:tcPr>
          <w:p>
            <w:pPr>
              <w:spacing w:after="0"/>
              <w:rPr>
                <w:sz w:val="10"/>
                <w:szCs w:val="10"/>
                <w:color w:val="auto"/>
              </w:rPr>
            </w:pPr>
          </w:p>
        </w:tc>
        <w:tc>
          <w:tcPr>
            <w:tcW w:w="5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1 to 3</w:t>
            </w:r>
          </w:p>
        </w:tc>
        <w:tc>
          <w:tcPr>
            <w:tcW w:w="460" w:type="dxa"/>
            <w:vAlign w:val="bottom"/>
          </w:tcPr>
          <w:p>
            <w:pPr>
              <w:spacing w:after="0"/>
              <w:rPr>
                <w:sz w:val="10"/>
                <w:szCs w:val="10"/>
                <w:color w:val="auto"/>
              </w:rPr>
            </w:pPr>
          </w:p>
        </w:tc>
        <w:tc>
          <w:tcPr>
            <w:tcW w:w="10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4"/>
              </w:rPr>
              <w:t>3 to 5</w:t>
            </w: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Years</w:t>
            </w: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current and non-current, including interest</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$6,622</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$1,423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1,423</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40" w:hanging="332"/>
        <w:spacing w:after="0" w:line="25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interest charges have been calculated using a rate of 8.75%, which was the rate in effect for 2015. The debt bears interest at a variable rate and interest charges in future periods may be higher.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June 30, 2016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3"/>
              </w:rPr>
              <w:t>Less Than</w:t>
            </w: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to 3</w:t>
            </w:r>
          </w:p>
        </w:tc>
        <w:tc>
          <w:tcPr>
            <w:tcW w:w="50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3 to 5</w:t>
            </w:r>
          </w:p>
        </w:tc>
        <w:tc>
          <w:tcPr>
            <w:tcW w:w="50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1 Year</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Years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payable – related party</w:t>
            </w:r>
            <w:r>
              <w:rPr>
                <w:rFonts w:ascii="Arial" w:cs="Arial" w:eastAsia="Arial" w:hAnsi="Arial"/>
                <w:sz w:val="15"/>
                <w:szCs w:val="15"/>
                <w:color w:val="auto"/>
              </w:rPr>
              <w:t>(1)</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Long-term debt, current and non-current, including interest</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6,293</w:t>
            </w: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10,601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328</w:t>
            </w: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10,704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17,325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interest charges for convertible promissory notes have been calculated using a fixed rate of 5.0%.</w:t>
      </w:r>
    </w:p>
    <w:p>
      <w:pPr>
        <w:ind w:left="340" w:right="120" w:hanging="332"/>
        <w:spacing w:after="0" w:line="237"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interest charges for the 2015 Credit Facility have been calculated using a rate of 8.75%, which was the rate in effect for the first half of 2016. The debt bears interest at a variable rate and interest charges in future periods may be higher.</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May 2016, we entered into an amendment to our joint development agreement with GLOBALFOUNDRIES to modify the payment schedule and clarify our payment obligations for certain past project costs. Under the amendment, GLOBALFOUNDRIES has the right to terminate the joint development agreement if we do not pay the project costs, with interest, by December 16, 2016. As of June 30, 2016, the amount owed to GLOBALFOUNDRIES is $5.6 million, and is estimated to be $8.5 million in December 2016.</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In August 2016, we entered into an amendment to the facility lease for our design facility located in Austin, Texas to increase the leased space from 5,002 square feet to 11,084 square feet and extend the lease term from September 2016 to January 2022. The aggregate amount of payments due under the amended lease is $1.1 million.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September 2016, we entered into an amendment to the January 2016 Notes and August 2016 Notes to extend the maturity date from September 30, 2016 to December 15,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11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 June 2015, we entered into a loan and security agreement with Ares Venture Finance for a term loan of $8.0 million and a $4.0 million revolving loan for working capital purposes and to repay our existing debt to another lender. The term loan bears interest at a floating rate equal to the greater of</w:t>
      </w:r>
    </w:p>
    <w:p>
      <w:pPr>
        <w:ind w:right="340" w:firstLine="8"/>
        <w:spacing w:after="0" w:line="290"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8.75% or (ii) LIBOR plus 7.75%, and matures in June 2019. The revolving loan bears interest at a floating rate equal to the prime rate plus 3.75% and matures on June 5, 2017. The outstanding balance on our revolving loan is limited to the lesser of $4.0 million or 85% of the outstanding balance of our receivables. Our obligations under the 2015 Credit Facility are secured by substantially all of our assets. The 2015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dividends with respect to our capital stock. We were in compliance with all covenants at June 30, 2016.</w:t>
      </w:r>
    </w:p>
    <w:p>
      <w:pPr>
        <w:spacing w:after="0" w:line="16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connection with the 2015 Credit Facility, we issued a warrant to the lender to purchase 18,461 shares of Series B redeemable convertible preferred stock at $26.00 a share.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January 2016 Convertible Promissory Notes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January 2016, we entered into a Note Purchase Agreement, as amended in September 2016, with several of our stockholders for the issuance of convertible promissory notes (the “January 2016 Notes”) for an aggregate principal amount of $5.0 million. The January 2016 Notes bear interest at 5.0% per annum and have a maturity date of December 15, 2016, extended from the original maturity date of September 30, 2016. The outstanding principal amount and accrued interest on the January 2016 Notes are convertible into shares of Series B redeemable convertible preferred stock, at any time, upon written election of the holders of at least a majority of the outstanding principal balance of the January 2016 Notes. In the event of an equity financing with proceeds in excess of $5.0 million (“Qualified Financing”) prior to the maturity of the January 2016 Notes, the outstanding principal and accrued interest automatically convert into shares of stock issued in the equity financing based on a price per share equal to the price per share paid by investors in the financing. In the event of a firmly underwritten initial public offering pursuant to an effective registration statement under the Securities Act of 1933, as amended (an IPO), the outstanding principal and accrued interest convert into shares of our common stock at a price per share equal to 80% of the per share price of the common stock issued in the IPO. In the event of a deemed liquidation event occurring before the maturity date, the January 2016 Notes will be repaid in cash in an amount equal to three times the outstanding principal amount. The redemption of the January 2016 Notes upon a deemed liquidation event and in the event of an IPO are contingent redemption features that are not clearly and closely related to the debt instrument and have been bifurcated and recognized as a derivative liability on the balance sheet as of June 30, 2016. The compound derivative was recorded as a debt discount of $0.7 million on the issuance date of the January 2016 Notes and is being amortized over the term of the January 2016 Notes using the effective interest method. At June 30, 2016, the carrying values of the January 2016 Notes and the derivative liability were $4.9 million and $0.4 million, respectively.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August 2016 Convertible Promissory Notes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August 2016, we entered into a Note Purchase Agreement, as amended in September 2016, with several of our stockholders for the issuance of subordinated convertible promissory notes (the “August 2016 Notes”) for an aggregate principal amount of $3.5 million. The August 2016 Notes bear interest at 5.0% per annum and have a maturity date of December 15, 2016, extended from the original maturity date of September 30, 2016. In the event of a Qualified Financing prior to the maturity of the August 2016 Notes, the outstanding principal and accrued interest convert into shares of stock issued in the Qualified Financing based on a price per share equal to the price per share paid by investors in such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August 2016 Notes will be repaid in cash in an amount equal to three times the outstanding principal amount. The redemption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August 2016 Notes upon a deemed liquidation event and in the event of an IPO are contingent redemption features that are not clearly and closely related to the debt instrument and will be bifurcated and recognized as a derivative liability on the balance sheet at the date of issuance.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this offering we were a private company and have had limited accounting and financial reporting personnel and other resources with which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address our internal controls and procedures. In connection with the audits of our consolidated financial statements as of and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and 2015, we identified a material weakness in our internal control over financial reporting, as defined in the standards established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Sarbanes-Oxley Act. Our management has determined that we had a material weakness in our internal control over financial reporting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and 2015, relating to the design and operation of our financial reporting processes. We have concluded that this material weakness in our internal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controls was due to the fact that we did not have resources with the appropriate level of experience and technical expertise to oversee our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remediate this material weakness, we have taken the following actions:</w:t>
      </w:r>
    </w:p>
    <w:p>
      <w:pPr>
        <w:spacing w:after="0" w:line="131" w:lineRule="exact"/>
        <w:rPr>
          <w:sz w:val="20"/>
          <w:szCs w:val="20"/>
          <w:color w:val="auto"/>
        </w:rPr>
      </w:pPr>
    </w:p>
    <w:p>
      <w:pPr>
        <w:ind w:left="900" w:right="3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continuing to actively seek accounting and finance staff members to augment our current staff and to improve the effectiveness of our closing and financial reporting processes;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currently updating our information technology tools, including the recent implementation of an ERP system;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formalizing our accounting policies and internal controls documentation and strengthening supervisory reviews by our management;</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engaged external consultants to assist us with preparation and review activities associated with the financial statements and our financial reporting processes;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May 2016, we added an independent board member with significant semiconductor CFO experience to chair our audit committee.</w:t>
      </w:r>
    </w:p>
    <w:p>
      <w:pPr>
        <w:spacing w:after="0" w:line="23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connection with the initiatives we are implementing to remediate the material weakness, we expect to incur additional expense as we hire additional financial accounting staff, utilize consultants and improve our accounting and financial reporting systems. The initiatives we are implementing are subject to continued management review supported by confirmation and testing, as well as audit committee oversight. We expect to complete the measures above as soon as practicable following this offering and will continue to implement measures to remedy our internal control deficiencies in order to meet the deadline imposed by Section 404 of the Sarbanes-Oxley Act of 2002. However, we cannot be certain that the measures we have taken or may take in the future will ensure that we will establish and maintain adequate controls over our financial processes and reporting in the future.</w:t>
      </w:r>
    </w:p>
    <w:p>
      <w:pPr>
        <w:spacing w:after="0" w:line="16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Notwithstanding the material weakness that existed as of December 31, 2014 and 2015, our management has concluded that the financial statements included elsewhere in this prospectus present fairly, in all material respects, our financial position, results of operation and cash flows in conformity with GAAP.</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fail to fully remediate this material weakness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 Our independent registered public accounting firm has not assessed the effectiveness of our internal control over financial reporting and, under the JOBS Act,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financial statements and related notes included elsewhere in this prospectus have been prepared in accordance with United States generally accepted accounting principles.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Recognition—Distributors</w:t>
      </w:r>
    </w:p>
    <w:p>
      <w:pPr>
        <w:spacing w:after="0" w:line="11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We sell the majority of our products to our distributors at a uniform list price. Price protection rights grant distributors the right to a credit in the event of declines in the price of our products. Distributors are provided with price concessions subsequent to delivery of product to them depending on their end customer and sales price. These concessions are based on a variety of factors, including customer, product, quantity, geography and competitive differentiation. We defer revenue on shipments to distributors as the price is not fixed or determinable until delivery has been made by the distributor to its customer and the final sales price has been established. At the time of shipment to distributors, we record a trade receivable for the selling price as there is a legally enforceable obligation of the distributor to pay for the product delivered, we relieve inventory for the carrying value of goods shipped, and the net of these amounts, the gross profit, we record as deferred income on shipments to distributors on the balance sheet. The amount of gross profit that will be ultimately recognized in our statements of operations on such sales could be lower than the deferred income recorded on our balance sheet as a result of</w:t>
      </w:r>
    </w:p>
    <w:p>
      <w:pPr>
        <w:spacing w:after="0" w:line="1" w:lineRule="exact"/>
        <w:rPr>
          <w:sz w:val="20"/>
          <w:szCs w:val="20"/>
          <w:color w:val="auto"/>
        </w:rPr>
      </w:pPr>
    </w:p>
    <w:p>
      <w:pPr>
        <w:ind w:right="20" w:firstLine="8"/>
        <w:spacing w:after="0" w:line="271" w:lineRule="auto"/>
        <w:tabs>
          <w:tab w:leader="none" w:pos="2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credits granted to distributors on specifically identified products and customers to allow the distributors to earn a competitive gross profit on the sale of our products to the end customer and (b) price protection concessions related to market pricing conditions. We are unable to estimate the credits to the distributors due to the wide variability of negotiated price concessions granted to them. Therefore, we record the price concessions against deferred income at the time the distributor sells the product to its customers. The recognition of revenue from deferred income on shipments to distributors is ultimately contingent upon delivery of product to the distributor’s customer, at which point the price is fixed or determinable.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2016, we had approximately $3.0 million of deferred revenue and $1.4 million of deferred cost of sales, resulting in the recognition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 million of deferred income on shipments to distributors. At December 31, 2015, we had approximately $2.6 million of deferred revenue and $1.2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deferred cost of sales, resulting in the recognition of $1.4 million of deferred income on shipments to distributors. At December 31, 2014, we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$3.4 million of deferred revenue and $1.6 million of deferred cost of sales, resulting in the recognition of $1.8 million of deferred income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shipments to distributors.</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Products returned by distributors and subsequently scrapped have historically been immaterial to our results of operations. We routinely evaluate the risk of impairment of the deferred cost of sales component of deferred income on shipments to distributors. Because of the historically immaterial amounts of inventory that have been scrapped, and historically rare instances where discounts given to a distributor result in a price less than our cost, we believe the deferred costs are recorded at their approximate carrying values.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record inventories at the lower of cost, determined on a first-in, first-out basis or specific identification method, or market. We routinely evaluate quantities and values of inventory on hand and inventory that may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returned from distributors in light of current market conditions and market trends, and record provisions for inventories in excess of demand and subject to obsolescence. This evaluation may take into consideration expected demand, the effect new products may have on the sale of existing products, technological obsolescence and other factors. We record inventory write-downs for the valuation of inventory when required based on the analysis of the information immediately above and inventory balances are not readjusted until sold. Unanticipated changes in technology or customer demand could result in a decrease in demand for our products, which may require additional inventory write-downs that could materially affect our results of operations.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January 2016 Notes contain certain redemption features that meet the definition of a derivative. We estimated the fair value of the derivative liability using a with-and without-model and the probability-weighted expected return method, which estimates a discounted value based upon an analysis of various future outcomes. The with-and without-model calculates the value of our convertible debt with features being evaluated for separate accounting, and an identical instrument without those features. The outcomes of each scenario in the probability-weighted expected return method are based on a market multiple approach. The derivative liability is subject to re-measurement at each balance sheet date and the change in fair value, if any, is recognized as other income (expense), net in the statements of operations. We will continue to adjust the liability for changes in fair value until the earlier of: (i) maturity of the January 2016 Notes; (ii) the completion of an IPO; (iii) the completion of a Qualified Financing; or (iv) the optional conversion into Series B preferred stock.</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recognize compensation costs related to stock options granted to employees and directors based on the estimated fair value of the awards on the date of grant, net of estimated forfeitures. We estimate the grant date fair value and the resulting stock-based compensation expense using the Black-Scholes option-pricing model. We expense the grant date fair value of stock-based awards on a straight-line basis over the period during which the employee is required to provide service in exchange for the award (generally the vesting period).</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estimate the fair value of our stock-based awards using the Black-Scholes option-pricing model, which requires the input of highly subjective assumptions. Our assumptions are as follows:</w:t>
      </w:r>
    </w:p>
    <w:p>
      <w:pPr>
        <w:spacing w:after="0" w:line="62" w:lineRule="exact"/>
        <w:rPr>
          <w:sz w:val="20"/>
          <w:szCs w:val="20"/>
          <w:color w:val="auto"/>
        </w:rPr>
      </w:pPr>
    </w:p>
    <w:p>
      <w:pPr>
        <w:ind w:left="460" w:right="720"/>
        <w:spacing w:after="0" w:line="308"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we expect the stock-based awards to be outstanding. We use the simplified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the expected term, which is calculated as the average of the time to vesting and the contractual life of the options.</w:t>
      </w:r>
    </w:p>
    <w:p>
      <w:pPr>
        <w:spacing w:after="0" w:line="38" w:lineRule="exact"/>
        <w:rPr>
          <w:sz w:val="20"/>
          <w:szCs w:val="20"/>
          <w:color w:val="auto"/>
        </w:rPr>
      </w:pPr>
    </w:p>
    <w:p>
      <w:pPr>
        <w:jc w:val="both"/>
        <w:ind w:left="460" w:right="280"/>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our common stock has never been publicly traded, we derive the expected volatility from the average historical volatilities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companies within our industry that we consider to be comparable to our business over a period approximately equal to the expected term for employees’ options and the remaining contractual life for non-employees’ options.</w:t>
      </w:r>
    </w:p>
    <w:p>
      <w:pPr>
        <w:spacing w:after="0" w:line="73"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on the U.S. Treasury yield with a maturity equal to the expected term of the option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6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assume the expected dividend to be zero as we have never paid dividends and have no current plans to pay any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recorded stock-based compensation expense of $0.8 million, $0.4 million, $0.2 million and $0.2 million for the years ended December 31, 2014 and 2015, and for the six months ended June 30, 2015 and 2016, respectively. We expect to continue to grant stock options and other equity-based awards in the future, and to the extent that we do, the stock-based compensation expense we recognize in future periods will likely increase.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Historically, for all periods prior to this offering, the fair values of the shares of common stock underlying our stock-based awards were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6"/>
          <w:szCs w:val="16"/>
          <w:i w:val="1"/>
          <w:iCs w:val="1"/>
          <w:color w:val="auto"/>
        </w:rPr>
        <w:t>Valuation of Privately-Held-Company Equity Securities Issued</w:t>
      </w:r>
      <w:r>
        <w:rPr>
          <w:rFonts w:ascii="Arial" w:cs="Arial" w:eastAsia="Arial" w:hAnsi="Arial"/>
          <w:sz w:val="16"/>
          <w:szCs w:val="16"/>
          <w:color w:val="auto"/>
        </w:rPr>
        <w:t xml:space="preserve"> </w:t>
      </w:r>
      <w:r>
        <w:rPr>
          <w:rFonts w:ascii="Arial" w:cs="Arial" w:eastAsia="Arial" w:hAnsi="Arial"/>
          <w:sz w:val="16"/>
          <w:szCs w:val="16"/>
          <w:i w:val="1"/>
          <w:iCs w:val="1"/>
          <w:color w:val="auto"/>
        </w:rPr>
        <w:t>as Compensation</w:t>
      </w:r>
      <w:r>
        <w:rPr>
          <w:rFonts w:ascii="Arial" w:cs="Arial" w:eastAsia="Arial" w:hAnsi="Arial"/>
          <w:sz w:val="16"/>
          <w:szCs w:val="16"/>
          <w:color w:val="auto"/>
        </w:rPr>
        <w:t>. Given the absence of a public trading market for our common stock, our board of directors exercised reasonable judgment and considered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objective and subjective factors to determine the best estimate of the fair value of our common stock, including: the rights, preferences and privileges of our preferred stock relative to those of our common stock; our operating results and financial condition; our levels of available capital resources; equity market conditions affecting comparable public companies; general U.S. market conditions; and the lack of marketability of our common stock.</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valuations after the completion of this offering, our board of directors intends to determine the fair value of each share of underlying common stock based on the closing price of our common stock as reported on the date of grant.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intrinsic value of all outstanding options as of June 30, 2016, was $3.1 million based on an assumed initial public offering price of $8.00 per share.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May 2014, the Financial Accounting Standards Board (FASB) issued ASU No. 2014-09, Revenue from Contracts with Customers. Areas of revenue recognition that will be affected include, but are not limited to, transfer of control, variable consideration, allocation of transfer pricing, licenses, time value of money, contract costs and disclosures. In August 2015, the FASB issued ASU No. 2015-14, Revenue from Contracts with Customers: Deferral of Effective Date, which defers the effective date of ASU 2014-09 by one year and allows early adoption as of the original effective date of fiscal years and interim reporting periods beginning after December 15, 2016, at which time companies may adopt the new standard update under the full retrospective method or the modified retrospective method. The deferral results in the new revenue standard will become effective for us for fiscal years and interim reporting periods beginning after December 15, 2017. We are currently evaluating the impact that the adoption of ASU 2014-09 will have on our financial statements and related disclosures.</w:t>
      </w:r>
    </w:p>
    <w:p>
      <w:pPr>
        <w:spacing w:after="0" w:line="19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August 2014, the FASB issued ASU No. 2014-15, Presentation of Financial Statements—Going Concern, Disclosure of Uncertainties about an Entity’s Ability to Continue as a Going Concern. The new standard provides guidance around management’s responsibility to evaluate whether there is substantial doubt about an entity’s ability to continue as a going concern and to provide related financial statement note disclosures. The new standard is effective for annual periods ending after December 15, 2016, and interim periods within annual periods beginning after December 15, 2016. Early adoption is permitted. We do not expect the adoption of this standard to have a material impact on our financial statements and related disclosures.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April 2015, the FASB issued ASU No. 2015-03, Interest-Imputation of Interest, Simplifying the Presentation of Debt Issuance Costs, which requires that the debt issuance costs related to a recognized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liability be presented in the balance sheet as a direct deduction from the carrying amount of that debt liability, consistent with debt discounts. This ASU is effective retrospectively for fiscal years and interim periods within those years beginning after December 15, 2015. Early adoption is permitted, and we have elected to early adopt this ASU retrospectively, effective January 1, 2014.</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July 2015, the FASB issued ASU No. 2015-11,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We do not expect the adoption of this ASU to have a material impact on our financial statements and related disclosures.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February 2016, the FASB issued ASU 2016-02, Leases, which establishes a comprehensive new lease accounting model. The new standard:</w:t>
      </w:r>
    </w:p>
    <w:p>
      <w:pPr>
        <w:spacing w:after="0" w:line="35" w:lineRule="exact"/>
        <w:rPr>
          <w:sz w:val="20"/>
          <w:szCs w:val="20"/>
          <w:color w:val="auto"/>
        </w:rPr>
      </w:pPr>
    </w:p>
    <w:p>
      <w:pPr>
        <w:ind w:right="40" w:firstLine="8"/>
        <w:spacing w:after="0" w:line="254"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clarifies the definition of a lease; (b) requires a dual approach to lease classification similar to current lease classifications; and, (c) causes lessees to recognize leases on the balance sheet as a lease liability with a corresponding right-of-use asset for leases with a lease term of more than twelve months. This ASU is effective for fiscal years and interim periods within those years beginning after December 15, 2018. We are currently evaluating the impact that the adoption of ASU 2016-02 will have on our financial statements and related disclosures.</w:t>
      </w:r>
    </w:p>
    <w:p>
      <w:pPr>
        <w:spacing w:after="0" w:line="190"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 fiscal years and interim periods within those years beginning after December 15, 2016, and early adoption is permitted. We are currently evaluating the impact that the adoption of ASU 2016-09 will have on our financial statements and related disclosures.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which is intended to provide financial statement users with more useful information about expected credit losses on financial assets held by a reporting entity at each reporting date. The new standard replaces the existing incurred loss impairment methodology with a methodology that requires consideration of a broader range of reasonable and supportable forward-looking information to estimate all expected credit losses. The amended guidance is effective for fiscal years and interim periods within those years beginning after December 15, 2019, and early adoption is permitted. We are currently evaluating the impact that the adoption of ASU 2016-13 will have on our financial statements and related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exposed to market risks in the ordinary course of our business, including the effects of interest rate changes and foreign currency fluctuations.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quantitative and qualitative disclosures about these markets risks is described below.</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are primarily exposed to interest rate risk from variable rate borrowings under our 2015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December 31, 2015, and June 30, 2016.</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hedged exposures denominated in foreign currencies or used any other derivative financial instruments. Although we transact the substantial majority of our business in U.S. dollars, future fluctuations in the value of the U.S. dollar may affect the competitiveness of our products and thus may impact our results of operations and cash flows.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the leading provider of MRAM solutions. Our MRAM solutions offer the persistence of non-volatile memory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magnetoresistive random access memory (MRAM) technology, unlike traditional semiconductor memory technologies, stores data as a magnetic state rather than an electrical charge, and is offered as either a discrete or embedded solution. Our products read and write data at speeds on par with most dynamic RAM (DRAM) and static RAM (SRAM). Our products offer the non-volatility of flash memory, but with significantly superior endurance. We offer our MRAM solutions with different densities and interfaces to address the various needs of our customers. Our lower-density MRAM products, which we define as having bit densities from 128kb to 16Mb, offer write-speeds on par with SRAM, with virtually unlimited endurance. Our higher-density products, which we define as having bit densities at or greater than 64Mb, offer write-speeds on par with DRAM and have superior endurance compared to most other non-volatile memory technologies.</w:t>
      </w:r>
    </w:p>
    <w:p>
      <w:pPr>
        <w:spacing w:after="0" w:line="18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lower-density products are optimized for use in industrial and automotive and transportation applications, while our higher-density products are optimized for use in enterprise storage applications. In the enterprise storage market, we collaborate with industry-leading memory controller companies to enable compatibility of their controllers with our MRAM products, facilitating the adoption of our solutions into our customers’ existing end products. We have over 600 customers worldwide, including Honeywell, ifm, Nikkiso and Siemens in the industrial market, Airbus and Hyundai Mobis in the automotive and transportation market, and Broadcom, Dell, IBM and Lenovo in the enterprise storage market. We sell our products directly and through our established distribution channel to industry-leading OEMs and original design manufacturers (ODMs).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leverage both internal and outsourced manufacturing capabilities to produce our MRAM products. We purchase industry-standard complementary metal-oxide semiconductor (CMOS) wafers from semiconductor foundries and complete the processing of our products by inserting our magnetic-bit technology at our 200mm fabrication facility in Chandler, Arizona. We have entered into a manufacturing agreement with GLOBALFOUNDRIES for 300mm high-volume production of our higher-density products. We believe our strategic relationship with GLOBALFOUNDRIES accelerates the development of our MRAM solutions, provides us with leading-edge outsourced manufacturing capabilities, and enables us to operate a variable cost financial model. In addition, GLOBALFOUNDRIES has the ability to embed our technology in its products for sale to its customers, from which we would earn licensing or royalty revenue.</w:t>
      </w:r>
    </w:p>
    <w:p>
      <w:pPr>
        <w:spacing w:after="0" w:line="18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For the years ended December 31, 2014 and 2015, we recorded revenue of $24.9 million and $26.5 million, gross margin of 52.6% and 52.7%, and a net loss of $10.2 million and $18.2 million, respectively. For the six months ended June 30, 2015 and 2016, we recorded revenue of $12.7 million and $12.9 million, gross margin of 58.7% and 55.7%, and a net loss of $7.4 million and $10.0 million, respectively. As of June 30, 2016, we had 86 employees, approximately half of whom are engaged in research and development. Our headquarters are located in Chandler, Arizona. We also operate a design center in Austin, Texas and additional sales operations in the Americas, Europe and Asia-Pacific regions.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advent of cloud computing and growth in the number of connected devices is increasing the need for the transmission and storage of a vast amount of data. Connected devices combine hardware and software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elements that produce, receive and analyze data, and communicate to one another through direct network connections or through a cloud computing platform. The requirement for access to data in the private and public cloud is increasing the total amount of data traffic received and subsequently stored. According to IDC, big data capacity is expected to grow to 73.4 billion gigabytes in 2019 from 26.2 billion gigabytes in 2015, representing a compound annual growth rate, or CAGR, of 29%.</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Increased connectivity and computing requirements have created greater demand for memory solutions that have the speed to capture data quickly and the endurance to store it reliably. As more systems become connected, new memory technology will be vital to improve power efficiency and performance, while at the same time ensuring reliability in the event of power interruption or failure. Improvements in system performance for the industrial, automotive and transportation, and enterprise storage end markets may require continued advancements in memory and storage technologies.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Enterprise Storage</w:t>
      </w:r>
      <w:r>
        <w:rPr>
          <w:rFonts w:ascii="Arial" w:cs="Arial" w:eastAsia="Arial" w:hAnsi="Arial"/>
          <w:sz w:val="17"/>
          <w:szCs w:val="17"/>
          <w:color w:val="auto"/>
        </w:rPr>
        <w:t>. Enterprise and cloud storage providers seek to offer solutions that provide end-users with faster, more secure and more reliable</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data. The adoption of Solid-State Drives (SSD), which is a NAND flash-based storage system, in the enterprise storage market has resulted in faster access to data in cloud computing environments and data centers. However, to meet end-user demand for even faster access to data, DRAM is used as a buffer to transmit data to and from the SSD system. Data that is passing through DRAM is referred to as data-in-flight. In order to protect data-in-flight from power interruption or failure, enterprise storage architects have traditionally installed batteries or large capacitors in their systems. However, batteries and capacitors are not always reliable, consume a large amount of space within a system that could otherwise be used for additional memory capacity, and make it increasingly difficult to design smaller form factor and higher performing systems.</w:t>
      </w:r>
    </w:p>
    <w:p>
      <w:pPr>
        <w:spacing w:after="0" w:line="17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RAID controllers and RAID host bus adapters enable greater reliability and higher performance in enterprise storage systems. RAID controllers use DRAM as a data buffer, data cache and storage of critical system data. Protecting this data in the event of power interruption or failure is important to the performance of RAID storage systems. In order to protect data-in-flight, RAID systems use a complex scheme to write the unprotected data in DRAM to a NAND flash memory module in the event of power interruption or failure. To provide the time and energy needed to complete the writing of data, bulky batteries or super capacitors must be designed into the RAID system.</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Industrial, Automotive and Transportation</w:t>
      </w:r>
      <w:r>
        <w:rPr>
          <w:rFonts w:ascii="Arial" w:cs="Arial" w:eastAsia="Arial" w:hAnsi="Arial"/>
          <w:sz w:val="18"/>
          <w:szCs w:val="18"/>
          <w:color w:val="auto"/>
        </w:rPr>
        <w:t>. Industrial, automotive and transportation applications require critical system data to be captured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at high speeds, preserved for long periods of time in harsh environments, protected in the event of power interruption or failure, and restored at the point when power was lost. Increasing automation and connectivity of applications in industrial, automotive and transportation markets is driving the need for reliable, persistent memory. The predominant memory solutions used in these applications are SRAM and flash memory. While SRAM is able to capture data very quickly, it is unable to retain data in the event of power interruption or failure, and therefore requires the use of external batteries, which increases system and maintenance cost, and decreases overall system reliability. The slow write-speed and low write-cycle endurance of flash memory limit its use in these intensive data-logging applications.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and Emerging Memory Solutions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memory market consists primarily of two memory types, volatile memory, which requires power to maintain stored information, and non-volatile memory, which maintains stored information even in the absence of power. DRAM accounts for a majority of the volatile memory market, while other volatile memories such as SRAM accounts for a smaller portion of the overall volatile memory market. NAND flash accounts for the majority of the non-volatile memory, while other non-volatile memories such as NOR flash, make up a smaller portion of the overall non-volatile memory market. Emerging memory technologies, such as Resistive RAM (ReRAM), Conductive Bridge RAM (CB RAM), and 3D XPoint may offer certain advantages to existing NAND flash memory and DRAM, but these technologies have yet to be produced in volume, and we believe volume production may prove to be difficult. In addition, we believe these emerging memory technologies are not well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suited for write caching and buffering in enterprise storage applications given their slower write-speeds and significantly lower write-cycle endurance, which require wear leveling, resulting in unpredictable latency.</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None of today’s traditional memory technologies offer a complete solution for the expanding need for nonvolatile memory with fast write-speeds and high write-cycle endurance. Existing and emerging volatile memory solutions offer fast write-speeds but require external power sources, such as batteries and capacitors, to protect against data loss in the event of power interruption or failure. Existing non-volatile memory solutions offer the ability to maintain data in the absence of power, but lack the write-speed or write-cycle endurance required by system processors. Moreover, existing volatile and non-volatile memory solutions are reaching practical limits on their ability to continue to scale down in size and cost. As feature sizes scale down, DRAM cells will continue to become increasingly complex with diminishing scalability. NAND flash provides low cost storage technology, but the advances in density, such as multi-level cell data storage, have degraded write cycle endurance.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 for Fast, Persistent Memory—MRAM</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Traditional memory technologies have either fast write-speeds or are non-volatile, but not both. MRAM combines both features into a single solution, making it an ideal memory to protect data in the event of power interruption or failure, and to store data that is frequently written and accessed. We believe customers that employ MRAM in their systems are better able to design higher performance, lower power, more reliable and simpler systems than they would be able to design using existing memory technologies. The following attributes make MRAM an increasingly important application specific memory solution for system architectures that require non-volatile memory with the speed and endurance of RAM:</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Non-Volatile</w:t>
      </w:r>
    </w:p>
    <w:p>
      <w:pPr>
        <w:spacing w:after="0" w:line="117"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MRAM can retain data in the event of power interruption or failure, which enables end-system designers to create products without costly power-loss protection systems, such as batteries and capacitors.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Fast-Write Speeds</w:t>
      </w:r>
    </w:p>
    <w:p>
      <w:pPr>
        <w:spacing w:after="0" w:line="117" w:lineRule="exact"/>
        <w:rPr>
          <w:sz w:val="20"/>
          <w:szCs w:val="20"/>
          <w:color w:val="auto"/>
        </w:rPr>
      </w:pPr>
    </w:p>
    <w:p>
      <w:pPr>
        <w:ind w:left="460" w:right="420"/>
        <w:spacing w:after="0" w:line="342" w:lineRule="auto"/>
        <w:rPr>
          <w:sz w:val="20"/>
          <w:szCs w:val="20"/>
          <w:color w:val="auto"/>
        </w:rPr>
      </w:pPr>
      <w:r>
        <w:rPr>
          <w:rFonts w:ascii="Arial" w:cs="Arial" w:eastAsia="Arial" w:hAnsi="Arial"/>
          <w:sz w:val="16"/>
          <w:szCs w:val="16"/>
          <w:color w:val="auto"/>
        </w:rPr>
        <w:t>MRAM offers write-speeds that are on par with the fastest available volatile memory technologies, including most DRAM and SRAM and is significantly faster than other non-volatile memories used today. For example, MRAM writes a block over 100,000 times faster than NAND flash.</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Write Cycle Endurance</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MRAM offers superior write-cycle endurance to existing non-volatile solutions, enabling end-systems designers to offer products that are not limited by memory wear-out. For example, MRAM write-cycle endurance is nearly 10 million times greater than NAND flash.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to Greater Densities and Smaller Process Geometries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MRAM’s write-speed and endurance are scalable with increasing bit densities and smaller geometries, which we believe will allow system designers to employ MRAM in applications that require more memory and smaller form factors.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Proven to be Manufacturable at High Volumes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MRAM can be manufactured in high volumes and in advanced nodes, and is compatible with standard CMOS.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Low Energy Requirement</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MRAM utilizes energy efficiently over the duration of its write and read cycles. It has the ability to be completely powered down, consuming no energy while still retaining data, which can be accessed quickly once power is restored.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These attributes enable MRAM to be used as a true Storage Class Memory, by which we mean a form of memory that has non-volatility that is similar to storage but with performance that is similar to memory. MRAM has already proven its commercial viability as a discrete and embedded solution in application specific memory markets and we believe it will become a mainstream memory technology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Discrete MRAM Market Opportunity</w:t>
      </w:r>
    </w:p>
    <w:p>
      <w:pPr>
        <w:spacing w:after="0" w:line="12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estimate the market opportunity for application specific MRAM products to be approximately $1.8 billion by 2018, growing approximately at a 19% compound annual growth rate (CAGR) from approximately $1 billion in 2015. We expect the introduction of increasingly higher density MRAM solutions will result in greater adoption of MRAM technology into a wider range of applications and end markets.</w:t>
      </w:r>
    </w:p>
    <w:p>
      <w:pPr>
        <w:spacing w:after="0" w:line="16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expect our first generation MRAM solutions, which have lower bit densities ranging from 128kb to 16Mb, to continue to serve customers in the industrial, automotive and transportation end markets, where products tend to have long product life cycles. As MRAM bit densities increase, we believe MRAM solutions will be well-suited to address a wider range of large and growing markets, such as server and storage, increasing the overall market opportunity for MRAM. We believe our second and third generation MRAM solutions, which are designed to have bit densities at or greater than 64Mb, will drive the rapid adoption of our products into enterprise storage applications. We believe the introduction of MRAM solutions with bit densities greater than 1Gb will extend the opportunity for MRAM into additional adjacent markets such as server and mobile computing.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MRAM Roadmap Expands the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9665" cy="3198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3966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MRAM Technology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to use as a discrete product, MRAM can serve as embedded memory in a variety of CMOS technologies. Memory accounts for a significant portion of the area of System-on-a-Chips (SoC), application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specific integrated circuits (ASIC), application specific standard products, microcontrollers, baseband processors, storage controllers, application processors and field-programmable gate arrays. Memory that is integrated in these products is called embedded memory and offers similar performance to its discrete counterparts.</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Today’s embedded memory solutions include embedded SRAM (eSRAM), embedded Flash (eFlash), and embedded DRAM (eDRAM). We believe these technologies have difficulties scaling to advanced CMOS processing nodes. Embedded MRAM’s (eMRAM) compatibility with CMOS processes, combined with its lower leakage, byte addressability and high write-cycle endurance make it well-suited as a replacement for eSRAM, eFlash and eDRAM. We believe the use of eMRAM will be more cost effective for foundries by maintaining compatibility with standard CMOS, thus improving manufacturing efficiency.</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eSRAM, which uses six transistors (6-T) to construct a memory bit, requires more silicon area and additional power due to leakage current from its multiple-transistor architecture. Embedded MRAM, which uses a single transistor architecture, results in less leakage current and requires a smaller area on an integrated circuit to achieve equivalent or better performance than eSRAM.</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eFlash requires relatively high voltage and area overhead to program the memory bits, which is contrary to the trend of scaling down the CMOS process for lower power and less chip area. eFlash also has a limited number of write cycles, which can render it ineffective as working memory on the chip. Compared to eFlash, eMRAM requires lower voltage to program bits, which results in greater power efficiency and it has higher write-cycle endurance. eMRAM is byte-addressable and has symmetric read and write timing, which makes it suitable as working memory. eFlash must be erased and programmed in pages, which is less efficient for intensive writing applications.</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eDRAM is a volatile memory that does not retain data when power is off. eDRAM manufacturing requires additional process steps and costs to build a capacitor to store the data. This manufacturing process could diminish the functionality of the memory or logic components in the integrated circuit. eMRAM, however, can be added towards the end of the manufacturing process, which does not impact the overall performance of the integrated circuit.</w:t>
      </w:r>
    </w:p>
    <w:p>
      <w:pPr>
        <w:spacing w:after="0" w:line="1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versatility of eMRAM can simplify the design and architecture of the overall integrated circuit by providing the ability to have one memory type serve as both working memory and code storage memory.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the only commercial provider of MRAM solutions. We have a strong track record of innovation in MRAM technology, as demonstrated by our successive introduction of MRAM products that address an increasingly broad spectrum of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13985" cy="2006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Generation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first generation products, which we have been shipping since 2008, are primarily designed to address applications in the industrial, automotive and transportation markets. Our customers in these markets require memory technology that is non-volatile, writes continuously at high speeds to limit data loss, operates in harsh environments, and maintains endurance over long product lifecycles. To address these requirements, we designed our first generation of MRAM products to offer the persistence of non-volatile memory, speeds comparable to SRAM, reliability across a wide temperature range, and virtually unlimited write-cycles. We have designed our first generation products to be compatible with industry standard interfaces, including standard SRAM, SPI (Serial Peripheral Interface) and QSPI (Quad SPI) interfaces, enabling our customers to replace incumbent memory solutions with our first generation MRAM solutions. We believe this has been important for the initial success and early adoption of our first generation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Generation</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Our second generation products, which began shipping in 2014, are principally designed to address the requirements of the enterprise storage market, which includes high performance SSDs, RAID systems and servers. Our customers require low latency, protection of data against power interruption and failure, high density and reliability. Our second generation products offer performance comparable to DRAM, and are up to five orders of magnitude faster than flash block writes, non-volatile to protect against power loss, four times the density of our largest first generation product, and offer endurance superior to flash. We have designed our second generation products to be compatible with industry standard DDR3 interfaces, enabling our customers to realize the benefits of higher performance and power efficiency as compared to traditional memory products requiring batteries or super capacitors.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Generation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third generation products, which are currently in development, are initially targeted for enterprise-class storage and server applications. We use our Perpendicular Magnetic Tunnel Junction (PMTJ) technology to deliver further bit density and power efficiency increases to create a true Storage Class Memory solution. Our third generation products are designed to be compatible with standard DDR3, DDR4, SPI, and QSPI interfaces, which we believe will facilitate market adoption of our products in the enterprise storage and server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MRAM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offer embedded MRAM (eMRAM) to our customers for integration in their SoC solutions. We also enable GLOBALFOUNDRIES to offer eMRAM in the solutions they manufacture for their customers. Our embedded memory solutions offer high performance, low cost and low power and can be manufactured using standard CMOS. eMRAM offers significant advantages over existing embedded memory solutions, particularly in endurance, bandwidth, energy and area requirements, leakage and persistence. We believe our eMRAM solutions offer the performance benefits and process compatibility to become the embedded memory of choice for our current and future foundry partners.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Sensors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have developed and are currently shipping a high performance, high-reliability magnetic sensor, which is based on our MTJ technology. Our magnetic sensor offers three-axis orientation in a single die, and is integrated into consumer electronics applications as an electronic compass. We believe our magnetic sensor technology can be used for additional power management applications in the industrial, and automotive and transportation, end markets. We currently license our magnetic sensor technology to third parties for their commercial use and plan to continue this strategy.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w:t>
      </w:r>
    </w:p>
    <w:p>
      <w:pPr>
        <w:spacing w:after="0" w:line="117"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Aerospace and satellite electronic systems require memory that is able to withstand exposure to the levels of radiation encountered in avionics and space applications. MRAM is not susceptible to radiation induced errors because data is stored as a magnetic state rather than as an electrical charge. Aerospace and satellite equipment manufacturers license our technology for use in their electronic systems. Through license agreements, we provide manufacturing service and technology access to certain of our customers, and we sell products to value added subcontractors.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apply our strengths to enhance our position as the leading supplier of MRAM products. We consider our key strengths to include the following:</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Technology Leadership in MRAM. </w:t>
      </w:r>
      <w:r>
        <w:rPr>
          <w:rFonts w:ascii="Arial" w:cs="Arial" w:eastAsia="Arial" w:hAnsi="Arial"/>
          <w:sz w:val="18"/>
          <w:szCs w:val="18"/>
          <w:color w:val="auto"/>
        </w:rPr>
        <w:t>We are recognized as the industry leader in MRAM technology. We have invested significant capital resources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which has enabled us to become the only commercial supplier of MRAM. We have successfully developed and launched successive generations of solutions, each of which is based on the continued advancement of our MTJ technology. We have a substantial intellectual property portfolio that consists of more than 300 patents and more than 150 patent applications.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i w:val="1"/>
          <w:iCs w:val="1"/>
          <w:color w:val="auto"/>
        </w:rPr>
        <w:t xml:space="preserve">Strong Customer Base. </w:t>
      </w:r>
      <w:r>
        <w:rPr>
          <w:rFonts w:ascii="Arial" w:cs="Arial" w:eastAsia="Arial" w:hAnsi="Arial"/>
          <w:sz w:val="17"/>
          <w:szCs w:val="17"/>
          <w:color w:val="auto"/>
        </w:rPr>
        <w:t>We have sold our products to over 600 customers worldwide, which include industry leaders such as Honeywell, ifm, Nikkiso</w:t>
      </w:r>
      <w:r>
        <w:rPr>
          <w:rFonts w:ascii="Arial" w:cs="Arial" w:eastAsia="Arial" w:hAnsi="Arial"/>
          <w:sz w:val="17"/>
          <w:szCs w:val="17"/>
          <w:i w:val="1"/>
          <w:iCs w:val="1"/>
          <w:color w:val="auto"/>
        </w:rPr>
        <w:t xml:space="preserve"> </w:t>
      </w:r>
      <w:r>
        <w:rPr>
          <w:rFonts w:ascii="Arial" w:cs="Arial" w:eastAsia="Arial" w:hAnsi="Arial"/>
          <w:sz w:val="17"/>
          <w:szCs w:val="17"/>
          <w:color w:val="auto"/>
        </w:rPr>
        <w:t>and Siemens in the industrial market, Airbus and Hyundai Mobis in the automotive and transportation market, and Broadcom, Dell, IBM and Lenovo in the enterprise storage market. We collaborate closely with our customers on product development, which helps us to optimize the performance, capability and features of our MRAM products. We believe our multi-year relationships with our industry-leading customers and their familiarity with our proven MRAM technologies enable us to drive more rapid adoption of our solutions into their current and future products.</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Flexible Manufacturing and Integrated Value Chain. </w:t>
      </w:r>
      <w:r>
        <w:rPr>
          <w:rFonts w:ascii="Arial" w:cs="Arial" w:eastAsia="Arial" w:hAnsi="Arial"/>
          <w:sz w:val="16"/>
          <w:szCs w:val="16"/>
          <w:color w:val="auto"/>
        </w:rPr>
        <w:t>We leverage both internal and outsourced capabilities to manufacture our MRAM products. We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industry-standard CMOS wafers from semiconductor foundries and complete the processing by inserting our magnetic-bit technology at our 200mm fabrication facility in Chandler, Arizona. We also utilize leading foundries to support high-volume production of our MRAM products at advanced process nodes. Additionally, we have established relationships at industry-leading packaging, assembly and test providers to ensure the quality and availability of products for our customers. We believe our flexible approach to manufacturing allows us to streamline research and development, rapidly prototype new products, and bring new products to market quickly and cost-effectively with limited capital expenditure requirements.</w:t>
      </w:r>
    </w:p>
    <w:p>
      <w:pPr>
        <w:spacing w:after="0" w:line="16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Strategic Relationship with GLOBALFOUNDRIES. </w:t>
      </w:r>
      <w:r>
        <w:rPr>
          <w:rFonts w:ascii="Arial" w:cs="Arial" w:eastAsia="Arial" w:hAnsi="Arial"/>
          <w:sz w:val="17"/>
          <w:szCs w:val="17"/>
          <w:color w:val="auto"/>
        </w:rPr>
        <w:t>We have a manufacturing agreement with GLOBALFOUNDRIES related to 300mm production,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we also have a joint development agreement to support research and development of MRAM. GLOBALFOUNDRIES has committed significant investment to support high volume production of our products at advanced technology nodes. We believe this relationship allows us to leverage GLOBALFOUNDRIES’ manufacturing expertise and technology portfolio to support our continued development of MRAM technology, and enables GLOBALFOUNDRIES to offer eMRAM technology in the products it manufactures for its customers.</w:t>
      </w:r>
    </w:p>
    <w:p>
      <w:pPr>
        <w:spacing w:after="0" w:line="1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Proven Track Record. </w:t>
      </w:r>
      <w:r>
        <w:rPr>
          <w:rFonts w:ascii="Arial" w:cs="Arial" w:eastAsia="Arial" w:hAnsi="Arial"/>
          <w:sz w:val="18"/>
          <w:szCs w:val="18"/>
          <w:color w:val="auto"/>
        </w:rPr>
        <w:t>We have produced successive generations of MRAM products, and have continued to invest in research and development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We have successfully established a manufacturing ecosystem, including internal and outsourced fabrication coupled with leading packaging, assembly and test providers, to maintain high quality and availability of our products. We believe our relationship with GLOBALFOUNDRIES validates our leadership position in current and next-generation MRAM technology.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growth strategy focuses on increasing the adoption of our MRAM technology which we believe will enable a change in the architecture of storage and computing systems. We believe MRAM will continue to be adopted because it is replacing alternative solutions in a market that already exists. Our strategy comprises the following elements:</w:t>
      </w:r>
    </w:p>
    <w:p>
      <w:pPr>
        <w:spacing w:after="0" w:line="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 xml:space="preserve">Grow our Technology Leadership. </w:t>
      </w:r>
      <w:r>
        <w:rPr>
          <w:rFonts w:ascii="Arial" w:cs="Arial" w:eastAsia="Arial" w:hAnsi="Arial"/>
          <w:sz w:val="18"/>
          <w:szCs w:val="18"/>
          <w:color w:val="auto"/>
        </w:rPr>
        <w:t>Our leadership in designing, developing and manufacturing MRAM solutions provides a strong foundation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delivering new products. We plan to grow our technology leadership position by offering higher density memory solutions, including 1Gb and above, to our customers through the continued advancement of our technology.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Expand our Presence with Existing Customers. </w:t>
      </w:r>
      <w:r>
        <w:rPr>
          <w:rFonts w:ascii="Arial" w:cs="Arial" w:eastAsia="Arial" w:hAnsi="Arial"/>
          <w:sz w:val="18"/>
          <w:szCs w:val="18"/>
          <w:color w:val="auto"/>
        </w:rPr>
        <w:t>We intend to continue to collaborate with our industry-leading customers to accelerate the adoption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MRAM solutions into their systems. We believe our established and collaborative relationships with industry-leading SSD, RAID, and memory controller providers will allow us to further penetrate enterprise storage applications with our MRAM solutions. We believe that our customers’ experience with our first generation of products will help increase adoption of our current and future high density MRAM products and will allow MRAM to become a higher percentage of our customers’ memory usage.</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Expand our Customer Base. </w:t>
      </w:r>
      <w:r>
        <w:rPr>
          <w:rFonts w:ascii="Arial" w:cs="Arial" w:eastAsia="Arial" w:hAnsi="Arial"/>
          <w:sz w:val="17"/>
          <w:szCs w:val="17"/>
          <w:color w:val="auto"/>
        </w:rPr>
        <w:t>We believe there are significant opportunities to expand our customer base within the industrial, automotive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and enterprise storage markets. Our success has facilitated a growing knowledge and acceptance of MRAM technology that we intend to leverage to acquire new customers. Additionally, as we release higher density products, we expect to broaden the applications for our MRAM solutions in the enterprise storage market, and address complementary end markets such as server and mobile computing.</w:t>
      </w:r>
    </w:p>
    <w:p>
      <w:pPr>
        <w:spacing w:after="0" w:line="17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i w:val="1"/>
          <w:iCs w:val="1"/>
          <w:color w:val="auto"/>
        </w:rPr>
        <w:t xml:space="preserve">Grow our Embedded MRAM Business. </w:t>
      </w:r>
      <w:r>
        <w:rPr>
          <w:rFonts w:ascii="Arial" w:cs="Arial" w:eastAsia="Arial" w:hAnsi="Arial"/>
          <w:sz w:val="18"/>
          <w:szCs w:val="18"/>
          <w:color w:val="auto"/>
        </w:rPr>
        <w:t>We expect to leverage our expertise in embedded MRAM technology to grow our licensing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generates a royalty-based revenue stream. Currently, we collaborate with GLOBALFOUNDRIES to provide our embedded MRAM technology to its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Memory Architecture</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MRAM solutions are based on our MTJ technology, which writes data by establishing a stable magnetic state, and reads data by measuring the resistance of the MTJ. MTJ devices are multilayered structures, including thin metal and dielectric layers, which are fabricated with methods commonly used in semiconductor manufacturing. The resistance is determined by the orientation of the magnetic field in the free layer relative to the fixed layer.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Generation MRAM Technology</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Our first generation MRAM technology uses a magnetic field to program, or write, bits. A significant advantage of this “field switching” is virtually unlimited write endurance, as reversing the free-layer magnetization with a magnetic field does not have any wear-out mechanism. Field Switched MRAM products are currently in production at the 180nm and 130nm nodes.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141605</wp:posOffset>
            </wp:positionV>
            <wp:extent cx="1440815" cy="1097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4081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Field Switched MRAM bit cell. Each bit cell comprises an MTJ connected in series with a select transistor.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and Third Generation MRAM Technology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second and third generations of MRAM technologies use the spin-torque transfer property, which is the manipulation of the spin of electrons with a polarizing current, to establish the desired magnetic state of the free layer to program, or write, the bits in the memory array. Spin Torque MRAM, or ST-MRAM, provides a significant reduction in switching energy compared to Field Switched MRAM, and is highly scalable, enabling higher density memory products. Our second generation MRAM technology uses an In-Plane MTJ structure, while our third generation uses a Perpendicular MTJ. We have developed materials and Perpendicular MTJ stack designs with high perpendicular magnetic anisotropy, which provides long data retention, small cell size, greater density, high endurance and low power.</w:t>
      </w:r>
    </w:p>
    <w:p>
      <w:pPr>
        <w:spacing w:after="0" w:line="216" w:lineRule="exact"/>
        <w:rPr>
          <w:sz w:val="20"/>
          <w:szCs w:val="20"/>
          <w:color w:val="auto"/>
        </w:rPr>
      </w:pPr>
    </w:p>
    <w:p>
      <w:pPr>
        <w:ind w:left="2180"/>
        <w:spacing w:after="0"/>
        <w:tabs>
          <w:tab w:leader="none" w:pos="8040" w:val="left"/>
        </w:tabs>
        <w:rPr>
          <w:sz w:val="20"/>
          <w:szCs w:val="20"/>
          <w:color w:val="auto"/>
        </w:rPr>
      </w:pPr>
      <w:r>
        <w:rPr>
          <w:rFonts w:ascii="Arial" w:cs="Arial" w:eastAsia="Arial" w:hAnsi="Arial"/>
          <w:sz w:val="18"/>
          <w:szCs w:val="18"/>
          <w:b w:val="1"/>
          <w:bCs w:val="1"/>
          <w:color w:val="auto"/>
        </w:rPr>
        <w:t>Second Generation</w:t>
      </w:r>
      <w:r>
        <w:rPr>
          <w:sz w:val="20"/>
          <w:szCs w:val="20"/>
          <w:color w:val="auto"/>
        </w:rPr>
        <w:tab/>
      </w:r>
      <w:r>
        <w:rPr>
          <w:rFonts w:ascii="Arial" w:cs="Arial" w:eastAsia="Arial" w:hAnsi="Arial"/>
          <w:sz w:val="16"/>
          <w:szCs w:val="16"/>
          <w:b w:val="1"/>
          <w:bCs w:val="1"/>
          <w:color w:val="auto"/>
        </w:rPr>
        <w:t>Third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154940</wp:posOffset>
            </wp:positionV>
            <wp:extent cx="1414780" cy="11061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14780" cy="110617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154940</wp:posOffset>
            </wp:positionV>
            <wp:extent cx="1440815" cy="11061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4081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Schematic depiction of the In-Plane MTJ and Perpendicular MTJ bit cells.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MRAM Technology</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MRAM technology is more easily embedded than most other memory technologies, due to the way the MRAM module is integrated in standard CMOS. Since the MRAM module is inserted between metal layers in the back-end-of-line part of the fabrication process, above the transistor layers, it does not disturb the CMOS fabrication process. Integrating MRAM in standard CMOS for SoC applications does not impact the performance of the integrated circuit.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MRAM products are used by industry-leading customers in the industrial, automotive and transportation, and enterprise storage markets.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customers using our discrete products in these end markets include: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Industrial</w:t>
            </w:r>
          </w:p>
        </w:tc>
        <w:tc>
          <w:tcPr>
            <w:tcW w:w="4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Automotive and Transportation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Enterprise Storage</w:t>
            </w:r>
          </w:p>
        </w:tc>
      </w:tr>
      <w:tr>
        <w:trPr>
          <w:trHeight w:val="195"/>
        </w:trPr>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Honeywell</w:t>
            </w:r>
          </w:p>
        </w:tc>
        <w:tc>
          <w:tcPr>
            <w:tcW w:w="148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Airbus</w:t>
            </w:r>
          </w:p>
        </w:tc>
        <w:tc>
          <w:tcPr>
            <w:tcW w:w="680" w:type="dxa"/>
            <w:vAlign w:val="bottom"/>
          </w:tcPr>
          <w:p>
            <w:pPr>
              <w:spacing w:after="0"/>
              <w:rPr>
                <w:sz w:val="16"/>
                <w:szCs w:val="16"/>
                <w:color w:val="auto"/>
              </w:rPr>
            </w:pPr>
          </w:p>
        </w:tc>
        <w:tc>
          <w:tcPr>
            <w:tcW w:w="1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Broadcom</w:t>
            </w: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rPr>
              <w:t>ifm</w:t>
            </w:r>
          </w:p>
        </w:tc>
        <w:tc>
          <w:tcPr>
            <w:tcW w:w="420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Hyundai Mobis</w:t>
            </w: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Dell</w:t>
            </w: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9"/>
              </w:rPr>
              <w:t>Nikkiso</w:t>
            </w:r>
          </w:p>
        </w:tc>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IBM</w:t>
            </w:r>
          </w:p>
        </w:tc>
      </w:tr>
      <w:tr>
        <w:trPr>
          <w:trHeight w:val="230"/>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88"/>
              </w:rPr>
              <w:t>Siemens</w:t>
            </w:r>
          </w:p>
        </w:tc>
        <w:tc>
          <w:tcPr>
            <w:tcW w:w="3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Lenovo</w:t>
            </w:r>
          </w:p>
        </w:tc>
      </w:tr>
    </w:tbl>
    <w:p>
      <w:pPr>
        <w:spacing w:after="0" w:line="202"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sell our products through our direct sales force and through a network of distributors and contract manufacturers. Direct, distributor and contract manufacturer customers purchase our solutions on an individual purchase order basis, rather than pursuant to long-term agreements.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During the year ended December 31, 2015, more than 600 end customers purchased our products. Sales to NXP and Avago Technologies Ltd. (Broadcom) whether directly by us or through distributors or contract manufacturers, each accounted for 13% of our revenue during 2015, and 6% and 9% for the six months ended June 30, 2016, respectively. Sales to Dell accounted for 9% of our revenue during the six months ended June 30, 2016. No other end customers accounted for more than 10% of our revenue during 2015. None of our end customers individually accounted for more than 10% of our revenue during the first six months of 2016. NXP is a customer for our embedded and sensor solutions.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sell our products through a direct sales channel and a network of representatives and distributors. The majority of our customers, and their associated contract manufacturers, buy our products through our distributors. We maintain sales, supply chain and logistics operations and have distributors in Asia to service the production needs of contract manufacturers such as us Flextronics, Foxconn, Inventec and Sanmina. We also maintain direct selling relationships with several strategic customers. Our direct sales representatives are located in North America, the United Kingdom, Germany, Hong Kong, and Taiwan.</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12 months to complete, and a successful sales cycle culminates in a design win.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73"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rely on third-party suppliers for most phases of the manufacturing process, including initial fabrication and assembly.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manufacture our first generation and second generation MRAM discrete products, and provide foundry services for embedded MRAM, licensed MRAM products and MTJ based sensors in our 200mm manufacturing facility. Our facility is in an ISO-4 clean room and is qualified for the production of automotive grade products. We actively manage inventory, including automated process flows, process controls and recipe management, and we use standard equipment to manufacture our products.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our second generation products, GLOBALFOUNDRIES will manufacture our 256Mb in-plane MTJ discrete memory on 40nm CMOS on 300mm wafers. Our third generation of ST-MRAM, based on perpendicular MTJ, is in development in our 200mm fabrication facility and at GLOBALFOUNDRIES. Volume production of our third generation of ST-MRAM products is planned to be at more advanced process nodes at GLOBALFOUNDRIES on 300mm wafers.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Assembly and Test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designed test protocols to maximize yields at assembly and final test, reduce manufacturing costs and improve quality. Our design and product engineering teams have developed and implemented wafer-level test programs to characterize the behavior of our MRAM devices. We create predictive models and test each of our parts to assure the reliability of the products in the field. We also add unique electronic part identification numbers to provide material traceability.</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protect the MRAM devices from stray magnetic fields, we developed packaging solutions, which we have qualified at independent, industry-leading sub-contractors, including Amkor, ASE and UTAC. We have successfully qualified our MRAM devices in various packages at temperatures ranging from commercial to automotive grade. Stringent test protocols have ensured high quality product with no reported field failures in our shipped products since inception. As part of our commitment to quality, our quality management system has been certified to ISO 9001:2000 standards. Our foundry vendors and sub-contractors are also ISO 9001 certified.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ST-MRAM Joint Development Agreement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October 17, 2014, we entered into a joint development agreement with GLOBALFOUNDRIES Inc., a semiconductor foundry, for the joint development of our ST-MRAM technology. The term of the agreement is the later of four years from the effective date or until the completion, termination, or expiration of the last statement of work entered into pursuant the joint development agreement.</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joint development agreement also states that the specific terms and conditions for the production and supply of the developed MRAM technology would be pursuant to a separate manufacturing agreement entered into between the parties. See “—ST-MRAM Manufacturing Agreement” below.</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spin torque 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we and GLOBALFOUNDRIES share defined project costs equally under the joint development agreement. 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71"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On May 27, 2016, we entered into an amendment to the joint development agreement to modify the payment schedule and to clarify our payment obligations for certain past project costs. Under the amendment,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or if we fail to pay project costs by December 16, 2016, which were approximately $5.6 million as of June 30, 2016, and are estimated to be approximately $8.5 million in December 2016. See “Risk Factors” for further discussion of our agreements with GLOBALFOUNDRIES.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ST-MRAM Manufacturing Agreement</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spin torque MRAM technology developed under the joint development agreement with GLOBALFOUNDRIES. Pursuant to that joint development agreement, GLOBALFOUNDRIES possesses certain exclusive rights to manufacture such wafers for our discrete and embedded spin torque 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twelve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products, all of which offer the persistence of non-volatile memory with the speed and endurance of random access memory, enable the protection of mission critical data particularly in the event of power interruption or failure. Our solutions are designed for use in applications in the industrial, automotive and transportation, and enterprise storage markets where the combination of high write-cycle endurance and fast write-speeds are of critical importance.</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principal competitors to our first generation Field Switched MRAM products, which are tailored primarily for the industrial, automotive and transportation, and enterprise storage markets, include companies that offer non-volatile SRAM (NVSRAM), SRAM, and FRAM products, such as Cypress, Fujitsu, Integrated Silicon Solution (ISSI), Macromix, Microchip, Micron, Renesas, Samsung and Toshiba. Our second and third generation ST-MRAM products are designed primarily for the enterprise storage market, which includes high performance SSDs, RAID systems and servers. Our second and third generation ST-MRAM products are intended to replace DRAM-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based solutions, which comprised DRAM and additional back-up power supply components, such as supercapacitors and batteries that are required to make DRAM persistent. Customers typically purchase DRAM and super capacitors and batteries from separate vendors, and pair them together in order to create a DRAM-based solution capable of protecting data against power interruption or loss. Companies that offer DRAM devices include Hynix, Micron, Samsung, and several other smaller companies. In the future we may also face competition from companies developing MRAM technologies, such as Avalanche, Spin Transfer Technologies, and other larger and smaller semiconductor companies.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sensor products compete with giant magnetoresistive (GMR), anisotropic magnetoresistive (AMR) and Hall effect sensors supplied by Alps, Asahi Kasei Microdevices, Crocus, Fairchild, Invensys (now Schneider), Kionix and Micronas.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compete successfully in the market for our products is based on a number of factors, including:</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product attributes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 customer engagements from throughout the product life cycle;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pricing in the market against the competition while maintaining our gross margin profile;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compete favorably with respect to each of these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June 30, 2016, we held 341 issued patents that expire at various times between August 2016 and September 2034, and had 157 patent applications pending. Included in our issued patents and pending applications are patents/applications in the United States, China, Europe, France, Germany, Japan, the Republic of Korea, Italy, Singapore, Taiwan, and the United Kingdom.</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93"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generally control access to and use of our confidential information through employing internal and external controls, including contractual protections with employees, contractors and customers. We rely in part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At June 30, 2016, we had 86 employees in the United States and 21 full time equivalent contractors and consultants in Singapore, China, Taiwan, the United Kingdom, the United States and Germany. None of our employees are either represented by a labor union or subject to a collective bargaining agreement. We have not experienced any work stoppages, and we consider our relations with our employees to be good.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headquarters is located in Chandler, Arizona, where we lease 8,464 square feet of office space under a lease that expires in the first half of 2018. This facility accommodates our principal sales, marketing, research and development, and administrative activities. Also in Chandler, we lease 18,041 square feet of office, cleanroom, and laboratory space for our 200mm manufacturing and research and development functions, which lease expires in April 2017. We are currently in the process of renegotiating the cleanroom portion of the lease and moving office and laboratory space to alternate facilities. Our primary product design personnel are located in Austin, Texas in a leased 11,084 square foot office that expires in January 2022.</w:t>
      </w:r>
    </w:p>
    <w:p>
      <w:pPr>
        <w:spacing w:after="0" w:line="15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believe that our existing facilities are sufficient for our current needs. Upon renewal of all leases, we will evaluate our space needs as we add employees and grow our business. We further believe that suitable additional or substitute space will be available on commercially reasonable terms to meet our future needs.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currently a party to any legal proceedings. From time to time, however, we may become involved in legal proceedings and claims arising in the ordinary course of our business. The semiconductor industry is characterized by frequent claims and litigation, including claims regarding patent and other intellectual property rights, as well as improper hiring practices. Any such claims, even if not meritorious, could result in the expenditure of significant financial and managerial resources.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September 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4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4020" w:type="dxa"/>
            <w:vAlign w:val="bottom"/>
          </w:tcPr>
          <w:p>
            <w:pPr>
              <w:spacing w:after="0"/>
              <w:rPr>
                <w:sz w:val="16"/>
                <w:szCs w:val="16"/>
                <w:color w:val="auto"/>
              </w:rPr>
            </w:pPr>
          </w:p>
        </w:tc>
      </w:tr>
      <w:tr>
        <w:trPr>
          <w:trHeight w:val="182"/>
        </w:trPr>
        <w:tc>
          <w:tcPr>
            <w:tcW w:w="44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 and Key Employees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Pr>
          <w:p>
            <w:pPr>
              <w:spacing w:after="0"/>
              <w:rPr>
                <w:sz w:val="15"/>
                <w:szCs w:val="15"/>
                <w:color w:val="auto"/>
              </w:rPr>
            </w:pP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Phillip LoPresti</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Jeffrey Winzeler</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Jon Slaughter, Ph.D.</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Vice President, Technology Research and Development</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Sanjeev Aggarwal, Ph.D.</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Vice President, Manufacturing and Process Development</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Scott Sewell</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Vice President, Worldwide Sales and Marketing</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Bryan Kang</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w w:val="91"/>
              </w:rPr>
              <w:t>Vice President of MRAM Technology and Product Development</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Thomas Andre</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Vice President, Design Engineering</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Terry Hulett</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Vice President, Storage Solutions</w:t>
            </w:r>
          </w:p>
        </w:tc>
      </w:tr>
      <w:tr>
        <w:trPr>
          <w:trHeight w:val="230"/>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Angelo Ugge</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Vice President, Operations and Business Development</w:t>
            </w: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Robert W. England</w:t>
            </w:r>
            <w:r>
              <w:rPr>
                <w:rFonts w:ascii="Arial" w:cs="Arial" w:eastAsia="Arial" w:hAnsi="Arial"/>
                <w:sz w:val="15"/>
                <w:szCs w:val="15"/>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82</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Ron Foster</w:t>
            </w:r>
            <w:r>
              <w:rPr>
                <w:rFonts w:ascii="Arial" w:cs="Arial" w:eastAsia="Arial" w:hAnsi="Arial"/>
                <w:sz w:val="15"/>
                <w:szCs w:val="15"/>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Peter Hébert</w:t>
            </w:r>
            <w:r>
              <w:rPr>
                <w:rFonts w:ascii="Arial" w:cs="Arial" w:eastAsia="Arial" w:hAnsi="Arial"/>
                <w:sz w:val="15"/>
                <w:szCs w:val="15"/>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Stephen J. Socolof</w:t>
            </w:r>
            <w:r>
              <w:rPr>
                <w:rFonts w:ascii="Arial" w:cs="Arial" w:eastAsia="Arial" w:hAnsi="Arial"/>
                <w:sz w:val="15"/>
                <w:szCs w:val="15"/>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Geoffrey R. Tate</w:t>
            </w:r>
            <w:r>
              <w:rPr>
                <w:rFonts w:ascii="Arial" w:cs="Arial" w:eastAsia="Arial" w:hAnsi="Arial"/>
                <w:sz w:val="15"/>
                <w:szCs w:val="15"/>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Phillip LoPresti </w:t>
      </w:r>
      <w:r>
        <w:rPr>
          <w:rFonts w:ascii="Arial" w:cs="Arial" w:eastAsia="Arial" w:hAnsi="Arial"/>
          <w:sz w:val="17"/>
          <w:szCs w:val="17"/>
          <w:color w:val="auto"/>
        </w:rPr>
        <w:t>has served as our President and Chief Executive Officer and as a member of our board of directors since June 2010. From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2008 to May 2010, Mr. LoPresti served as Director of High Speed Data Converters for Intersil Corporation. From June 2006 to October 2008. Mr. LoPresti was President and Chief Executive Officer of Kenet, Inc. Prior to joining Kenet, Mr. LoPresti spent 22 years in various roles, ultimately as Vice President and general manager of NEC Electronics America. Mr. LoPresti received both his bachelor’s and master’s of science degrees in electrical engineering from Boston University. We believe Mr. LoPresti’s experience in the industry, his role as our President and Chief Executive Officer and his knowledge of our company enables him to make valuable contributions to our board of directors.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Jeffrey Winzeler </w:t>
      </w:r>
      <w:r>
        <w:rPr>
          <w:rFonts w:ascii="Arial" w:cs="Arial" w:eastAsia="Arial" w:hAnsi="Arial"/>
          <w:sz w:val="16"/>
          <w:szCs w:val="16"/>
          <w:color w:val="auto"/>
        </w:rPr>
        <w:t>has served as our Chief Financial Officer since April 2015. From March 2014 to January 2015, Mr. Winzeler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at Avnera Corporation, a privately held semiconductor company specializing in analog and digital SoCs, where he was responsible for all aspects of the finance function. From January 2012 to January 2014, Mr. Winzeler served as Chief Financial Officer at Rackwise Inc. a provider of data center management software, where he was responsible for all aspects of the finance function. From December 2006 to November 2011, Mr. Winzeler worked at Solar Power Incorporated. He was a Vice President of Franchise Development for Solar Power and developed the first residential solar franchise offering in the United States. He subsequently became the Chief Financial Officer for Solar Power. From January 2005 to December 2006, Mr. Winzeler served as Chief Financial Officer for International Display Works Inc. Prior to International Display Works, Mr. Winzeler worked at Intel Corporation from March 1988 to August 2004. At Intel, he held numerous positions including Flash Division Controller, Worldwide Assembly Test Manufacturing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Controller, Israel Finance controller, Fab 9 and Fab 11 Controller, and Finance Analyst. Mr. Winzeler received his degree in finance from the University of Idaho.</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Jon Slaughter, Ph.D. </w:t>
      </w:r>
      <w:r>
        <w:rPr>
          <w:rFonts w:ascii="Arial" w:cs="Arial" w:eastAsia="Arial" w:hAnsi="Arial"/>
          <w:sz w:val="18"/>
          <w:szCs w:val="18"/>
          <w:color w:val="auto"/>
        </w:rPr>
        <w:t>has served as our Vice President, Technology Research and Development since the spin-off of the company from Freescale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Inc. in June 2008. Dr. Slaughter directs research and development efforts for our ST-MRAM. From March 2007 to June 2008, Dr. Slaughter was manager of MRAM Process and Magnetic Materials for Freescale Semiconductor, Inc., where his team was responsible for fabrication of the first commercial MRAM products as well as development of next generation MRAM materials. From 1996 to 2007, Dr. Slaughter and his team developed the magnetic materials and devices used to bring the first MRAM to volume production in 2006, starting in Motorola, Inc. and continuing with Freescale when Freescale separated from Motorola. Before joining Motorola, Dr. Slaughter was an Associate Research Professor at the University of Arizona’s Optical Sciences Center. Dr. Slaughter received his bachelor’s degree in physics and mathematics from University of Wisconsin, River Falls, and doctorate in physics from Michigan State University.</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Sanjeev Aggarwal, Ph.D. </w:t>
      </w:r>
      <w:r>
        <w:rPr>
          <w:rFonts w:ascii="Arial" w:cs="Arial" w:eastAsia="Arial" w:hAnsi="Arial"/>
          <w:sz w:val="18"/>
          <w:szCs w:val="18"/>
          <w:color w:val="auto"/>
        </w:rPr>
        <w:t>has served as our Vice President, Manufacturing and Process Development since March 2010, where he supervises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development efforts for integration of spin torque MRAM onto CMOS and manages our production for Field Switched MRAM on 200mm and ST-MRAM on 300mm wafers. From June 2008 to February 2010, Dr. Aggarwal served as our Director, Manufacturing and Process Technology. From September 2006 to May 2008, Dr. Aggarwal was senior member of the technical staff at Freescale Semiconductor, Inc. and led the integration efforts for Field Switched MRAM development. From July 2000 to August 2006, Dr. Aggarwal was member Group Technical Staff at Texas Instruments. Dr. Aggarwal received his bachelor’s degree in ceramic engineering from Indian Institute of Technology (BHV) Varanasi, and doctorate in materials science and engineering from Cornell University.</w:t>
      </w:r>
    </w:p>
    <w:p>
      <w:pPr>
        <w:spacing w:after="0" w:line="18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Scott Sewell </w:t>
      </w:r>
      <w:r>
        <w:rPr>
          <w:rFonts w:ascii="Arial" w:cs="Arial" w:eastAsia="Arial" w:hAnsi="Arial"/>
          <w:sz w:val="17"/>
          <w:szCs w:val="17"/>
          <w:color w:val="auto"/>
        </w:rPr>
        <w:t>has served as our Vice President, Worldwide Sales and Marketing since September 2010. From 1999 to 2010, Mr. Sewell was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 Associates, Inc. Mr. Sewell also has served in multi-national sales management positions at NEC Electronics Corp. and Sharp Electronics Corporation. Early in his career, Mr. Sewell was a senior design engineer for General Dynamics Corporation in the Command, Control, Communication and Intelligence group. Mr. Sewell received his bachelor’s of science degree in electronic engineering from Oklahoma State University.</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Bryan Kang </w:t>
      </w:r>
      <w:r>
        <w:rPr>
          <w:rFonts w:ascii="Arial" w:cs="Arial" w:eastAsia="Arial" w:hAnsi="Arial"/>
          <w:sz w:val="18"/>
          <w:szCs w:val="18"/>
          <w:color w:val="auto"/>
        </w:rPr>
        <w:t>has served as our Vice President, MRAM Technology and Product Development since September 2016. From April 2015 to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Mr. Kang served as Memory and Design Architect at Nantero, Inc., where he designed and developed non-volatile memory devices. From December 2007 to March 2015, Mr. Kang served as Head of the Design Center at SK Hynix America Inc., where he led in the development of various memory technologies, including the first 4Gb DDR3 using 3xnm technology. Mr. Kang has over 25 years of experience in semiconductor memory design and product planning. Mr. Kang received his bachelor’s of science degree in electrical engineering from KyungPook National University in Korea and his M.B.A from Ajou University in Korea.</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Thomas Andre </w:t>
      </w:r>
      <w:r>
        <w:rPr>
          <w:rFonts w:ascii="Arial" w:cs="Arial" w:eastAsia="Arial" w:hAnsi="Arial"/>
          <w:sz w:val="16"/>
          <w:szCs w:val="16"/>
          <w:color w:val="auto"/>
        </w:rPr>
        <w:t>has served as our Vice President, Design Engineering since July 2013 and as our Director of Engineering from April 2011 to July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August 2001 to April 2011, Mr. Andre was a design project leader for the MRAM development team at Motorola, Inc., Freescale Semiconductor, Inc., following its spin-off from Motorola, and then at Everspin, following our spin-off from Freescale. In addition, Mr. Andre has led several stand-alone DRAM designs at Alliance Semiconductor Corp and held design positions in the Defense Systems and Electronics Group at Texas Instruments Incorporated.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Andre has served on the Custom Integrated Circuits Conference Technical Program Committee since 2003 including Technical Program Chair in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Andre received his bachelor’s of science degree in electrical engineering from Clarkson University in New York.</w:t>
      </w:r>
    </w:p>
    <w:p>
      <w:pPr>
        <w:spacing w:after="0" w:line="21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Terry Hulett </w:t>
      </w:r>
      <w:r>
        <w:rPr>
          <w:rFonts w:ascii="Arial" w:cs="Arial" w:eastAsia="Arial" w:hAnsi="Arial"/>
          <w:sz w:val="18"/>
          <w:szCs w:val="18"/>
          <w:color w:val="auto"/>
        </w:rPr>
        <w:t>has served as our Vice President, Storage Solutions since October 2013. Mr. Hulett has a background in architecture, hardware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development and operations on products including leading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edge network controllers and leading edge CPUs. From March 2009 to September 2013, Mr. Hulett was a Strategic Planner at Intel Corporation, where he was responsible for strategies for high end networking products and server class CPUs. From 1985 to 2008, when Mr. Hullet joined Intel, Mr. Hulett held several engineering executive roles at NetEffec Inc., Banderacom Inc., Silicon Solutions, Inc. and Advanced Micro Devices, Inc. Mr. Hulett holds several patents and has published technical articles, and was a member of the original 68000 design team at Motorola, Inc. Mr. Hulett received his bachelor’s of science degree in electrical engineering from Oklahoma State University.</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Angelo Ugge </w:t>
      </w:r>
      <w:r>
        <w:rPr>
          <w:rFonts w:ascii="Arial" w:cs="Arial" w:eastAsia="Arial" w:hAnsi="Arial"/>
          <w:sz w:val="16"/>
          <w:szCs w:val="16"/>
          <w:color w:val="auto"/>
        </w:rPr>
        <w:t>has served as our Vice President, Business Development since July 2014 and has assumed the role of VP Operations and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from October 1, 2015. From August 2006 to June 2014, Mr. Ugge was President of Eviteck Consulting LLC, a marketing and business development consulting firm in Europe focused on helping to develop small and medium size technology companies, where he was responsible for managing two major development programs in cooperation with the European Community and the Italian Ministry of Industrial Development. Prior to Eviteck,</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Ugge held the Chief Executive Officer position at Bridgeco AG of Zurich, Switzerland and MemsOptical Inc. of Huntsville, Alabama, and was Vice President and General Manager of ST Microelectronics N.V. Mr. Ugge received his bachelor’s degree in electrical engineering from the Technical Industrial Institute of State, Milano, and master’s degree in physics from the University of Milano, Italy.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i w:val="1"/>
          <w:iCs w:val="1"/>
          <w:color w:val="auto"/>
        </w:rPr>
        <w:t xml:space="preserve">Robert W. England </w:t>
      </w:r>
      <w:r>
        <w:rPr>
          <w:rFonts w:ascii="Arial" w:cs="Arial" w:eastAsia="Arial" w:hAnsi="Arial"/>
          <w:sz w:val="17"/>
          <w:szCs w:val="17"/>
          <w:color w:val="auto"/>
        </w:rPr>
        <w:t>has served as a member of our Board of Directors since July 2009. Since 2006, Mr. England has served as an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operations management consultant for various companies ranging from Fortune 500 companies to venture-backed firms. From 2001 to 2006, Mr. England served as the Chief Executive Officer and President at Cumbre Pharmaceuticals, Inc. (formerly Cumbre, Inc.). Previously, Mr. England spent 27 years at Texas Instruments Incorporated, which he joined in 1973, in integrated circuit design and product engineering, manufacturing supervision, integrated circuit process development and operations management. Mr. England also served as Senior Vice President and Manager of Texas Instruments Incorporated’s worldwide semiconductor memory business and as Senior Vice President responsible for the Digital Light Processing business unit. Mr. England received his bachelor’s of science degree in electronic engineering technology from the University of Dayton, Ohio. We believe that Mr. England’s extensive leadership experience in technology companies qualifies him to serve on our board of directors.</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Lawrence G. Finch </w:t>
      </w:r>
      <w:r>
        <w:rPr>
          <w:rFonts w:ascii="Arial" w:cs="Arial" w:eastAsia="Arial" w:hAnsi="Arial"/>
          <w:sz w:val="18"/>
          <w:szCs w:val="18"/>
          <w:color w:val="auto"/>
        </w:rPr>
        <w:t>has served as a member of our Board of Directors since June 2008. Mr. Finch has served as managing director at Sigma Partners,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since joining the firm in 1987. Mr. Finch brings a wealth of operational experience in moving early-stage technology companies through high-growth stages of development. He has advised more than 20 companies throughout his career. We believe that Mr. Finch’s 40 years of experience in founding, managing, and financing businesses, strong relationships in the semiconductor space, and his knowledge of our company qualifies him to serve on our board of directors.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Ronald C. Foster </w:t>
      </w:r>
      <w:r>
        <w:rPr>
          <w:rFonts w:ascii="Arial" w:cs="Arial" w:eastAsia="Arial" w:hAnsi="Arial"/>
          <w:sz w:val="17"/>
          <w:szCs w:val="17"/>
          <w:color w:val="auto"/>
        </w:rPr>
        <w:t>has served as a member of our Board of Directors since May 2016. Since November 2014, Mr. Foster has served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Advanced Energy Industries, Inc. From April 2008 to March 2015, Mr. Foster served as Chief Financial Officer and Vice President of Finance of Micron Technology, Inc., where he served as a member of Micron’s Board of Directors from June 2004 to April 2005. Before joining Micron, Mr. Foster was the Chief Financial Officer and Senior Vice President of FormFactor, Inc., a semiconductor wafer test equipment company. Prior to joining FormFactor, Inc., Mr. Foster served as the Chief Financial Officer for JDS Uniphase, Inc. and Novell, Inc., and also served in various financial and operational roles at Applied Materials, Inc. and Hewlett-Packard Company. Mr. Foster previously served as a board member of Inotera Memories Inc., LUXIM Corporation, and Aptina Company. Mr. Foster received his bachelor’s of arts degree in economics from Whitman College and an M.B.A. from the University of Chicago. We believe that Mr. Foster’s knowledge and experience in the semiconductor industry, financial management, accounting and finance issues enable him to make valuable contributions to our board of directors.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Peter Hébert </w:t>
      </w:r>
      <w:r>
        <w:rPr>
          <w:rFonts w:ascii="Arial" w:cs="Arial" w:eastAsia="Arial" w:hAnsi="Arial"/>
          <w:sz w:val="17"/>
          <w:szCs w:val="17"/>
          <w:color w:val="auto"/>
        </w:rPr>
        <w:t>was appointed as a member of our Board of Directors in June 2008. Mr. Hébert is a managing partner at Lux Capital, a venture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firm, which he co-founded in 2000. In addition to Everspin, Mr. Hébert currently serves on the Board of Directors for Auris Surgical Robotics, Inc., Gridco Inc., Lux Research, Inc., Halo Neuro, Inc., Flex Logix Technologies, Inc. and Matterport, Inc. From 2003 to 2008, Mr. Hébert served as founding Chief Executive Officer of Lux Research, which he helped build into a leading emerging technology research firm. During his time at Lux Research, Mr. Hébert launched the publicly-listed Lux Nanotech Index and the PowerShares Lux Nanotech Portfolio. Mr. Hébert received his bachelor’s of science degree from Syracuse University, where he graduated cum laude from the S.I. Newhouse School of Public Communications. We believe that Mr. Hébert possesses specific attributes that qualify him to serve as a director, including his experience in founding, managing, and financing businesses and his knowledge of emerging technologies, which enable him to make valuable contributions to our board of directors.</w:t>
      </w:r>
    </w:p>
    <w:p>
      <w:pPr>
        <w:spacing w:after="0" w:line="17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Stephen J. Socolof </w:t>
      </w:r>
      <w:r>
        <w:rPr>
          <w:rFonts w:ascii="Arial" w:cs="Arial" w:eastAsia="Arial" w:hAnsi="Arial"/>
          <w:sz w:val="16"/>
          <w:szCs w:val="16"/>
          <w:color w:val="auto"/>
        </w:rPr>
        <w:t>has served as a member of our Board of Directors since June 2008. Mr. Socolof is Managing Partner of New Venture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capital firm that he co-founded in 2001. Previously, Mr. Socolof worked at Lucent Technologies, Inc. from 1996 to 2001 where he established Lucent’s New Ventures Group. Before joining Lucent, Mr. Socolof spent eight years with Booz, Allen &amp; Hamilton Inc., where he was a leader of the firm’s innovation consulting practice. Mr. Socolof is currently also a director of GainSpan Corporation, NVMdurance and Vasona Networks Inc. He was a director of SyChip, Inc. before its acquisition by Murata and an investor and observer of Flarion Technologies, Inc., until its acquisition by Qualcomm Inc., and Silicon Hive, until its acquisition by Intel Corporation. Mr. Socolof holds a bachelor’s of arts degree in economics and a bachelor’s of science degree in mathematical sciences from Stanford University and received his M.B.A. from the Amos Tuck School at Dartmouth College, where he was a Tuck Scholar. He currently serves on the Board of Directors of the Center for the Study of Private Equity at the Tuck School. We believe that Mr. Socolof’s financial, business, and investment expertise and his knowledge of our company enable him to make valuable contributions to our board of directors.</w:t>
      </w:r>
    </w:p>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Geoffrey R. Tate </w:t>
      </w:r>
      <w:r>
        <w:rPr>
          <w:rFonts w:ascii="Arial" w:cs="Arial" w:eastAsia="Arial" w:hAnsi="Arial"/>
          <w:sz w:val="16"/>
          <w:szCs w:val="16"/>
          <w:color w:val="auto"/>
        </w:rPr>
        <w:t>has served as a member of our Board of Directors since August 2009. From March 2010 until January 2012, Mr. Tate was the interim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a member of the Board of Directors of Nanosolar, Inc. Mr. Tate was the founding Chief Executive Officer of Rambus Inc. in May 1990 and served as CEO and a member of the Board of Directors until January 2005. Mr. Tate served as the non-employee Chairman of the Board of Directors of Rambus from January 2005 to August 2006. From Rambus’ IPO in 1997 to late 2003, Mr. Tate was also the sole member of the Stock Option Committee, which was authorized to approve and administer the issuance of options to Rambus non-executive employees. In 2006, Rambus’ audit committee commenced an internal investigation of the timing of past stock option grants and related accounting issues. While Mr. Tate did not develop relevant policies and was not responsible for accounting judgments, Mr. Tate entered into a settlement agreement with Rambus. From 1979 to 1990, Mr. Tate served in various marketing and product line management positions and ultimately as Senior Vice President, Microprocessors and Logic, with Advanced Micro Devices, Inc. Mr. Tate received his bachelor’s of science degree in computer science from University of Alberta and his M.B.A. from the Harvard Graduate School of Business Administration. We believe that Mr. Tate’s possesses specific attributes that qualify him to serve as a director, including his extensive leadership experience as both executive and board director in the global semiconductor business and his deep industry knowledge.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seven directors. The members of our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were elected in compliance with the provisions of our amended and restated certificate of incorporation and a voting agreement among certain of our stockholders. The voting agreement will terminate upon the closing of this offering and none of our stockholders will have any special rights regarding the election or designation of members of our board of directors. Our amended and restated certificate of incorporation to become effective upon the completion of this offering, or the amended and restated certificate of incorporation, will permit our board of directors to establish by resolution the authorized number of directors. Each director serves until the expiration of the term for which such director was elected or appointed, or until such director’s earlier death, resignation or removal. At each annual meeting of stockholders, directors whose terms then expire will be elected to serve from the time of election and qualification until the next annual meeting following election. Our amended and restated certificate of incorporation provides that the authorized number of directors may be changed only by resolution of the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completion of this offering, we anticipate that our common stock will be listed on The Nasdaq Global Market. Under the listing requirements and rules of The Nasdaq Global Market, independent directors must compose a majority of a listed company’s board of directors within 12 months after its initial public offering. In addition, the rules of The Nasdaq Global Market require that, subject to specified exceptions and phase in periods following its initial public offering, each member of a listed company’s audit and compensation, nominating and governance committee be independent. Audit committee members must also satisfy the independence criteria set forth in Rule 10A-3 under the Exchange Act, or Rule 10A-3. Under the rules of The Nasdaq Global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To be considered to be independent for purposes of Rule 10A-3, a member of an audit committee of a listed company may not, other than in his or her capacity as a member of our audit committee, our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all of our board of directors except Phillip LoPresti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Our board of directors also determined that Messrs. Foster, England and Hébert, who compose our audit committee, upon the completion of this offering, satisfy the independence standards for the audit committee established by applicable SEC rules and the listing standards of The Nasdaq Global Market and Rule 10A-3 of the Exchange Act. Our board of directors has determined that Messrs. Socolof, England and Finch, who compose our compensation committee, upon the completion of this offering, are “non-employee directors” as defined in Rule 16b-3 promulgated under the Exchange Act and are “outside directors” as that term is defined in Section 162(m) of the Code, or Section 162(m). Each member of the nominating and corporate governance committee is independent within the meaning of the applicable NASDAQ listing standards, is a non-employee director and is free from any relationship that would interfere with the exercise of his or her independent judgment.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audit committee consists of Ron Foster, Robert W. England and Peter Hébert. The chair of our audit committee is Mr. Foster, who our board of directors has determined is an “audit committee financial expert” as that term is defined under the SEC rules implementing Section 407 of the Sarbanes-Oxley Act, and accordingly possesses the requisite enhanced financial sophistication required under the listing standards of The Nasdaq Global Market for at least one member of the audit committee.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experience in the corporate finance sector.</w:t>
      </w:r>
    </w:p>
    <w:p>
      <w:pPr>
        <w:spacing w:after="0" w:line="17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our financial statements and critical accounting policies and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related-party transactions;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29" w:lineRule="exact"/>
        <w:rPr>
          <w:rFonts w:ascii="Arial" w:cs="Arial" w:eastAsia="Arial" w:hAnsi="Arial"/>
          <w:sz w:val="16"/>
          <w:szCs w:val="16"/>
          <w:color w:val="auto"/>
        </w:rPr>
      </w:pPr>
    </w:p>
    <w:p>
      <w:pPr>
        <w:ind w:left="900" w:right="5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approving (or, as permitted, pre-approving) all audit and all permissible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performed by the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compensation committee consists of Stephen J. Socolof, Robert W. England and Lawrence G. Finch. The chair of our compensation committee is Mr. Socolof.</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compensation to be paid to our executive officers, directors and other senior management, as appropriate. Specific responsibilities of our compensation committee include:</w:t>
      </w:r>
    </w:p>
    <w:p>
      <w:pPr>
        <w:spacing w:after="0" w:line="7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right="10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advisers;</w:t>
      </w:r>
    </w:p>
    <w:p>
      <w:pPr>
        <w:spacing w:after="0" w:line="75"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 and</w:t>
      </w:r>
    </w:p>
    <w:p>
      <w:pPr>
        <w:spacing w:after="0" w:line="86"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nominating and corporate governance committee consists of Geoffrey R. Tate, Lawrence G. Finch and Peter Hébert. The chair of our nominating and corporate governance committee is Mr. Tate. Specific responsibilities of our nominating and corporate governance committee include:</w:t>
      </w:r>
    </w:p>
    <w:p>
      <w:pPr>
        <w:spacing w:after="0" w:line="2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identifying, evaluating and selecting, or recommending that our board of directors approve, nominees for election to our board of directors;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of the committees of the board of directors;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 performance.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audit committee of the board of directors is primarily responsible for overseeing our risk management processes on behalf of the board of directors. Going forward, we expect that the audit committee will receive reports from management on at least a quarterly basis regarding our assessment of risks. In addition, the audit committee reports regularly to the board of directors, which also considers our risk profile. The audit committee and the board of directors focus on the most significant risks we face and our general risk management strategies. While the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day activities and to effectively implement risk management strategies adopted by the audit committee and the board of directors. We believe this division of responsibilities is the most effective approach for addressing the risks we face and that our board of directors leadership structure, which also emphasizes the independence of the board of directors in its oversight of its business and affairs, supports this approach.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Effective upon the closing of this offering, we have adopted a code of business conduct and ethics that applies to all of our employees, officers and directors, including those officers responsible for financial reporting. Following the closing of this offering, the code of business conduct and ethics will be available on our website at </w:t>
      </w:r>
      <w:r>
        <w:rPr>
          <w:rFonts w:ascii="Arial" w:cs="Arial" w:eastAsia="Arial" w:hAnsi="Arial"/>
          <w:sz w:val="18"/>
          <w:szCs w:val="18"/>
          <w:i w:val="1"/>
          <w:iCs w:val="1"/>
          <w:color w:val="auto"/>
        </w:rPr>
        <w:t>www.Everspin.com</w:t>
      </w:r>
      <w:r>
        <w:rPr>
          <w:rFonts w:ascii="Arial" w:cs="Arial" w:eastAsia="Arial" w:hAnsi="Arial"/>
          <w:sz w:val="18"/>
          <w:szCs w:val="18"/>
          <w:color w:val="auto"/>
        </w:rPr>
        <w:t>. We intend to disclose any amendments to the code,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None of the members of our compensation committee has ever been an officer or employee of the company. None of our executive officers serve, or have served during the last fiscal year, as a member of the board of directors, compensation committee or other board committee performing equivalent functions of any entity that has one or more executive officers serving as one of our directors or on our compensation committee.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have a policy of reimbursing our directors for their reasonable out-of-pocket expenses in connection with attending board of directors and committee meetings. From time to time, we have granted stock options to certain of our non-employee directors as compensation for their services. None of our non-employee directors were granted a stock option during the year ended December 31, 2015. Mr. England and Mr. Tate are our only non-employee directors who hold options to purchase our common stock. As of December 31, 2015, each of Mr. England and Mr. Tate held options to purchase 10,883 shares of our common stock.</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April 2016, our board of directors approved a policy for the compensation of our non-employee directors following the closing of this offering. Our non-employee directors will receive compensation in the form of equity and cash, as described below:</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Equity Compensation for Current Directors. </w:t>
      </w:r>
      <w:r>
        <w:rPr>
          <w:rFonts w:ascii="Arial" w:cs="Arial" w:eastAsia="Arial" w:hAnsi="Arial"/>
          <w:sz w:val="17"/>
          <w:szCs w:val="17"/>
          <w:color w:val="auto"/>
        </w:rPr>
        <w:t>On the date of each annual meeting of stockholders, each current non-employee director will be granted an</w:t>
      </w:r>
      <w:r>
        <w:rPr>
          <w:rFonts w:ascii="Arial" w:cs="Arial" w:eastAsia="Arial" w:hAnsi="Arial"/>
          <w:sz w:val="17"/>
          <w:szCs w:val="17"/>
          <w:i w:val="1"/>
          <w:iCs w:val="1"/>
          <w:color w:val="auto"/>
        </w:rPr>
        <w:t xml:space="preserve"> </w:t>
      </w:r>
      <w:r>
        <w:rPr>
          <w:rFonts w:ascii="Arial" w:cs="Arial" w:eastAsia="Arial" w:hAnsi="Arial"/>
          <w:sz w:val="17"/>
          <w:szCs w:val="17"/>
          <w:color w:val="auto"/>
        </w:rPr>
        <w:t>option to purchase shares of common stock, which we refer to as the Annual Grant, in an amount to be determined by our compensation committee. All of the shares underlying an Annual Grant will vest upon the earlier of (i) the next year’s annual meeting of stockholders or (ii) one year from the date of grant, subject to continued service on the vesting date. In the event of a change in control, any unvested portion of the shares underlying an Annual Grant will fully vest and become exercisable immediately prior to the effective time of such change in control.</w:t>
      </w:r>
    </w:p>
    <w:p>
      <w:pPr>
        <w:spacing w:after="0" w:line="173"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Equity Compensation for Future Directors</w:t>
      </w:r>
      <w:r>
        <w:rPr>
          <w:rFonts w:ascii="Arial" w:cs="Arial" w:eastAsia="Arial" w:hAnsi="Arial"/>
          <w:sz w:val="17"/>
          <w:szCs w:val="17"/>
          <w:color w:val="auto"/>
        </w:rPr>
        <w:t>. Following this offering, newly-elected directors will be granted an option to purchase 16,250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which we refer to as the Initial Grant. The shares underlying the Initial Grant will vest in a series of three equal annual installments on each anniversary of the date of grant, subject to continued service on each vesting date. In the event of a change in control, any unvested portion of the shares underlying an Initial Grant will fully vest and become exercisable immediately prior to the effective time of the change in control.</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Each non-employee director will receive an annual fee of $40,000 in cash for serving on our board of directors and $1,500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meeting of the board of directors attended. The chairman of the audit committee of our board of directors will be entitled to an additional annual cash fee of $15,000. All fees in cash will be payable in equal quarterly installments, payable in arrears.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following summary compensation table shows information regarding the compensation awarded to, earned by or paid to our Chief Executive Officer and our other two most highly compensated executive officers in 2015, which we refer to as our “named executive officers,” during the year ended December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0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Bonus</w:t>
            </w:r>
            <w:r>
              <w:rPr>
                <w:rFonts w:ascii="Arial" w:cs="Arial" w:eastAsia="Arial" w:hAnsi="Arial"/>
                <w:sz w:val="12"/>
                <w:szCs w:val="12"/>
                <w:b w:val="1"/>
                <w:bCs w:val="1"/>
                <w:color w:val="auto"/>
                <w:w w:val="89"/>
              </w:rPr>
              <w:t>(2)</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Options</w:t>
            </w:r>
            <w:r>
              <w:rPr>
                <w:rFonts w:ascii="Arial" w:cs="Arial" w:eastAsia="Arial" w:hAnsi="Arial"/>
                <w:sz w:val="12"/>
                <w:szCs w:val="12"/>
                <w:b w:val="1"/>
                <w:bCs w:val="1"/>
                <w:color w:val="auto"/>
                <w:w w:val="91"/>
              </w:rPr>
              <w:t>(1)</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Phillip LoPresti</w:t>
            </w:r>
          </w:p>
        </w:tc>
        <w:tc>
          <w:tcPr>
            <w:tcW w:w="5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$275,000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$ 94,885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$429,885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840" w:type="dxa"/>
            <w:vAlign w:val="bottom"/>
            <w:gridSpan w:val="3"/>
          </w:tcPr>
          <w:p>
            <w:pPr>
              <w:spacing w:after="0"/>
              <w:rPr>
                <w:sz w:val="20"/>
                <w:szCs w:val="20"/>
                <w:color w:val="auto"/>
              </w:rPr>
            </w:pPr>
            <w:r>
              <w:rPr>
                <w:rFonts w:ascii="Arial" w:cs="Arial" w:eastAsia="Arial" w:hAnsi="Arial"/>
                <w:sz w:val="18"/>
                <w:szCs w:val="18"/>
                <w:color w:val="auto"/>
              </w:rPr>
              <w:t>Terry Hulett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2015</w:t>
            </w:r>
          </w:p>
        </w:tc>
        <w:tc>
          <w:tcPr>
            <w:tcW w:w="100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$213,213</w:t>
            </w:r>
          </w:p>
        </w:tc>
        <w:tc>
          <w:tcPr>
            <w:tcW w:w="106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$51,880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$ 17,115</w:t>
            </w:r>
          </w:p>
        </w:tc>
        <w:tc>
          <w:tcPr>
            <w:tcW w:w="160" w:type="dxa"/>
            <w:vAlign w:val="bottom"/>
          </w:tcPr>
          <w:p>
            <w:pPr>
              <w:spacing w:after="0"/>
              <w:rPr>
                <w:sz w:val="24"/>
                <w:szCs w:val="24"/>
                <w:color w:val="auto"/>
              </w:rPr>
            </w:pP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$282,208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60"/>
              <w:spacing w:after="0"/>
              <w:rPr>
                <w:sz w:val="20"/>
                <w:szCs w:val="20"/>
                <w:color w:val="auto"/>
              </w:rPr>
            </w:pPr>
            <w:r>
              <w:rPr>
                <w:rFonts w:ascii="Arial" w:cs="Arial" w:eastAsia="Arial" w:hAnsi="Arial"/>
                <w:sz w:val="18"/>
                <w:szCs w:val="18"/>
                <w:i w:val="1"/>
                <w:iCs w:val="1"/>
                <w:color w:val="auto"/>
              </w:rPr>
              <w:t>Vice President, Storage Solutions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Sewell</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2015</w:t>
            </w:r>
          </w:p>
        </w:tc>
        <w:tc>
          <w:tcPr>
            <w:tcW w:w="10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3"/>
              </w:rPr>
              <w:t>$197,920</w:t>
            </w:r>
          </w:p>
        </w:tc>
        <w:tc>
          <w:tcPr>
            <w:tcW w:w="9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$62,114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$271,639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Vice President, Worldwide Sales and Marketing</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40" w:hanging="332"/>
        <w:spacing w:after="0" w:line="248"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amounts included in the Stock Options column represent the grant date fair value of stock options granted, calculated in accordance with FASB Accounting Standards Codification Topic 718. For a discussion of the assumptions made in the valuations reflected in this column, see Note 7 of the Financial Statements included elsewhere in this prospectus.</w:t>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2015 bonus was approved by the board of directors in March 2016 but has not yet been paid.</w:t>
      </w:r>
    </w:p>
    <w:p>
      <w:pPr>
        <w:spacing w:after="0" w:line="30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Outstanding Equity Awards as of December 31, 2015</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stock options outstanding for each of our named executive officers as of December 31, 2015.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Vesting</w:t>
            </w:r>
          </w:p>
        </w:tc>
        <w:tc>
          <w:tcPr>
            <w:tcW w:w="300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4"/>
                <w:szCs w:val="14"/>
                <w:color w:val="auto"/>
              </w:rPr>
            </w:pPr>
          </w:p>
        </w:tc>
        <w:tc>
          <w:tcPr>
            <w:tcW w:w="140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2"/>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4"/>
                <w:szCs w:val="14"/>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9"/>
              </w:rPr>
              <w:t>Commencement</w:t>
            </w:r>
          </w:p>
        </w:tc>
        <w:tc>
          <w:tcPr>
            <w:tcW w:w="30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Underlying Unexercised Options</w:t>
            </w: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29"/>
        </w:trPr>
        <w:tc>
          <w:tcPr>
            <w:tcW w:w="384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jc w:val="right"/>
              <w:ind w:right="920"/>
              <w:spacing w:after="0" w:line="129" w:lineRule="exact"/>
              <w:rPr>
                <w:sz w:val="20"/>
                <w:szCs w:val="20"/>
                <w:color w:val="auto"/>
              </w:rPr>
            </w:pPr>
            <w:r>
              <w:rPr>
                <w:rFonts w:ascii="Arial" w:cs="Arial" w:eastAsia="Arial" w:hAnsi="Arial"/>
                <w:sz w:val="14"/>
                <w:szCs w:val="14"/>
                <w:b w:val="1"/>
                <w:bCs w:val="1"/>
                <w:color w:val="auto"/>
              </w:rPr>
              <w:t>Date</w:t>
            </w:r>
          </w:p>
        </w:tc>
        <w:tc>
          <w:tcPr>
            <w:tcW w:w="1460" w:type="dxa"/>
            <w:vAlign w:val="bottom"/>
            <w:tcBorders>
              <w:top w:val="single" w:sz="8" w:color="auto"/>
            </w:tcBorders>
            <w:gridSpan w:val="2"/>
          </w:tcPr>
          <w:p>
            <w:pPr>
              <w:jc w:val="right"/>
              <w:ind w:right="643"/>
              <w:spacing w:after="0" w:line="129" w:lineRule="exact"/>
              <w:rPr>
                <w:sz w:val="20"/>
                <w:szCs w:val="20"/>
                <w:color w:val="auto"/>
              </w:rPr>
            </w:pPr>
            <w:r>
              <w:rPr>
                <w:rFonts w:ascii="Arial" w:cs="Arial" w:eastAsia="Arial" w:hAnsi="Arial"/>
                <w:sz w:val="14"/>
                <w:szCs w:val="14"/>
                <w:b w:val="1"/>
                <w:bCs w:val="1"/>
                <w:color w:val="auto"/>
                <w:w w:val="92"/>
              </w:rPr>
              <w:t>Exercisable</w:t>
            </w: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Unexercisable</w:t>
            </w:r>
          </w:p>
        </w:tc>
        <w:tc>
          <w:tcPr>
            <w:tcW w:w="5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Exercise Price</w:t>
            </w:r>
            <w:r>
              <w:rPr>
                <w:rFonts w:ascii="Arial" w:cs="Arial" w:eastAsia="Arial" w:hAnsi="Arial"/>
                <w:sz w:val="12"/>
                <w:szCs w:val="12"/>
                <w:b w:val="1"/>
                <w:bCs w:val="1"/>
                <w:color w:val="auto"/>
              </w:rPr>
              <w:t>(5)</w:t>
            </w:r>
          </w:p>
        </w:tc>
        <w:tc>
          <w:tcPr>
            <w:tcW w:w="9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Phillip LoPresti</w:t>
            </w:r>
          </w:p>
        </w:tc>
        <w:tc>
          <w:tcPr>
            <w:tcW w:w="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08/20/2013</w:t>
            </w: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32,083</w:t>
            </w:r>
          </w:p>
        </w:tc>
        <w:tc>
          <w:tcPr>
            <w:tcW w:w="70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87"/>
              </w:rPr>
              <w:t>(1)</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22,916</w:t>
            </w: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4.42</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05/12/2024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08/20/2013</w:t>
            </w:r>
          </w:p>
        </w:tc>
        <w:tc>
          <w:tcPr>
            <w:tcW w:w="146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58,176</w:t>
            </w:r>
            <w:r>
              <w:rPr>
                <w:rFonts w:ascii="Arial" w:cs="Arial" w:eastAsia="Arial" w:hAnsi="Arial"/>
                <w:sz w:val="15"/>
                <w:szCs w:val="15"/>
                <w:color w:val="auto"/>
              </w:rPr>
              <w:t>(1)</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41,554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05/12/2024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03/20/2012</w:t>
            </w:r>
          </w:p>
        </w:tc>
        <w:tc>
          <w:tcPr>
            <w:tcW w:w="146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21,634</w:t>
            </w:r>
            <w:r>
              <w:rPr>
                <w:rFonts w:ascii="Arial" w:cs="Arial" w:eastAsia="Arial" w:hAnsi="Arial"/>
                <w:sz w:val="15"/>
                <w:szCs w:val="15"/>
                <w:color w:val="auto"/>
              </w:rPr>
              <w:t>(2)</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03/19/2022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06/15/2010</w:t>
            </w:r>
          </w:p>
        </w:tc>
        <w:tc>
          <w:tcPr>
            <w:tcW w:w="146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92,307</w:t>
            </w:r>
            <w:r>
              <w:rPr>
                <w:rFonts w:ascii="Arial" w:cs="Arial" w:eastAsia="Arial" w:hAnsi="Arial"/>
                <w:sz w:val="15"/>
                <w:szCs w:val="15"/>
                <w:color w:val="auto"/>
              </w:rPr>
              <w:t>(3)</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06/14/2020</w:t>
            </w:r>
          </w:p>
        </w:tc>
        <w:tc>
          <w:tcPr>
            <w:tcW w:w="0" w:type="dxa"/>
            <w:vAlign w:val="bottom"/>
          </w:tcPr>
          <w:p>
            <w:pPr>
              <w:spacing w:after="0"/>
              <w:rPr>
                <w:sz w:val="1"/>
                <w:szCs w:val="1"/>
                <w:color w:val="auto"/>
              </w:rPr>
            </w:pPr>
          </w:p>
        </w:tc>
      </w:tr>
      <w:tr>
        <w:trPr>
          <w:trHeight w:val="310"/>
        </w:trPr>
        <w:tc>
          <w:tcPr>
            <w:tcW w:w="3840" w:type="dxa"/>
            <w:vAlign w:val="bottom"/>
            <w:gridSpan w:val="3"/>
          </w:tcPr>
          <w:p>
            <w:pPr>
              <w:spacing w:after="0"/>
              <w:rPr>
                <w:sz w:val="20"/>
                <w:szCs w:val="20"/>
                <w:color w:val="auto"/>
              </w:rPr>
            </w:pPr>
            <w:r>
              <w:rPr>
                <w:rFonts w:ascii="Arial" w:cs="Arial" w:eastAsia="Arial" w:hAnsi="Arial"/>
                <w:sz w:val="18"/>
                <w:szCs w:val="18"/>
                <w:color w:val="auto"/>
              </w:rPr>
              <w:t>Terry Hulett</w:t>
            </w:r>
          </w:p>
        </w:tc>
        <w:tc>
          <w:tcPr>
            <w:tcW w:w="2020" w:type="dxa"/>
            <w:vAlign w:val="bottom"/>
            <w:gridSpan w:val="4"/>
          </w:tcPr>
          <w:p>
            <w:pPr>
              <w:jc w:val="right"/>
              <w:ind w:right="560"/>
              <w:spacing w:after="0"/>
              <w:rPr>
                <w:sz w:val="20"/>
                <w:szCs w:val="20"/>
                <w:color w:val="auto"/>
              </w:rPr>
            </w:pPr>
            <w:r>
              <w:rPr>
                <w:rFonts w:ascii="Arial" w:cs="Arial" w:eastAsia="Arial" w:hAnsi="Arial"/>
                <w:sz w:val="18"/>
                <w:szCs w:val="18"/>
                <w:color w:val="auto"/>
              </w:rPr>
              <w:t>10/04/2013</w:t>
            </w:r>
          </w:p>
        </w:tc>
        <w:tc>
          <w:tcPr>
            <w:tcW w:w="1460" w:type="dxa"/>
            <w:vAlign w:val="bottom"/>
            <w:gridSpan w:val="2"/>
          </w:tcPr>
          <w:p>
            <w:pPr>
              <w:jc w:val="right"/>
              <w:ind w:right="443"/>
              <w:spacing w:after="0"/>
              <w:rPr>
                <w:sz w:val="20"/>
                <w:szCs w:val="20"/>
                <w:color w:val="auto"/>
              </w:rPr>
            </w:pPr>
            <w:r>
              <w:rPr>
                <w:rFonts w:ascii="Arial" w:cs="Arial" w:eastAsia="Arial" w:hAnsi="Arial"/>
                <w:sz w:val="18"/>
                <w:szCs w:val="18"/>
                <w:color w:val="auto"/>
              </w:rPr>
              <w:t>8,333</w:t>
            </w:r>
            <w:r>
              <w:rPr>
                <w:rFonts w:ascii="Arial" w:cs="Arial" w:eastAsia="Arial" w:hAnsi="Arial"/>
                <w:sz w:val="15"/>
                <w:szCs w:val="15"/>
                <w:color w:val="auto"/>
              </w:rPr>
              <w:t>(4)</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7,051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05/12/2024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20" w:type="dxa"/>
            <w:vAlign w:val="bottom"/>
            <w:gridSpan w:val="4"/>
          </w:tcPr>
          <w:p>
            <w:pPr>
              <w:jc w:val="right"/>
              <w:ind w:right="560"/>
              <w:spacing w:after="0"/>
              <w:rPr>
                <w:sz w:val="20"/>
                <w:szCs w:val="20"/>
                <w:color w:val="auto"/>
              </w:rPr>
            </w:pPr>
            <w:r>
              <w:rPr>
                <w:rFonts w:ascii="Arial" w:cs="Arial" w:eastAsia="Arial" w:hAnsi="Arial"/>
                <w:sz w:val="18"/>
                <w:szCs w:val="18"/>
                <w:color w:val="auto"/>
              </w:rPr>
              <w:t>10/04/2013</w:t>
            </w:r>
          </w:p>
        </w:tc>
        <w:tc>
          <w:tcPr>
            <w:tcW w:w="1460" w:type="dxa"/>
            <w:vAlign w:val="bottom"/>
            <w:gridSpan w:val="2"/>
          </w:tcPr>
          <w:p>
            <w:pPr>
              <w:jc w:val="right"/>
              <w:ind w:right="443"/>
              <w:spacing w:after="0"/>
              <w:rPr>
                <w:sz w:val="20"/>
                <w:szCs w:val="20"/>
                <w:color w:val="auto"/>
              </w:rPr>
            </w:pPr>
            <w:r>
              <w:rPr>
                <w:rFonts w:ascii="Arial" w:cs="Arial" w:eastAsia="Arial" w:hAnsi="Arial"/>
                <w:sz w:val="18"/>
                <w:szCs w:val="18"/>
                <w:color w:val="auto"/>
              </w:rPr>
              <w:t>8,333</w:t>
            </w:r>
            <w:r>
              <w:rPr>
                <w:rFonts w:ascii="Arial" w:cs="Arial" w:eastAsia="Arial" w:hAnsi="Arial"/>
                <w:sz w:val="15"/>
                <w:szCs w:val="15"/>
                <w:color w:val="auto"/>
              </w:rPr>
              <w:t>(4)</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7,051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05/12/2024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Scott Sewell</w:t>
            </w:r>
          </w:p>
        </w:tc>
        <w:tc>
          <w:tcPr>
            <w:tcW w:w="2020" w:type="dxa"/>
            <w:vAlign w:val="bottom"/>
            <w:gridSpan w:val="4"/>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08/20/2013</w:t>
            </w:r>
          </w:p>
        </w:tc>
        <w:tc>
          <w:tcPr>
            <w:tcW w:w="1460" w:type="dxa"/>
            <w:vAlign w:val="bottom"/>
            <w:gridSpan w:val="2"/>
            <w:shd w:val="clear" w:color="auto" w:fill="CCEEFF"/>
          </w:tcPr>
          <w:p>
            <w:pPr>
              <w:jc w:val="right"/>
              <w:ind w:right="443"/>
              <w:spacing w:after="0" w:line="201" w:lineRule="exact"/>
              <w:rPr>
                <w:sz w:val="20"/>
                <w:szCs w:val="20"/>
                <w:color w:val="auto"/>
              </w:rPr>
            </w:pPr>
            <w:r>
              <w:rPr>
                <w:rFonts w:ascii="Arial" w:cs="Arial" w:eastAsia="Arial" w:hAnsi="Arial"/>
                <w:sz w:val="18"/>
                <w:szCs w:val="18"/>
                <w:color w:val="auto"/>
              </w:rPr>
              <w:t>7,740</w:t>
            </w:r>
            <w:r>
              <w:rPr>
                <w:rFonts w:ascii="Arial" w:cs="Arial" w:eastAsia="Arial" w:hAnsi="Arial"/>
                <w:sz w:val="15"/>
                <w:szCs w:val="15"/>
                <w:color w:val="auto"/>
              </w:rPr>
              <w:t>(1)</w:t>
            </w:r>
          </w:p>
        </w:tc>
        <w:tc>
          <w:tcPr>
            <w:tcW w:w="154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5,528</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5"/>
              </w:rPr>
              <w:t>05/12/2024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08/20/2013</w:t>
            </w:r>
          </w:p>
        </w:tc>
        <w:tc>
          <w:tcPr>
            <w:tcW w:w="146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4,487</w:t>
            </w:r>
            <w:r>
              <w:rPr>
                <w:rFonts w:ascii="Arial" w:cs="Arial" w:eastAsia="Arial" w:hAnsi="Arial"/>
                <w:sz w:val="15"/>
                <w:szCs w:val="15"/>
                <w:color w:val="auto"/>
              </w:rPr>
              <w:t>(1)</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05/12/2024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09/21/2010</w:t>
            </w:r>
          </w:p>
        </w:tc>
        <w:tc>
          <w:tcPr>
            <w:tcW w:w="146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15,384</w:t>
            </w:r>
            <w:r>
              <w:rPr>
                <w:rFonts w:ascii="Arial" w:cs="Arial" w:eastAsia="Arial" w:hAnsi="Arial"/>
                <w:sz w:val="15"/>
                <w:szCs w:val="15"/>
                <w:color w:val="auto"/>
              </w:rPr>
              <w:t>(3)</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09/20/2020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200" w:hanging="332"/>
        <w:spacing w:after="0" w:line="23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Approximately 58.3% of the shares subject to this option were vested as of December 31, 2015, and the remainder vest in equal increments on a monthly basis thereafter through August 20, 2017.</w:t>
      </w:r>
    </w:p>
    <w:p>
      <w:pPr>
        <w:ind w:left="340" w:right="24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Approximately 93.7% of the shares subject to this option were vested as of December 31, 2015, and the remainder vest in equal increments on a monthly basis thereafter through March 20, 2016.</w:t>
      </w:r>
    </w:p>
    <w:p>
      <w:pPr>
        <w:ind w:left="34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of the shares subject to this option were vested as of December 31, 2015.</w:t>
      </w:r>
    </w:p>
    <w:p>
      <w:pPr>
        <w:ind w:left="340" w:right="22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Approximately 54.2% of the shares subject to this option were vested as of December 31, 2015, and the remainder vest in equal increments on a monthly basis thereafter through October 4, 2017.</w:t>
      </w:r>
    </w:p>
    <w:p>
      <w:pPr>
        <w:ind w:left="340" w:right="180" w:hanging="332"/>
        <w:spacing w:after="0" w:line="237"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May 13, 2014, our board of directors approved a reduction of the exercise price of stock options to an exercise price of $0.17 per share (the then current fair market value of our common stock).</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provide standard employee benefits to our full- and part-time employees, including our named executive officers, in the United States (in the case of part-time, those that work 30 or more hours per week), including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health, disability and life insurance and a 401(k) plan as a means of attracting and retaining our executives and employees.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Board has considered the potential future effects of Section 162(m) of the Code on the compensation paid to our named executive officers. Section 162(m) disallows a tax deduction for any publicly held corporation for individual compensation exceeding $1.0 million in any taxable year for our chief executive officer and each of the other named executive officers (other than our chief financial officer), unless compensation is performance-based. As we only recently became publicly-traded, our Board has not previously taken the deductibility limit imposed by Section 162(m) into consideration in setting compensation.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7"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Such limitation of liability does not apply to liabilities arising under federal securities laws and does not affect the availability of equitable remedies, such as injunctive relief or rescission. 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officers and employees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These provisions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 and Bonus Plan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extended Executive Employment Agreements to each of our named executive officers in connection with their employment. The letters generally provide for at-will employment and set forth the named executive officer’s initial base salary, initial equity grant amount and eligibility for employee benefits. In addition, each of our named executive officers has executed a form of our standard confidential information and invention assignment agreement. The key terms of the offer letters extended to our named executive officers that continue to be in effect are described below.</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Phillip LoPresti</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LoPresti’s current Executive Employment Agreement became effective April 25, 2016. Mr. LoPresti will be eligible for a target bonus in 2016 equal to 50% of his annual base salary. His eligibility for such annual bonus and the amount of such annual bonus in 2016 and thereafter will be determined by our board of directors in its sole discretion based upon the company’s and Mr. LoPresti’s achievement of objectives and milestones to be determined on an annual basis by our board in consultation with Mr. LoPresti.</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LoPresti’s Executive Employment Agreement provides for certain severance benefits if his employment is terminated without cause or if he resigns for good reason. If Mr. LoPresti’s employment is terminated without cause or he resigns for good reason, Mr. LoPresti would be entitled to: (i) continuation payments over a six month severance period of his six month base salary, beginning on the sixtieth day following his separation from service; (ii) payment by us of COBRA premiums to continue health insurance coverage for himself and his eligible dependents over at most a six month severance period; and (iii) the accelerated vesting of a certain portion of Mr. LoPresti’s equity awards. In addition, if Mr. LoPresti’s employment is terminated without cause or he resigns for good reason within eighteen months of certain change-in-control events, the vesting of Mr. LoPresti’s equity awards will be fully accelerated.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Terry Hulett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Hulett’s current Executive Employment Agreement became effective April 25, 2016. Mr. Hulett will be eligible for a target bonus in 2016 equal to 25% of his annual base salary. His eligibility for such annual bonus and the amount of such annual bonus in 2016 and thereafter will be determined by our board of directors in its sole discretion based upon the company’s and Mr. Hulett’s achievement of objectives and milestones to be determined on an annual basis by our board in consultation with Mr. Hulett.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Hulett’s Executive Employment Agreement provides for certain severance benefits if his employment is terminated without cause or if he resigns for good reason. If Mr. Hulett’s employment is terminated without cause or he resigns for good reason, Mr. Hulett would be entitled to: (i) continuation payments over a six month severance period of his six month base salary, beginning on the sixtieth day following his separation from service; (ii) payment by us of COBRA premiums to continue health insurance coverage for himself and his eligible dependents over at most a six month severance period; and (iii) the accelerated vesting of a certain portion of Mr. Hulett’s equity awards. In addition, if Mr. Hulett’s employment is terminated without cause or he resigns for good reason within twelve months of certain change-in-control events, the vesting of Mr. Hulett’s equity awards will be accelerated with respect to fifty percent of his equity awards.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Scott Sewell</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Mr. Sewell’s current Executive Employment Agreement became effective April 25, 2016. Mr. Sewell will be eligible for a bonus in 2016 based on sales targets. His eligibility for such annual bonus and the amount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such annual bonus in 2016 and thereafter will be determined by our board of directors in its sole discretion based upon the company’s and Mr. Sewell’s achievement of objectives and milestones to be determined on an annual basis by our board in consultation with Mr. Sewell.</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Sewell’s Executive Employment Agreement provides for certain severance benefits if his employment is terminated without cause or if he resigns for good reason. If Mr. Sewell’s employment is terminated without cause or he resigns for good reason, Mr. Sewell would be entitled to: (i) continuation payments over a six month severance period of his six month base salary, beginning on the sixtieth day following his separation from service; (ii) payment by us of COBRA premiums to continue health insurance coverage for himself and his eligible dependents over at most a six month severance period; and (iii) the accelerated vesting of a certain portion of Mr. Sewell’s equity awards. In addition, if Mr. Sewell’s employment is terminated without cause or he resigns for good reason within twelve months of certain change-in-control events, the vesting of Mr. Sewell’s equity awards will be fully accelerated.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principal features of our equity incentive plans and our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board of directors adopted our 2016 Equity Incentive Plan, or the 2016 Plan, on April 25, 2016, and our stockholders subsequently approved the 2016 Plan on September 20, 2016. The 2016 Plan will become effective on the date the registration statement of which this prospectus forms a part is declared effective by the SEC. Once the 2016 Plan becomes effective, no further grants will be made under our 2008 Equity Incentive Plan, which is described below.</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2016 Plan provides for the grant of incentive stock options, or ISOs, within the meaning of Section 422 of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2016 Plan provides for the grant of performance cash awards to our employees, directors and consultants.</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number of shares of our common stock that may be issued under our 2016 Plan is 500,000. The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reserved for issuance under our 2016 Plan will automatically increase on January 1 of each year, beginning on January 1, 2017, and continuing through and including January 1, 2024, by 3% of the total number of shares of our capital stock outstanding on December 31 of the preceding calendar year, or a lesser number of shares determined by our board of directors. The maximum number of shares that may be issued upon the exercise of ISOs under our 2016 Plan is 500,000.</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Shares issued under our 2016 Plan will be authorized but unissued or reacquired shares of our common stock. Shares subject to stock awards granted under our 2016 Plan that expire or terminate without being exercised in full, or that are paid out in cash rather than in shares, will not reduce the number of shares available for issuance under our 2016 Plan. Additionally, shares issued pursuant to stock awards under our 2016 Plan that we repurchase or that are forfeited, as well as shares used to pay the exercise price of a stock award or to satisfy the tax withholding obligations related to a stock award, will become available for future grant under our 2016 Plan.</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2016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(1) designate employees (other than officers) to receive specified stock awards, and (2) determine the number of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subject to such stock awards. Subject to the terms of our 2016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2016 Plan.</w:t>
      </w:r>
    </w:p>
    <w:p>
      <w:pPr>
        <w:spacing w:after="0" w:line="17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has the power to modify outstanding awards under our 2016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Section 162(m) Limits. </w:t>
      </w:r>
      <w:r>
        <w:rPr>
          <w:rFonts w:ascii="Arial" w:cs="Arial" w:eastAsia="Arial" w:hAnsi="Arial"/>
          <w:sz w:val="17"/>
          <w:szCs w:val="17"/>
          <w:color w:val="auto"/>
        </w:rPr>
        <w:t>At such time as necessary for compliance with Section 162(m) of the Code, no participant may be granted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covering more than 115,384 shares (192,307 shares in the year of hire) of our common stock under our 2016 Plan during any calendar year 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 calendar year a performance stock award covering more than 115,384 shares of our common stock or a performance cash award having a maximum value in excess of $3 million under our 2016 Plan. These limitations are designed to allow us to grant compensation that will not be subject to the $1,000,000 annual limitation on the income tax deductibility of compensation paid per covered executive officer imposed by Section 162(m) of the Code.</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Non-Employee Director Limit. </w:t>
      </w:r>
      <w:r>
        <w:rPr>
          <w:rFonts w:ascii="Arial" w:cs="Arial" w:eastAsia="Arial" w:hAnsi="Arial"/>
          <w:sz w:val="17"/>
          <w:szCs w:val="17"/>
          <w:color w:val="auto"/>
        </w:rPr>
        <w:t>The maximum number of shares subject to awards granted during a single calendar year to any non-employee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2016 Plan, taken together with any cash fees paid to such non-employee director during the fiscal year, shall not exceed $3 million in total value (calculating the value of any such awards based on the grant date fair value of such awards for financial reporting purposes). Our board of directors may make exceptions to this limit for individual non-employee directors in extraordinary circumstances (for example, to compensate such individual for interim service in the capacity of an officer of the company), as our board of directors may determine in its discretion, provided that the non-employee director receiving such additional compensation may not participate in the decision to award such compensation.</w:t>
      </w:r>
    </w:p>
    <w:p>
      <w:pPr>
        <w:spacing w:after="0" w:line="17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2016 Plan, provided that the exercise price of a stock option generally cannot be less than 100% of the fair market value of our common stock on the date of grant. Options granted under the 2016 Plan vest at the rate specified in the stock option agreement as determined by the plan administrator.</w:t>
      </w:r>
    </w:p>
    <w:p>
      <w:pPr>
        <w:spacing w:after="0" w:line="171"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65"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past services to us or any other form of legal consideration that may be acceptable to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common stock on the date of grant. A stock appreciation right granted under the 2016 Plan vests at the rate specified in the stock appreciation right agreement as determined by the plan administrator.</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Our 2016 Plan permits the grant of performance-based stock and cash awards that may qualify as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that is not subject to the $1,000,000 limitation on the income tax deductibility of compensation paid per covered executive officer imposed by Section 162(m) of the Code. Our compensation committee can structure such awards so that the stock or cash will be issued or paid pursuant to such award only following the achievement of certain pre-established performance goals during a designated performance period.</w:t>
      </w:r>
    </w:p>
    <w:p>
      <w:pPr>
        <w:spacing w:after="0" w:line="171" w:lineRule="exact"/>
        <w:rPr>
          <w:sz w:val="20"/>
          <w:szCs w:val="20"/>
          <w:color w:val="auto"/>
        </w:rPr>
      </w:pPr>
    </w:p>
    <w:p>
      <w:pPr>
        <w:ind w:right="1000" w:firstLine="456"/>
        <w:spacing w:after="0" w:line="308"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2016 Plan, (2) the class and maximum number of shares by which the share reserve may increase automatically each year, (3) the class and maximum number of shares that may be issued upon the exercise of incentive stock options, (4) the class and maximum number of shares subject to stock awards that can be granted in a calendar year (as established under the 2016 Plan pursuant to Section 162(m) of the Code) and (5) the class and number of shares and exercise price, strike price or purchase price, if applicable, of all outstanding stock awards.</w:t>
      </w:r>
    </w:p>
    <w:p>
      <w:pPr>
        <w:spacing w:after="0" w:line="193"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 (9) return on equity or average stockholder’s equity; (10) return on assets, investment, or capital employed; (11) stock price; (12) margin (including gross margin); (13) income (before or after taxes); (14) operating income;</w:t>
      </w:r>
    </w:p>
    <w:p>
      <w:pPr>
        <w:spacing w:after="0" w:line="3"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operating income after taxes; (16) pre-tax profit; (17) operating cash flow; (18) sales or revenue targets; (19) increases in revenue or product revenue;</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expenses and cost reduction goals; (21) improvement in or attainment of working capital levels; (22) economic value added (or an equivalent metric);</w:t>
      </w:r>
    </w:p>
    <w:p>
      <w:pPr>
        <w:spacing w:after="0" w:line="32" w:lineRule="exact"/>
        <w:rPr>
          <w:rFonts w:ascii="Arial" w:cs="Arial" w:eastAsia="Arial" w:hAnsi="Arial"/>
          <w:sz w:val="16"/>
          <w:szCs w:val="16"/>
          <w:color w:val="auto"/>
        </w:rPr>
      </w:pPr>
    </w:p>
    <w:p>
      <w:pPr>
        <w:ind w:right="100" w:firstLine="8"/>
        <w:spacing w:after="0" w:line="281" w:lineRule="auto"/>
        <w:tabs>
          <w:tab w:leader="none" w:pos="3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 share; (24) cash flow; (25) cash flow per share; (26) share price performance; (27) debt reduction; (28) implementation or completion of projects or processes; (29) user satisfaction; (30) stockholders’ equity; (31) capital expenditures; (32) debt levels; (33) operating profit or net operating profit;</w:t>
      </w:r>
    </w:p>
    <w:p>
      <w:pPr>
        <w:spacing w:after="0" w:line="1" w:lineRule="exact"/>
        <w:rPr>
          <w:rFonts w:ascii="Arial" w:cs="Arial" w:eastAsia="Arial" w:hAnsi="Arial"/>
          <w:sz w:val="16"/>
          <w:szCs w:val="16"/>
          <w:color w:val="auto"/>
        </w:rPr>
      </w:pPr>
    </w:p>
    <w:p>
      <w:pPr>
        <w:ind w:right="160" w:firstLine="8"/>
        <w:spacing w:after="0" w:line="254"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workforce diversity; (35) growth of net income or operating income; (36) billings; (37) bookings; (38) the number of users, including but not limited to unique users; (39) employee retention; (40) budget management; (41) partner satisfaction; (42) entry into or completion of strategic partnerships or transactions (including in-licensing and out-licensing of intellectual property); and (43) to the extent that an Award is not intended to comply with Section 162(m) of the Code, other measures of performance selected by the Board.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will appropriately make adjustments in the method of calculating the attainment of the performance goals as follows: (a) to exclude restructuring or other nonrecurring charges; (b) to exclude exchange rate effects; (c) to exclude the effects of changes to generally accepted accounting principles; (d) to exclude the effects of any 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 and (m) to exclude the effects of entering into or achieving milestones involved in licensing arrangements.</w:t>
      </w:r>
    </w:p>
    <w:p>
      <w:pPr>
        <w:spacing w:after="0" w:line="16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2016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at least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administrator determines unless otherwise provided in an award agreement or other written agreement between us and the award holder. The administrator may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 (4) arrange for the lapse, in whole or in part, of any reacquisition or repurchase rights held by us; (5) cancel or arrange for the cancellation of the stock award prior to the transaction and pay and pay such cash payment, or no consideration, determined by the board; or (6) make a payment, in the form determined by the board, equal to the excess, if any, of the value of the property the participant would have received upon exercise of the awards prior to the transaction over any exercise price payable by the participant in connection with the exercise. The plan administrator is not obligated to treat all stock awards or portions of stock awards, even those that are of the same type, in the same manner.</w:t>
      </w:r>
    </w:p>
    <w:p>
      <w:pPr>
        <w:spacing w:after="0" w:line="16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event of a change in control, awards granted under the 2016 Plan will not receive automatic acceleration of vesting and exercisability, although this treatment may be provided for in an award agreement. Under the 2016 Plan, a change in control is defined to include (1) the acquisition by any person or company of more than 50% of the combined voting power of our then outstanding stock, (2) a merger, consolidation or similar transaction in which our stockholders immediately prior to the transaction do not own, directly or indirectly, more than 50% of the combined voting power of the surviving entity (or the parent of the surviving entity), (3) a sale, lease, exclusive license or other disposition of all or substantially all of our assets to an entity that did not previously hold more than 50% of the voting power over company stock, and (4) our stockholders approve and the Board approves a plan of complete dissolution or liquidation or a complete dissolution or liquidation of the company otherwise occurs except for a liquidation into a parent corporation.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2016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2016 Plan.</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Our board of directors has the authority to amend, suspend, or terminate our 2016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2016 Plan. No stock awards may be granted under our 2016 Plan while it is suspended or after it is terminated.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adopted our 2016 Employee Stock Purchase Plan, or the ESPP, on April 25, 2016, and our stockholders subsequently approved the ESPP on September 20, 2016. The ESPP will become effective immediately upon the execution and delivery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aggregate number of shares of our common stock that may be issued pursuant to the exercise of purchase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ESPP that are granted to our employees or to employees of any of our designated affiliates is 96,153 shares. Additionally, the number of shares of our common stock reserved for issuance under our ESPP will increase automatically each year, beginning on January 1, 2017, and continuing through and including January 1, 2026, by 1% of the total number of shares of our common stock outstanding on December 31 of the preceding calendar year, or a lesser number as determined by our board of directors. Shares subject to purchase rights granted under our ESPP that terminate without having been exercised in full will not reduce the number of shares available for issuance under our ESPP.</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duly authorized committee thereof, will administer our ESPP. Our board of directors has delegated</w:t>
      </w:r>
      <w:r>
        <w:rPr>
          <w:rFonts w:ascii="Arial" w:cs="Arial" w:eastAsia="Arial" w:hAnsi="Arial"/>
          <w:sz w:val="16"/>
          <w:szCs w:val="16"/>
          <w:i w:val="1"/>
          <w:iCs w:val="1"/>
          <w:color w:val="auto"/>
        </w:rPr>
        <w:t xml:space="preserve"> </w:t>
      </w:r>
      <w:r>
        <w:rPr>
          <w:rFonts w:ascii="Arial" w:cs="Arial" w:eastAsia="Arial" w:hAnsi="Arial"/>
          <w:sz w:val="16"/>
          <w:szCs w:val="16"/>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We currently intend to have 12-month offerings with multiple purchase periods (of approximately six months in duration) per offering, except that the first purchase period under our first offering may be shorter or longer than six months, depending on the date on which the underwriting agreement relating to this offering becomes effective. An offering under the ESPP may be terminated under certain circumstances.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Our employees, including executive officers, or any of our designated affiliates may have to satisfy one or more of the following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before participating in our ESPP, as determined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administrator: (1) customary employment with us or one of our affiliates for more than 20 hours per week and more than five months per calendar year, or</w:t>
      </w:r>
    </w:p>
    <w:p>
      <w:pPr>
        <w:spacing w:after="0" w:line="46" w:lineRule="exact"/>
        <w:rPr>
          <w:sz w:val="20"/>
          <w:szCs w:val="20"/>
          <w:color w:val="auto"/>
        </w:rPr>
      </w:pPr>
    </w:p>
    <w:p>
      <w:pPr>
        <w:ind w:right="100" w:firstLine="8"/>
        <w:spacing w:after="0" w:line="253"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 (2) 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9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including: (1) a sale of all or substantially all of our assets, (2)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or disposition of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w:t>
      </w:r>
    </w:p>
    <w:p>
      <w:pPr>
        <w:spacing w:after="0" w:line="167"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adopted our 2008 Equity Incentive Plan, or the 2008 Plan, in July 2008, and our stockholders subsequently approved the 2008 Plan in October 2008. The 2008 Plan provides for the discretionary grant of ISOs, nonstatutory stock options, stock appreciation rights, restricted stock awards, restricted stock unit awards, and other stock awards to our employees, directors and consultants or our affiliates. ISOs may be granted only to our employees or employees of our affiliates. The option exercise price of all ISOs, nonstatutory stock options and stock appreciation rights may not be less than 100% of the fair market value of our common stock on the date of grant. The term of each ISO, nonstatutory stock option and stock appreciation right may not exceed ten years from the date of grant.</w:t>
      </w:r>
    </w:p>
    <w:p>
      <w:pPr>
        <w:spacing w:after="0" w:line="19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2008 Plan will be terminated on the date the 2016 Plan becomes effective. However, any outstanding stock awards granted under the 2008 Plan will remain outstanding, subject to the terms of our 2008 Plan and the applicable stock award agreements, until such outstanding stock awards that are stock options are exercised or until they terminate or expire by their terms, or until such stock awards are fully settled, terminated or forfeited.</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number of shares of our common stock that may be issued under our 2008 Plan is 1,353,388. The maximum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that may be issued upon the exercise of ISOs under our 2008 Plan is two (2) times the 2008 Plan share reserve.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administers our 2008 Plan and the stock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it. Our board of directors may also delegate to one or more of our officers the authority to (1) designate officers and employees to receive specified stock awards and (2) determine the number of shares subject to such stock awards. Subject to the terms of our 2008 Plan, the board of directors has the authority to determine and amend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2008 Plan.</w:t>
      </w:r>
    </w:p>
    <w:p>
      <w:pPr>
        <w:spacing w:after="0" w:line="18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has the power to modify outstanding awards under our 2008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Our 2008 Plan provides that in the event of certain specified significant corporate transactions, as defined under our 2008</w:t>
      </w:r>
      <w:r>
        <w:rPr>
          <w:rFonts w:ascii="Arial" w:cs="Arial" w:eastAsia="Arial" w:hAnsi="Arial"/>
          <w:sz w:val="18"/>
          <w:szCs w:val="18"/>
          <w:i w:val="1"/>
          <w:iCs w:val="1"/>
          <w:color w:val="auto"/>
        </w:rPr>
        <w:t xml:space="preserve"> </w:t>
      </w:r>
      <w:r>
        <w:rPr>
          <w:rFonts w:ascii="Arial" w:cs="Arial" w:eastAsia="Arial" w:hAnsi="Arial"/>
          <w:sz w:val="18"/>
          <w:szCs w:val="18"/>
          <w:color w:val="auto"/>
        </w:rPr>
        <w:t>Plan, each outstanding award will be treated as the administrator determines. The administrator may (1) arrange for the assumption, continuation or substitution of a stock award by a successor corporation, or the acquiring corporation’s parent company; (2) arrange for the assignment of any reacquisition or repurchase rights held by us to a successor corporation, or the acquiring corporation’s parent company; (3) accelerate the vesting, in whole or in part, of the stock award and provide for its termination prior to the transaction; (4) arrange for the lapse, in whole or in part, of any reacquisition or repurchase rights held by us; or (5) make a payment in such form as determined by the board of directors equal to the excess of the value of the property that would have been received and the exercise price. The plan administrator is not obligated to treat all stock awards or portions of stock awards, even those that are of the same type, in the same manner.</w:t>
      </w:r>
    </w:p>
    <w:p>
      <w:pPr>
        <w:spacing w:after="0" w:line="19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the event of a change in control, as defined in the 2008 Plan, awards granted under the 2008 Plan will not receive automatic acceleration of vesting and exercisability, although this treatment may be provided for in an award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2008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2008 Plan.</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Our board of directors has the authority to amend, suspend or terminate our 2008 Plan, provided that such action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stockholders to the extent stockholder approval is necessary and that such action does not impair the existing rights of any participant without such participant’s written consent. As described above, our 2008 Plan will be terminated upon the effective date of this offering and no future stock awards will be granted thereunder.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is a description of transactions since January 1, 2013, to which we have been a party, in which the amount involved exceeds $120,000, and in which any of our directors, executive officers or beneficial holders of more than 5% of our common stock, or an affiliate or immediate family member thereof, had or will have a direct or indirect material interest.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agreement described below is filed as an exhibit to the registration statement of which this prospectus forms a part, and the following descriptions are qualified by reference to such agreements.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Compensation arrangements for our directors and named executive officers are described in this prospectus under the section titled “Executive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March 2013 Bridge Financing</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March 2013, we sold an aggregate of $2.0 million in convertible promissory notes at a price equal to the principal amount of such notes. These notes had an annual interest rate of 10% and a maturity date in March 2013, and were converted in July 2013 as described below. The following table summarizes the participation in the convertible note financing by any of our executive officers, directors and holders of more than 5% of our capital stock.</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Stockholder</w:t>
            </w:r>
          </w:p>
        </w:tc>
        <w:tc>
          <w:tcPr>
            <w:tcW w:w="240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Convertible Note</w:t>
            </w: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240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Principal Amount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Entities affiliated with</w:t>
            </w:r>
          </w:p>
        </w:tc>
        <w:tc>
          <w:tcPr>
            <w:tcW w:w="4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NV Partners</w:t>
            </w:r>
            <w:r>
              <w:rPr>
                <w:rFonts w:ascii="Arial" w:cs="Arial" w:eastAsia="Arial" w:hAnsi="Arial"/>
                <w:sz w:val="15"/>
                <w:szCs w:val="15"/>
                <w:color w:val="auto"/>
              </w:rPr>
              <w:t>(1)</w:t>
            </w:r>
          </w:p>
        </w:tc>
        <w:tc>
          <w:tcPr>
            <w:tcW w:w="2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393,927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322,528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(4)</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196,964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 Venture Fund IV, LLC</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196,964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(5)</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98,482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Tate Family Trust Dated 9/30/98</w:t>
            </w:r>
            <w:r>
              <w:rPr>
                <w:rFonts w:ascii="Arial" w:cs="Arial" w:eastAsia="Arial" w:hAnsi="Arial"/>
                <w:sz w:val="15"/>
                <w:szCs w:val="15"/>
                <w:color w:val="auto"/>
              </w:rPr>
              <w:t>(6)</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380" w:hanging="332"/>
        <w:spacing w:after="0" w:line="230"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Consists of (a) a note issued to NV Partners IV LP with a principal amount of $642,272 and (b) a note issued to NV Partners IV-C LP with a principal amount of $96,341 (together, “NV Partners”). Mr. Socolof, a member of our board of directors, is affiliated with NV Partners.</w:t>
      </w:r>
    </w:p>
    <w:p>
      <w:pPr>
        <w:ind w:left="340" w:right="300" w:hanging="332"/>
        <w:spacing w:after="0" w:line="238"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Consists of (a) a note issued to Sigma Partners 8, L.P. with a principal amount of $377,764, (b) a note issued to Sigma Associates 8, L.P. with a principal amount of $12,102 and (c) a note issued to Sigma Investors 8, L.P. with a principal amount of $4,061 (collectively, “Sigma Partners”). Mr. Finch, a member of our board of directors, is affiliated with Sigma Partners.</w:t>
      </w:r>
    </w:p>
    <w:p>
      <w:pPr>
        <w:ind w:left="340" w:right="5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Consists of (a) a note issued to Lux Ventures II, L.P. with the principal amount of $309,547 and (b) a note issued to Lux Ventures II Sidecar, L.P. with the principal amount of $12,981 (together, “Lux Ventures”). Mr. Hébert, a member of our board of directors, is affiliated with Lux Ventures.</w:t>
      </w:r>
    </w:p>
    <w:p>
      <w:pPr>
        <w:ind w:left="340" w:right="480" w:hanging="332"/>
        <w:spacing w:after="0" w:line="238"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Consists of (a) a note issued to Draper Fisher Jurvetson Fund IX, L.P. with the principal amount of $185,343, (b) a note issued to Draper Associates Riskmasters Fund II, LLC with the principal amount of $6,598 and (c) a note issued to Draper Fisher Jurvetson Partners IX, LLC with the principal amount of $5,023 (collectively, “Draper Fisher Jurvetson”).</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Finch is a member of our board of directors and is affiliated with Sigma Partners.</w:t>
      </w: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Tate is a member of our board of directors and a trustee of the Tate Family Trust Dated 9/30/98.</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August 2014 Bridge Financing</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August 2014, we sold an aggregate of $2.0 million in convertible promissory notes at a price equal to the principal amount of such notes. These notes had an annual interest rate of 5% and a maturity date in August 2015, and were converted in December 2014 as described below. The following table summarizes the participation in the convertible note financing by any of our executive officers, directors and holders of more than 5% of our capital stock.</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Stockholder</w:t>
            </w:r>
          </w:p>
        </w:tc>
        <w:tc>
          <w:tcPr>
            <w:tcW w:w="240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Convertible Note</w:t>
            </w: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240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Principal Amount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Entities affiliated with</w:t>
            </w:r>
          </w:p>
        </w:tc>
        <w:tc>
          <w:tcPr>
            <w:tcW w:w="4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NV Partners</w:t>
            </w:r>
            <w:r>
              <w:rPr>
                <w:rFonts w:ascii="Arial" w:cs="Arial" w:eastAsia="Arial" w:hAnsi="Arial"/>
                <w:sz w:val="15"/>
                <w:szCs w:val="15"/>
                <w:color w:val="auto"/>
              </w:rPr>
              <w:t>(1)</w:t>
            </w:r>
          </w:p>
        </w:tc>
        <w:tc>
          <w:tcPr>
            <w:tcW w:w="2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397,845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325,736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(4)</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198,922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 Venture Fund IV, LLC</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198,923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(5)</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99,461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Tate Family Trust Dated 9/30/98</w:t>
            </w:r>
            <w:r>
              <w:rPr>
                <w:rFonts w:ascii="Arial" w:cs="Arial" w:eastAsia="Arial" w:hAnsi="Arial"/>
                <w:sz w:val="15"/>
                <w:szCs w:val="15"/>
                <w:color w:val="auto"/>
              </w:rPr>
              <w:t>(6)</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280" w:hanging="332"/>
        <w:spacing w:after="0" w:line="230"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(a) a note issued to NV Partners IV LP with a principal amount of $648,661 and (b) a note issued to NV Partners IV-C LP with a principal amount of $97,299. Mr. Socolof, a member of our board of directors, is affiliated with NV Partners.</w:t>
      </w:r>
    </w:p>
    <w:p>
      <w:pPr>
        <w:ind w:left="340" w:right="200" w:hanging="332"/>
        <w:spacing w:after="0" w:line="22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(a) a note issued to Sigma Partners 8, L.P. with a principal amount of $381,643, (b) a note issued to Sigma Associates 8, L.P. with a principal amount of $12,176 and (c) a note issued to Sigma Investors 8, L.P. with a principal amount of $4,026. Mr. Finch, a member of our board of directors, is affiliated with Sigma Partners.</w:t>
      </w:r>
    </w:p>
    <w:p>
      <w:pPr>
        <w:ind w:left="340" w:right="400" w:hanging="332"/>
        <w:spacing w:after="0" w:line="22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(a) a note issued to Lux Ventures II, L.P. with the principal amount of $312,626 and (b) a note issued to Lux Ventures II Sidecar, L.P. with the principal amount of $13,110. Mr. Hébert, a member of our board of directors, is affiliated with Lux Ventures.</w:t>
      </w:r>
    </w:p>
    <w:p>
      <w:pPr>
        <w:ind w:left="340" w:right="380" w:hanging="332"/>
        <w:spacing w:after="0" w:line="22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(a) a note issued to Draper Fisher Jurvetson Fund IX, L.P. with the principal amount of $187,186, (b) a note issued to Draper Associates Riskmasters Fund II, LLC with the principal amount of $6,664 and (c) a note issued to Draper Fisher Jurvetson Partners IX, LLC with the principal amount of $5,072.</w:t>
      </w:r>
    </w:p>
    <w:p>
      <w:pPr>
        <w:ind w:left="340" w:hanging="332"/>
        <w:spacing w:after="0" w:line="22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Finch is a member of our board of directors and is affiliated with Sigma Partners.</w:t>
      </w: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Tate is a member of our board of directors and a trustee of the Tate Family Trust Dated 9/30/98.</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January 2016 Bridge Financing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2016, we sold an aggregate of $5.0 million in convertible promissory notes to existing investors at a price equal to the principal amount of such notes. These notes had an annual interest rate of 5% and, pursuant to an amendment in September 2016, a maturity date in December 2016. The following table summarizes the participation in the convertible note financing by any of our executive officers, directors and holders of more than 5% of our capital stock.</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5% Stockholder</w:t>
            </w:r>
          </w:p>
        </w:tc>
        <w:tc>
          <w:tcPr>
            <w:tcW w:w="442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Convertible Note</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120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3"/>
              </w:rPr>
              <w:t>Principal Amount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NV Partners</w:t>
            </w:r>
            <w:r>
              <w:rPr>
                <w:rFonts w:ascii="Arial" w:cs="Arial" w:eastAsia="Arial" w:hAnsi="Arial"/>
                <w:sz w:val="15"/>
                <w:szCs w:val="15"/>
                <w:color w:val="auto"/>
              </w:rPr>
              <w:t>(1)</w:t>
            </w:r>
          </w:p>
        </w:tc>
        <w:tc>
          <w:tcPr>
            <w:tcW w:w="2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1,864,899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994,612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814,339</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(4)</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497,306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 Venture Fund IV, LLC</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497,306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(5)</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248,653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Tate Family Trust Dated 9/30/98</w:t>
            </w:r>
            <w:r>
              <w:rPr>
                <w:rFonts w:ascii="Arial" w:cs="Arial" w:eastAsia="Arial" w:hAnsi="Arial"/>
                <w:sz w:val="15"/>
                <w:szCs w:val="15"/>
                <w:color w:val="auto"/>
              </w:rPr>
              <w:t>(6)</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60" w:hanging="332"/>
        <w:spacing w:after="0" w:line="230"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Consists of (a) a note issued to and held by NV Partners IV LP with a principal amount of $1,621,651 and (b) a note issued to and held by NV Partners IV-C LP with a principal amount of $243,248. Mr. Socolof, a member of our board of directors, is affiliated with NV Partners.</w:t>
      </w:r>
    </w:p>
    <w:p>
      <w:pPr>
        <w:ind w:left="340" w:right="120" w:hanging="332"/>
        <w:spacing w:after="0" w:line="238"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(a) a note issued to and held by Sigma Partners 8, L.P. with a principal amount of $954,379, (b) a note issued to and held by Sigma Associates 8, L.P. with a principal amount of $30,164 and (c) a note issued to and held by Sigma Investors 8, L.P. with a principal amount of $10,069. Mr. Finch, a member of our board of directors, is affiliated with Sigma Partners.</w:t>
      </w:r>
    </w:p>
    <w:p>
      <w:pPr>
        <w:ind w:left="340" w:right="140" w:hanging="332"/>
        <w:spacing w:after="0" w:line="237"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Consists of (a) a note issued to and held by Lux Ventures II, L.P. with the principal amount of $781,564 and (b) a note issued to and held by Lux Ventures II Sidecar, L.P. with the principal amount of $32,775. Mr. Hébert, a member of our board of directors, is affiliated with Lux Ventures.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80"/>
          </w:cols>
          <w:pgMar w:left="24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80" w:hanging="332"/>
        <w:spacing w:after="0" w:line="248"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(a) a note issued to and held by Draper Fisher Jurvetson Fund IX, L.P. with the principal amount of $467,965, (b) a note issued to and held by Draper Associates Riskmasters Fund II, LLC with the principal amount of $16,660 and (c) a note issued to and held by Draper Fisher Jurvetson Partners IX, LLC with the principal amount of $12,681.</w:t>
      </w:r>
    </w:p>
    <w:p>
      <w:pPr>
        <w:ind w:left="34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Finch is a member of our board of directors and is affiliated with Sigma Partners.</w:t>
      </w: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Tate is a member of our board of directors and a trustee of the Tate Family Trust Dated 9/30/98.</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August 2016 Bridge Financing</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August 2016, we sold an aggregate of $3.5 million in convertible promissory notes to existing investors at a price equal to the principal amount of such notes. These notes have an annual interest rate of 5% and, pursuant to an amendment in September 2016, a maturity date in December 2016. The following table summarizes the participation in the convertible note financing by any of our executive officers, directors and holders of more than 5% of our capital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49"/>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Stockholder</w:t>
            </w: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702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Entities affiliated with</w:t>
            </w:r>
          </w:p>
        </w:tc>
        <w:tc>
          <w:tcPr>
            <w:tcW w:w="54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NV Partners</w:t>
            </w:r>
            <w:r>
              <w:rPr>
                <w:rFonts w:ascii="Arial" w:cs="Arial" w:eastAsia="Arial" w:hAnsi="Arial"/>
                <w:sz w:val="15"/>
                <w:szCs w:val="15"/>
                <w:color w:val="auto"/>
              </w:rPr>
              <w:t>(1)</w:t>
            </w:r>
          </w:p>
        </w:tc>
        <w:tc>
          <w:tcPr>
            <w:tcW w:w="3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1,305,430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696,229</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570,038</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(4)</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348,113</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 Venture Fund IV, LLC</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348,114</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(5)</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174,057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Tate Family Trust dated 9/30/98</w:t>
            </w:r>
            <w:r>
              <w:rPr>
                <w:rFonts w:ascii="Arial" w:cs="Arial" w:eastAsia="Arial" w:hAnsi="Arial"/>
                <w:sz w:val="15"/>
                <w:szCs w:val="15"/>
                <w:color w:val="auto"/>
              </w:rPr>
              <w:t>(6)</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300" w:hanging="332"/>
        <w:spacing w:after="0" w:line="230"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(a) a note issued to and held by NV Partners IV LP with a principal amount of $1,135,156 and (b) a note issued to and held by NV Partners IV-C LP with a principal amount of $170,274. Mr. Socolof, a member of our board of directors, is affiliated with NV Partners.</w:t>
      </w:r>
    </w:p>
    <w:p>
      <w:pPr>
        <w:ind w:left="340" w:right="260" w:hanging="332"/>
        <w:spacing w:after="0" w:line="238"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Consists of (a) a note issued to and held by Sigma Partners 8, L.P. with a principal amount of $668,066, (b) a note issued to and held by Sigma Associates 8, L.P. with a principal amount of $21,115 and (c) a note issued to and held by Sigma Investors 8, L.P. with a principal amount of $7,048. Mr. Finch, a member of our board of directors, is affiliated with Sigma Partners.</w:t>
      </w:r>
    </w:p>
    <w:p>
      <w:pPr>
        <w:ind w:left="340" w:right="28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(a) a note issued to and held by Lux Ventures II, L.P. with the principal amount of $547,095 and (b) a note issued to and held by Lux Ventures II Sidecar, L.P. with the principal amount of $22,943. Mr. Hébert, a member of our board of directors, is affiliated with Lux Ventures.</w:t>
      </w:r>
    </w:p>
    <w:p>
      <w:pPr>
        <w:ind w:left="340" w:right="8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Consists of (a) a note issued to and held by Draper Fisher Jurvetson Fund IX, L.P. with the principal amount of $327,575, (b) a note issued to and held by Draper Associates Riskmasters Fund II, LLC with the principal amount of $11,662 and (c) a note issued to and held by Draper Fisher Jurvetson Partners IX, LLC with the principal amount of $8,876.</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Finch is a member of our board of directors and is affiliated with Sigma Partners.</w:t>
      </w: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Tate is a member of our board of directors and a trustee of the Tate Family Trust Dated 9/30/98.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and Common Stock Financings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of Common Stock and Series B Convertible Preferred Stock</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July 2013, we completed the closing of the sale of units in the aggregate of 1,972,988 shares of our common stock and 657,658 shares of our Series B convertible preferred stock (Unit Shares) at a purchase price of $26.00 per Unit Share for an aggregate purchase price of $15,324,480. Of the Unit Shares issued, 819,136 shares of the common stock and 273,034 shares of the Series B convertible preferred stock were issued upon conversion in full of the convertible notes sold in March 2013 and described above at a 75% discount to the purchase price.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purchases of shares of our Series B convertible preferred stock by our executive officers, directors and holders of more than 5% of our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Series B</w:t>
            </w:r>
          </w:p>
        </w:tc>
        <w:tc>
          <w:tcPr>
            <w:tcW w:w="2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62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7620" w:type="dxa"/>
            <w:vAlign w:val="bottom"/>
            <w:vMerge w:val="continue"/>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Preferred Stock</w:t>
            </w:r>
          </w:p>
        </w:tc>
        <w:tc>
          <w:tcPr>
            <w:tcW w:w="22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NV Partners</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728,115</w:t>
            </w:r>
          </w:p>
        </w:tc>
        <w:tc>
          <w:tcPr>
            <w:tcW w:w="4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242,705</w:t>
            </w:r>
          </w:p>
        </w:tc>
        <w:tc>
          <w:tcPr>
            <w:tcW w:w="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$5,654,892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388,328</w:t>
            </w:r>
          </w:p>
        </w:tc>
        <w:tc>
          <w:tcPr>
            <w:tcW w:w="980" w:type="dxa"/>
            <w:vAlign w:val="bottom"/>
          </w:tcPr>
          <w:p>
            <w:pPr>
              <w:jc w:val="right"/>
              <w:spacing w:after="0"/>
              <w:rPr>
                <w:sz w:val="20"/>
                <w:szCs w:val="20"/>
                <w:color w:val="auto"/>
              </w:rPr>
            </w:pPr>
            <w:r>
              <w:rPr>
                <w:rFonts w:ascii="Arial" w:cs="Arial" w:eastAsia="Arial" w:hAnsi="Arial"/>
                <w:sz w:val="18"/>
                <w:szCs w:val="18"/>
                <w:color w:val="auto"/>
              </w:rPr>
              <w:t>129,442</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3,015,942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317,943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EPIC Venture Fund IV, LLC</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194,164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64,721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1,507,971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194,162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97,082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32,360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753,985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Tate Family Trust Dated 9/30/98</w:t>
            </w:r>
            <w:r>
              <w:rPr>
                <w:rFonts w:ascii="Arial" w:cs="Arial" w:eastAsia="Arial" w:hAnsi="Arial"/>
                <w:sz w:val="15"/>
                <w:szCs w:val="15"/>
                <w:color w:val="auto"/>
              </w:rPr>
              <w:t>(6)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32,360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00" w:hanging="332"/>
        <w:spacing w:after="0" w:line="248"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(a) 633,144 shares of common stock and 211,048 shares of Series B convertible preferred stock issued to and held by NV Partners IV LP and (b) 94,971 shares of common stock and 31,657 shares of Series B convertible preferred stock issued to and held by NV Partners IV-C LP. Mr. Socolof, a member of our board of directors, is affiliated with NV Partners.</w:t>
      </w:r>
    </w:p>
    <w:p>
      <w:pPr>
        <w:ind w:left="340" w:right="14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(a) 372,465 shares of common stock and 124,155 shares of Series B convertible preferred stock issued to and held by Sigma Partners 8, L.P., (b) 11,903 shares of common stock and 3,967 shares of Series B convertible preferred stock issued to and held by Sigma Associates 8, L.P. and (c) 3,960 shares of common stock and 1,320 shares of Series B convertible preferred stock issued to and held by Sigma Investors 8, L.P. Mr. Finch, a member of our board of directors, is affiliated with Sigma Partners.</w:t>
      </w:r>
    </w:p>
    <w:p>
      <w:pPr>
        <w:ind w:left="340" w:right="20" w:hanging="332"/>
        <w:spacing w:after="0" w:line="238"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(a) 305,147 shares of common stock and 101,715 shares of Series B convertible preferred stock issued to and held by Lux Ventures II, L.P. and (b) 12,796 shares of common stock and 4,265 shares of Series B convertible preferred stock issued to and held by Lux Ventures II Sidecar, L.P. Mr. Hébert, a member of our board of directors, is affiliated with Lux Ventures.</w:t>
      </w:r>
    </w:p>
    <w:p>
      <w:pPr>
        <w:ind w:left="340" w:right="26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(a) 182,708 shares of common stock and 60,902 shares of Series B convertible preferred stock issued to and held by Draper Fisher Jurvetson Fund IX, L.P., (b) 6,504 shares of common stock and 2,168 shares of Series B convertible preferred stock issued to and held by Draper Associates Riskmasters Fund II, LLC and (c) 4,950 shares of common stock and 1,650 shares of Series B convertible preferred stock issued to and held by Draper Fisher Jurvetson Partners IX, LLC.</w:t>
      </w:r>
    </w:p>
    <w:p>
      <w:pPr>
        <w:ind w:left="34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Finch is a member of our board of directors and is affiliated with Sigma Partners.</w:t>
      </w: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Tate is a member of our board of directors and a trustee of the Tate Family Trust Dated 9/30/98.</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of Series B Convertible Preferred Stock</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January 2014, October 2014 and December 2014, we completed the closing of the sale of an aggregate of 463,159 shares of our Series B convertible preferred stock at a purchase price of $26.00 per share for an aggregate purchase price of $12,016,263. 77,518 of the shares of Series B convertible preferred stock were issued upon conversion in full of the convertible notes sold in August 2014 and described above.</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purchases of shares of our Series B convertible preferred stock by our executive officers, directors and holders of more than 5% of our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560" w:type="dxa"/>
            <w:vAlign w:val="bottom"/>
            <w:vMerge w:val="restart"/>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360" w:type="dxa"/>
            <w:vAlign w:val="bottom"/>
          </w:tcPr>
          <w:p>
            <w:pPr>
              <w:spacing w:after="0"/>
              <w:rPr>
                <w:sz w:val="15"/>
                <w:szCs w:val="15"/>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GLOBALFOUNDRIES Inc.</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192,307</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NV Partners</w:t>
            </w:r>
            <w:r>
              <w:rPr>
                <w:rFonts w:ascii="Arial" w:cs="Arial" w:eastAsia="Arial" w:hAnsi="Arial"/>
                <w:sz w:val="15"/>
                <w:szCs w:val="15"/>
                <w:color w:val="auto"/>
              </w:rPr>
              <w:t>(1)</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28,914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751,784</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15,420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400,951</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12,625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328,279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 Venture Fund IV, LLC</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7,710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200,476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7,709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200,475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100,238</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Tate Family Trust Dated 9/30/98</w:t>
            </w:r>
            <w:r>
              <w:rPr>
                <w:rFonts w:ascii="Arial" w:cs="Arial" w:eastAsia="Arial" w:hAnsi="Arial"/>
                <w:sz w:val="15"/>
                <w:szCs w:val="15"/>
                <w:color w:val="auto"/>
              </w:rPr>
              <w:t>(6)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1,285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33,413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440" w:hanging="332"/>
        <w:spacing w:after="0" w:line="230"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 25,143 shares issued to and held by NV Partners IV LP and (b) 3,771 shares issued to and held by NV Partners IV-C LP. Mr. Socolof, a member of our board of directors, is affiliated with NV Partners.</w:t>
      </w:r>
    </w:p>
    <w:p>
      <w:pPr>
        <w:ind w:left="340" w:right="100" w:hanging="332"/>
        <w:spacing w:after="0" w:line="237"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 14,793 shares issued to and held by Sigma Partners 8, L.P., (b) 471 shares issued to and held by Sigma Associates 8, L.P. and (c) 156 shares issued to and held by Sigma Investors 8, L.P. Mr. Finch, a member of our board of directors, is affiliated with Sigma Partners.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100" w:hanging="332"/>
        <w:spacing w:after="0" w:line="230"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 12,117 shares issued to and held by Lux Ventures II, L.P. and (b) 508 shares issued to and held by Lux Ventures II Sidecar, L.P. Mr. Hébert, a member of our board of directors, is affiliated with Lux Ventures.</w:t>
      </w:r>
    </w:p>
    <w:p>
      <w:pPr>
        <w:ind w:left="340" w:right="28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 7,255 shares issued to and held by Draper Fisher Jurvetson Fund IX, L.P., (b) 258 shares issued to and held by Draper Associates Riskmasters Fund II, LLC and (c) 196 shares issued to and held by Draper Fisher Jurvetson Partners IX, LLC.</w:t>
      </w:r>
    </w:p>
    <w:p>
      <w:pPr>
        <w:ind w:left="34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Finch is a member of our board of directors and is affiliated with Sigma Partners.</w:t>
      </w: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Tate is a member of our board of directors and the trustee of the Tate Family Trust Dated 9/30/98.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 to GLOBALFOUNDRIES Inc.</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October 2014, we entered into a ST-MRAM Joint Development Agreement with GLOBALFOUNDRIES Inc. (the Development Agreement) for the joint development of our ST-MRAM technology and as partial consideration for entering into the Development Agreement, issued to GLOBALFOUNDRIES 461,538 shares of our Common Stock subject to vesting upon the achievement of a goal as set forth in the Statement of Work #1 under the Development Agreement, which shares are further subject to a repurchase option in our favor for up to one year in the event the Development Agreement is terminated for any reason. In addition, and as disclosed above, in October 2014, we issued 192,307 shares of our Series B convertible preferred stock to GLOBALFOUNDRIES for aggregate proceeds to us of $5,000,000.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with GLOBALFOUNDRIES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have entered into a joint development agreement and a manufacturing agreement with GLOBALFOUNDRIES. See “Risk Factors” and “Business —ST-MRAM Joint Development Agreement” and “Business—ST-MRAM Manufactory Agreement” for a discussion of these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Freescale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various transactions with Freescale (a wholly-owned subsidiary of NXP), a holder of in excess of 5% of our outstanding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lease our manufacturing facility in Chandler, Arizona, from Freescale and total rent payments made during the years ended December 31, 2014 and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six months ended June, 2015 and 2016, were $1.0 million, $1.0 million, $582,000 and $520,000, respectively. Freescale also performs processing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products in its facility which is capitalized as part of the cost of inventory. The total processing costs incurred by us were $3.3 million, $3.9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 million and $1.3 million for the years ended December 31, 2014 and 2015, and the six months ended June 30, 2015 and 2016, respectively.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Freescale is one of our largest customers for the sale of embedded wafers, and total revenue from Freescale was $3.2 million, $3.5 million, $1.8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 million for the years ended December 31, 2014 and 2015, and the six months ended June 30, 2015 and 2016, respectively. Amounts due from Freescale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$541,000, $564,000 and $502,000 at December 31, 2014 and 2015, and June 30, 2016, respectively. Amounts due to Freescale were $484,000, $207,000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$596,000 at December 31, 2014 and 2015, and June 30, 2016,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 In addition, we have entered and expect to continue to enter into agreements to indemnify our directors and executive officers. For more information regarding these agreements, see the section of this prospectus titled “Executive Compensation—Limitation on Liability and Indemnification.”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directors and principal stockholders affiliated with our directors, including holders of more than 5% of our capital stock, have indicated an interest in purchasing shares of our common stock in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the public offering price in varying amounts: Entities affiliated with NV Partners (which is affiliated with Stephen Socolof, a member of our board of directors), entities affiliated with Sigma Partners (which is affiliated with Lawrence G. Finch, a member of our board of directors, who is also participating), entities affiliated with Lux Ventures (which is affiliated with Peter Hébert, a member of our board of directors), entities affiliated with Draper Fisher Jurvetson, EPIC Venture Fund IV, LLC, and Geoffrey R. Tate, a member of our board of directors. The aggregate amount that these entities have indicated an interest in purchasing is $6.2 million of shares of our common stock, and each has indicated an interest in purchasing at least $0.1 million of shares of our common stock. Because these indications of interest are not binding agreements or commitments to purchase, these stockholders may elect not to purchase any shares in this offering, or the underwriters may elect to sell more, less or no shares to them in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convertible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the section of this prospectus titled “Description of Capital Stock—Registration Rights.”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are party to a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Pursuant to the voting agreement, each of New Venture Partners LLC, Lux Capital Management, LLC and Sigma Management 8, L.L.C. had the right to designate one member of our board of directors. Stephen J. Socolof, Peter Hébert and Lawrence G. Finch were designated by New Venture Partners LLC, Lux Capital Management, LLC and Sigma Management 8, L.L.C., respectively, under the voting agreement. The voting agreement and rights regarding the election or designation of members of our board of directors will terminate upon the closing of this offering and none of our stockholders will have any special rights regarding the election or designation of members of our board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party to a right of first refusal and co-sale agreement with holders of our convertible preferred stock and our founders, including certain holders of 5% of our capital stock and entities affiliated with certain of our directors, pursuant to which the holders of convertible preferred stock have a right of first refusal and co-sale in respect of certain sales of securities by our founders. The right of first refusal and co-sale agreement will terminate upon the closing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entered into Executive Employment Agreements with our executive officers as described in greater detail in the section of this prospectus titled “Executive Compensation—Executive Employment Agreements and Bonus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Repricing</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May 2014, we amended certain of our outstanding stock options to reset their respective exercise prices to $4.42 per share, the fair market value of our common stock as of such date, as determined by our board of directors.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options that were repriced for certain of our directors and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Original</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New</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20" w:type="dxa"/>
            <w:vAlign w:val="bottom"/>
            <w:gridSpan w:val="2"/>
            <w:vMerge w:val="continue"/>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Phillip</w:t>
            </w:r>
          </w:p>
        </w:tc>
        <w:tc>
          <w:tcPr>
            <w:tcW w:w="7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LoPresti</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92,307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6/14/2020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23,076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3/19/2022</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Slaughter, Ph.D.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7/21/2018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7/13/2019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4/20/2020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9/20/2020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13.52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6/18/2022</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Sanjeev Aggarwal, Ph.D.</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7/21/2018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7/13/2019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4/20/2020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9/20/2020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6/19/2022</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Sewell</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15,384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9/20/2020</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Thomas Andre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4,807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7/21/2018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8/25/2018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4/20/2020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1/24/2021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6/19/2022</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England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7/13/2019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1/24/2021</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R. Tate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8/17/2019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1/24/2021</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of directors has adopted a written related-person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or related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under our code of conduct, our employees and directors have an affirmative responsibility to disclose any transaction or relationship that reasonably could be expected to give rise to a conflict of interest to our legal department, or, if the employee is an executive officer, to our board of directors.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considering related-person transactions, our audit committee (or other independent body of our board of directors) will take into account the relevant available facts and circumstances including, but not limited to, the risks, costs and benefits to us, the terms of the transaction, the availability of other sources for comparable services or products and, if applicable the impact on a director’s independence in the event that the related person is a director, immediate family member of a director or an entity with which a director is affiliated.</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Although we did not have a written policy for the review and approval of transactions with related persons prior to this offering, our board of directors has historically reviewed and approved any transaction where a director or officer had a financial interest, including all of the transactions described above. Prior to approving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us and in the best interests of all of our stockholders. In addition, for each related party transaction described above, the disinterested directors in the context of each such transaction approved the applicable agreement and transaction.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as to the beneficial ownership of our common stock as of September 1, 2016, for:</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Common stock subject to options that are currently exercisable or exercisable within 60 days of September 1, 2016,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9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Percentage ownership of our common stock “before the offering” in the table is based on 5,506,006 shares of common stock issued and outstanding as of September 1, 2016, adjusted for the conversion of all outstanding shares of convertible preferred stock into 2,486,199 shares of common stock upon the completion of this offering. Percentage ownership of our common stock “after this offering” in the table is based on 12,492,015 shares of common stock issued and outstanding on September 1, 2016, adjusted for the conversion of all outstanding shares of convertible preferred stock and convertible promissory notes issued in January 2016 and August 2016 (assuming a conversion date of October 12, 2016, and initial offering price of $8.00 per share) into 1,361,009 shares of common stock upon the completion of this offering, and the issuance of 5,000,000 shares of common stock in this offering and 625,000 shares of common stock in the concurrent private placement to GigaDevice Semiconductor (HK) Limited and assumes no exercise of the underwriters’ option to purchase additional shares. Unless otherwise indicated, the address of each of the individuals and entities named below is c/o 1347 N. Alma School Road, Suite 220, Chandler, Arizona 85224.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of our directors and principal stockholders affiliated with our directors, have indicated an interest in purchasing up to an aggregate of approximately $6.2 million of shares of common stock in this offering at the public offering price. See “Certain Relationships and Related Party Transactions” beginning on page 98. The information in the table below does not reflect the potential purchase of any shares in this offering by our existing stockholders pursuant to these indications of interest.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Exercisable</w:t>
            </w:r>
          </w:p>
        </w:tc>
        <w:tc>
          <w:tcPr>
            <w:tcW w:w="960" w:type="dxa"/>
            <w:vAlign w:val="bottom"/>
            <w:gridSpan w:val="2"/>
            <w:vMerge w:val="continue"/>
          </w:tcPr>
          <w:p>
            <w:pPr>
              <w:spacing w:after="0"/>
              <w:rPr>
                <w:sz w:val="14"/>
                <w:szCs w:val="14"/>
                <w:color w:val="auto"/>
              </w:rPr>
            </w:pPr>
          </w:p>
        </w:tc>
        <w:tc>
          <w:tcPr>
            <w:tcW w:w="19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Shares Beneficially Owned</w:t>
            </w:r>
          </w:p>
        </w:tc>
        <w:tc>
          <w:tcPr>
            <w:tcW w:w="9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Shares</w:t>
            </w: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Within 60</w:t>
            </w:r>
          </w:p>
        </w:tc>
        <w:tc>
          <w:tcPr>
            <w:tcW w:w="9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0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Before</w:t>
            </w:r>
          </w:p>
        </w:tc>
        <w:tc>
          <w:tcPr>
            <w:tcW w:w="760" w:type="dxa"/>
            <w:vAlign w:val="bottom"/>
            <w:tcBorders>
              <w:top w:val="single" w:sz="8" w:color="auto"/>
            </w:tcBorders>
          </w:tcPr>
          <w:p>
            <w:pPr>
              <w:jc w:val="right"/>
              <w:ind w:right="132"/>
              <w:spacing w:after="0" w:line="119" w:lineRule="exact"/>
              <w:rPr>
                <w:sz w:val="20"/>
                <w:szCs w:val="20"/>
                <w:color w:val="auto"/>
              </w:rPr>
            </w:pPr>
            <w:r>
              <w:rPr>
                <w:rFonts w:ascii="Arial" w:cs="Arial" w:eastAsia="Arial" w:hAnsi="Arial"/>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Owned</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Days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Owned</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the Offering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the Offering</w:t>
            </w: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3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affiliated with NV Partners</w:t>
            </w:r>
            <w:r>
              <w:rPr>
                <w:rFonts w:ascii="Arial" w:cs="Arial" w:eastAsia="Arial" w:hAnsi="Arial"/>
                <w:sz w:val="15"/>
                <w:szCs w:val="15"/>
                <w:color w:val="auto"/>
              </w:rPr>
              <w:t>(1)#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1,503,359</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507,632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2,010,991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801,790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270,735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1,072,525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affiliated with Lux Ventures</w:t>
            </w:r>
            <w:r>
              <w:rPr>
                <w:rFonts w:ascii="Arial" w:cs="Arial" w:eastAsia="Arial" w:hAnsi="Arial"/>
                <w:sz w:val="15"/>
                <w:szCs w:val="15"/>
                <w:color w:val="auto"/>
              </w:rPr>
              <w:t>(3)#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656,465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221,665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878,130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GLOBALFOUNDRIES Inc.</w:t>
            </w:r>
            <w:r>
              <w:rPr>
                <w:rFonts w:ascii="Arial" w:cs="Arial" w:eastAsia="Arial" w:hAnsi="Arial"/>
                <w:sz w:val="15"/>
                <w:szCs w:val="15"/>
                <w:color w:val="auto"/>
              </w:rPr>
              <w:t>(4)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653,845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653,845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Freescale Semiconductor, Inc.</w:t>
            </w:r>
            <w:r>
              <w:rPr>
                <w:rFonts w:ascii="Arial" w:cs="Arial" w:eastAsia="Arial" w:hAnsi="Arial"/>
                <w:sz w:val="15"/>
                <w:szCs w:val="15"/>
                <w:color w:val="auto"/>
              </w:rPr>
              <w:t>(5)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557,692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557,692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 Venture Fund IV, LLC</w:t>
            </w:r>
            <w:r>
              <w:rPr>
                <w:rFonts w:ascii="Arial" w:cs="Arial" w:eastAsia="Arial" w:hAnsi="Arial"/>
                <w:sz w:val="15"/>
                <w:szCs w:val="15"/>
                <w:color w:val="auto"/>
              </w:rPr>
              <w:t>(6)#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400,895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135,368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536,263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affiliated with Draper Fisher Jurvetson</w:t>
            </w:r>
            <w:r>
              <w:rPr>
                <w:rFonts w:ascii="Arial" w:cs="Arial" w:eastAsia="Arial" w:hAnsi="Arial"/>
                <w:sz w:val="15"/>
                <w:szCs w:val="15"/>
                <w:color w:val="auto"/>
              </w:rPr>
              <w:t>(7)#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400,890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135,366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536,256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GigaDevice Semiconductor (HK) Limited</w:t>
            </w:r>
            <w:r>
              <w:rPr>
                <w:rFonts w:ascii="Arial" w:cs="Arial" w:eastAsia="Arial" w:hAnsi="Arial"/>
                <w:sz w:val="15"/>
                <w:szCs w:val="15"/>
                <w:color w:val="auto"/>
              </w:rPr>
              <w:t>(8)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England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Lawrence G. Finch</w:t>
            </w:r>
            <w:r>
              <w:rPr>
                <w:rFonts w:ascii="Arial" w:cs="Arial" w:eastAsia="Arial" w:hAnsi="Arial"/>
                <w:sz w:val="15"/>
                <w:szCs w:val="15"/>
                <w:color w:val="auto"/>
              </w:rPr>
              <w:t>(9)#</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200,447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67,683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268,130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R. Tate</w:t>
            </w:r>
            <w:r>
              <w:rPr>
                <w:rFonts w:ascii="Arial" w:cs="Arial" w:eastAsia="Arial" w:hAnsi="Arial"/>
                <w:sz w:val="15"/>
                <w:szCs w:val="15"/>
                <w:color w:val="auto"/>
              </w:rPr>
              <w:t>(10)#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38,947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105,761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Peter Hébert</w:t>
            </w:r>
            <w:r>
              <w:rPr>
                <w:rFonts w:ascii="Arial" w:cs="Arial" w:eastAsia="Arial" w:hAnsi="Arial"/>
                <w:sz w:val="15"/>
                <w:szCs w:val="15"/>
                <w:color w:val="auto"/>
              </w:rPr>
              <w:t>(11)#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656,465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221,665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878,130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Socolof</w:t>
            </w:r>
            <w:r>
              <w:rPr>
                <w:rFonts w:ascii="Arial" w:cs="Arial" w:eastAsia="Arial" w:hAnsi="Arial"/>
                <w:sz w:val="15"/>
                <w:szCs w:val="15"/>
                <w:color w:val="auto"/>
              </w:rPr>
              <w:t>(12)#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1,503,359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507,632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2,010,991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Phillip LoPresti</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237,837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237,877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Sewell</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31,977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31,977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Terry Hulett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23,076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23,076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Foster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(15 persons)</w:t>
            </w:r>
            <w:r>
              <w:rPr>
                <w:rFonts w:ascii="Arial" w:cs="Arial" w:eastAsia="Arial" w:hAnsi="Arial"/>
                <w:sz w:val="15"/>
                <w:szCs w:val="15"/>
                <w:color w:val="auto"/>
              </w:rPr>
              <w:t>(13)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2,427,085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1,292,798</w:t>
            </w: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3,719,883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the outstanding common stock.</w:t>
      </w:r>
    </w:p>
    <w:p>
      <w:pPr>
        <w:ind w:left="340" w:right="60" w:hanging="332"/>
        <w:spacing w:after="0" w:line="238" w:lineRule="auto"/>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shares in the column “Shares Exercisable Within 60 Days” include shares of common stock issuable upon conversion of shares of preferred stock issuable upon exercise of $8.5 million of convertible promissory notes issued in January 2016 and August 2016 outstanding as of September 1, 2016, calculated with interest accruing through and until October 12, 2016.</w:t>
      </w:r>
    </w:p>
    <w:p>
      <w:pPr>
        <w:spacing w:after="0" w:line="1" w:lineRule="exact"/>
        <w:rPr>
          <w:sz w:val="20"/>
          <w:szCs w:val="20"/>
          <w:color w:val="auto"/>
        </w:rPr>
      </w:pPr>
    </w:p>
    <w:p>
      <w:pPr>
        <w:ind w:left="340" w:right="20" w:hanging="332"/>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(a) 1,307,270 shares held by NV Partners IV LP, (b) 196,089 shares held by NV Partners IV-C LP (together with NV Partners IV LP, the “NVP Funds”) and (c) 507,632 shares of common stock held by the NVP Funds issuable upon conversion of shares of preferred stock issuable upon exercise of convertible promissory notes outstanding as of September 1, 2016, calculated with interest accruing through and until October 12, 2016. NVPG IV, LLC is the general partner of NV Partners IV LP and NV Partners IV-C LP. Andrew Garman, Stephen Socolof and Thomas Uhlman are the managing members of NVPG IV, LLC, and share voting and dispositive power with respect to the shares held by such entity. Each managing member disclaims beneficial ownership of these shares except to the extent of his pecuniary interest. The address for each of the entities affiliated with NV Partners is 430 Mountain Avenue, Suite 404, 4th Floor, Murray Hill, NJ 07974.</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(a) 25,924 shares held by Sigma Associates 8, L.P., (“Sigma Associates”), (b) 8,277 shares held by Sigma Investors 8, L.P., (“Sigma Investors”), (c) 767,589 shares held by Sigma Partners 8, L.P., (“Sigma Partners”), and (d) 270,735 shares of common stock held by the Sigma Funds (as defined below) issuable upon conversion of shares of preferred stock issuable upon exercise of convertible promissory notes outstanding as of September 1, 2016, calculated with interest accruing through and until October 12, 2016. Sigma Management 8, L.L.C. is the general partner of Sigma Associates 8, L.P., Sigma Investors 8, L.P. and Sigma Partners 8, L.P. (collectively, the “Sigma Funds”). Sigma Management 8, L.L.C. has sole voting and investment power. Robert Davoli, Fahri Diner, Paul Flanagan, Gregory Gretsch, John Mandile, Peter Solvik, Robert Spinner and Wade Woodson, as managing members of Sigma Management 8, L.L.C., share this power. The address for each of the Sigma Funds is 156 Diablo Rd., Suite 320, Danville, CA 94526.</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(a) 630,045 shares held by Lux Ventures II, L.P. (“LV-II”), (b) 26,420 shares held by Lux Ventures II Sidecar, L.P. (“Sidecar”) (together with LV-II, the “Lux Funds”) and</w:t>
      </w:r>
    </w:p>
    <w:p>
      <w:pPr>
        <w:ind w:left="340" w:right="340"/>
        <w:spacing w:after="0" w:line="232" w:lineRule="auto"/>
        <w:rPr>
          <w:rFonts w:ascii="Arial" w:cs="Arial" w:eastAsia="Arial" w:hAnsi="Arial"/>
          <w:sz w:val="14"/>
          <w:szCs w:val="14"/>
          <w:color w:val="auto"/>
        </w:rPr>
      </w:pPr>
      <w:r>
        <w:rPr>
          <w:rFonts w:ascii="Arial" w:cs="Arial" w:eastAsia="Arial" w:hAnsi="Arial"/>
          <w:sz w:val="14"/>
          <w:szCs w:val="14"/>
          <w:color w:val="auto"/>
        </w:rPr>
        <w:t>(c) 221,665 shares of common stock held by the Lux Funds issuable upon conversion of shares of preferred stock issuable upon exercise of convertible promissory notes outstanding as of September 1, 2016, calculated with interest accruing through and until October 12, 2016. Lux Venture Partners II, L.P. (“LVP-II”) is the general partner of the Lux Funds. Lux Venture Associates II, LLC (“LVA-II”) is the general partner of LVP-II and Lux Capital Management, LLC (“LCM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80"/>
        <w:spacing w:after="0" w:line="243" w:lineRule="auto"/>
        <w:rPr>
          <w:sz w:val="20"/>
          <w:szCs w:val="20"/>
          <w:color w:val="auto"/>
        </w:rPr>
      </w:pPr>
      <w:r>
        <w:rPr>
          <w:rFonts w:ascii="Arial" w:cs="Arial" w:eastAsia="Arial" w:hAnsi="Arial"/>
          <w:sz w:val="13"/>
          <w:szCs w:val="13"/>
          <w:color w:val="auto"/>
        </w:rPr>
        <w:t>LLC”) is the sole member of LVA-II. Joshua Wolfe and Peter Hébert are the individual managers of LCM LLC (the “Individual Managers”). LVP II and LCM LLC disclaim beneficial ownership of such shares, except to the extent of their pecuniary interest therein. LCM LLC, as sole member, may be deemed to share voting and investment powers for the shares held by the Lux Funds. As one of two individual managers, each of the Individual Managers disclaims beneficial ownership over the shares reported herein, and in all events disclaims beneficial ownership except to the extent of his pecuniary interest therein. The address for each of the Lux Funds is 295 Madison Ave., 24</w:t>
      </w:r>
      <w:r>
        <w:rPr>
          <w:rFonts w:ascii="Arial" w:cs="Arial" w:eastAsia="Arial" w:hAnsi="Arial"/>
          <w:sz w:val="11"/>
          <w:szCs w:val="11"/>
          <w:color w:val="auto"/>
        </w:rPr>
        <w:t>th</w:t>
      </w:r>
      <w:r>
        <w:rPr>
          <w:rFonts w:ascii="Arial" w:cs="Arial" w:eastAsia="Arial" w:hAnsi="Arial"/>
          <w:sz w:val="13"/>
          <w:szCs w:val="13"/>
          <w:color w:val="auto"/>
        </w:rPr>
        <w:t xml:space="preserve"> Floor, NY, NY 10017.</w:t>
      </w:r>
    </w:p>
    <w:p>
      <w:pPr>
        <w:ind w:left="340" w:hanging="332"/>
        <w:spacing w:after="0" w:line="222"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address of GLOBALFOUNDRIES Inc. is PO Box 309, Ugland House, Grand Cayman KY1-1104, Cayman Islands.</w:t>
      </w:r>
    </w:p>
    <w:p>
      <w:pPr>
        <w:ind w:left="3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address of Freescale Semiconductor, Inc. is 6501 William Cannon Dr. West, Austin, TX 78735.</w:t>
      </w:r>
    </w:p>
    <w:p>
      <w:pPr>
        <w:ind w:left="340" w:hanging="332"/>
        <w:spacing w:after="0" w:line="238" w:lineRule="auto"/>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135,368 shares of common stock held by EPIC Venture Fund IV, LLC issuable upon conversion of shares of preferred stock issuable upon exercise of convertible promissory notes outstanding as of September 1, 2016, calculated with interest accruing through and until October 12, 2016. Nicholaus Efstratis and Kent Madsen have shared voting and investment power with respect to the shares held by EPIC Venture Fund IV, LLC, each of whom disclaims beneficial ownership of the securities held by EPIC Venture Fund IV, LLC, except to the extent of any pecuniary interest therein. The address of EPIC Venture Fund IV, LLC and Messrs. Efstratis and Madsen is 15 W. South Temple, #500 Salt Lake City, UT 84101.</w:t>
      </w:r>
    </w:p>
    <w:p>
      <w:pPr>
        <w:spacing w:after="0" w:line="1" w:lineRule="exact"/>
        <w:rPr>
          <w:rFonts w:ascii="Arial" w:cs="Arial" w:eastAsia="Arial" w:hAnsi="Arial"/>
          <w:sz w:val="13"/>
          <w:szCs w:val="13"/>
          <w:color w:val="auto"/>
        </w:rPr>
      </w:pPr>
    </w:p>
    <w:p>
      <w:pPr>
        <w:ind w:left="340" w:right="40" w:hanging="332"/>
        <w:spacing w:after="0" w:line="238" w:lineRule="auto"/>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Consists of (a) 377,242 shares held by Draper Fisher Jurvetson Fund IX, L.P. (“Fund IX”), (b) 3,865 shares held by Draper Associates, L.P. (“DALP”), (c) 10,220 shares held by Draper Fisher Jurvetson Partners IX, LLC (“Partners IX”), (d) 9,563 shares held by Draper Associates Riskmasters Fund II, LLC (“DARF II,” collectively with Fund IX, DALP and Partners IX, the “DFJ Funds”) and (e) 135,366 shares of common stock held by the DFJ Funds issuable upon conversion of shares of preferred stock issuable upon exercise of convertible promissory notes outstanding as of September 1, 2016, calculated with interest accruing through and until October 12, 2016. Timothy C. Draper, John H.N. Fisher and Stephen T. Jurvetson are Managing Directors of the general partner entity of Fund IX that directly holds shares and as such, may be deemed to have voting and investment power with respect to such shares. The Managing Members of Partners IX are Timothy C. Draper, John H.N. Fisher and Stephen T. Jurvetson. The General Partner of DALP is Draper Associates, Inc. which is controlled by its President and majority shareholder, Timothy C. Draper. The Managing Member of DARF II is Timothy C. Draper. These individuals disclaim beneficial ownership with respect to such shares except to the extent of their pecuniary interest therein. The address of each of the entities affiliated with Draper Fisher Jurvetson is 2882 Sand Hill Road, Suite 150, Menlo Park, California 94025.</w:t>
      </w:r>
    </w:p>
    <w:p>
      <w:pPr>
        <w:spacing w:after="0" w:line="2" w:lineRule="exact"/>
        <w:rPr>
          <w:rFonts w:ascii="Arial" w:cs="Arial" w:eastAsia="Arial" w:hAnsi="Arial"/>
          <w:sz w:val="13"/>
          <w:szCs w:val="13"/>
          <w:color w:val="auto"/>
        </w:rPr>
      </w:pPr>
    </w:p>
    <w:p>
      <w:pPr>
        <w:ind w:left="340" w:right="1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solely of shares to be sold in a separate private placement concurrent with the completion of this offering at a price per share equal to the initial public offering price. The address of GigaDevice Semiconductor (HK) Limited is Room 1007 10/Floor, Ho King Shopping Centre, No 2-16, Fa Yuen Street, Mongkok, Kowloon Hongkong.</w:t>
      </w:r>
    </w:p>
    <w:p>
      <w:pPr>
        <w:ind w:left="340" w:right="32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67,683 shares of common stock held by Mr. Finch issuable upon conversion of shares of preferred stock issuable upon exercise of convertible promissory notes outstanding as of September 1, 2016, calculated with interest accruing through and until October 12, 2016.</w:t>
      </w:r>
    </w:p>
    <w:p>
      <w:pPr>
        <w:ind w:left="340" w:right="10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(a) 16,387 shares of common stock issuable to Mr. Tate upon exercise of options exercisable within 60 days of September 1, 2016, (b) 22,560 shares of common stock held by the Tate Family Trust Dated 9/30/98 (the “Tate Family Trust”) issuable upon conversion of shares of preferred stock issuable upon exercise of convertible promissory notes outstanding as of September 1, 2016, calculated with interest accruing through and until October 12, 2016, and (c) 66,814 shares of common stock held by the Tate Family Trust, of which Mr. Tate is a trustee. Mr. Tate shares voting and investment power with respect to such shares with Colleen Tate.</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solely of shares held by the Lux Funds. See footnote 3 above</w:t>
      </w:r>
    </w:p>
    <w:p>
      <w:pPr>
        <w:ind w:left="340" w:hanging="332"/>
        <w:spacing w:after="0" w:line="22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solely of shares held by the NVP Funds. See footnote 1 above.</w:t>
      </w: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shares held by each executive officer and director.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will be filed with the SEC as exhibits to our registration statement, of which this prospectus forms a part. The descriptions of our common stock and convertible preferred stock reflect changes to our capital structure that will occur upon the closing of this offering.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our authorized capital stock will consist of 105,000,000 shares, all with a par value of $0.0001 per share, of which:</w:t>
      </w:r>
    </w:p>
    <w:p>
      <w:pPr>
        <w:spacing w:after="0" w:line="154"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100,000,000 shares are designated as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As of June 30, 2016, after giving effect to the conversion of all outstanding shares of convertible preferred stock into 2,486,199 shares of common stock immediately prior to the closing of this offering, we had outstanding 5,506,006 shares of common stock held of record by 44 stockholders.</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our common stock is entitled to one vote for each share of common stock held on all matters submitted to a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except as otherwise expressly provided in our amended and restated certificate of incorporation or required by applicable law. Cumulative voting for the election of directors is not provided for in our amended and restated certificate of incorporation, which means that the holders of a majority of our shares of common stock can elect all of the directors then standing for election.</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 xml:space="preserve">Dividends and Distributions. </w:t>
      </w:r>
      <w:r>
        <w:rPr>
          <w:rFonts w:ascii="Arial" w:cs="Arial" w:eastAsia="Arial" w:hAnsi="Arial"/>
          <w:sz w:val="18"/>
          <w:szCs w:val="18"/>
          <w:color w:val="auto"/>
        </w:rPr>
        <w:t>Subject to preferences that may apply to any shares of convertible preferred stock outstanding at the time,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our common stock are entitled to receive dividends out of funds legally available at the times and in the amounts that our board of directors may determine.</w:t>
      </w:r>
    </w:p>
    <w:p>
      <w:pPr>
        <w:spacing w:after="0" w:line="181"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Upon our liquidation, dissolution or winding-up, the assets legally available for distribution to our stockholders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distributable ratably among the holders of our common stock and any participating convertible preferred stock outstanding at that time after payment of liquidation preferences, if any, on any outstanding shares of convertible preferred stock and payment of other claims of creditors.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rights, preferences, and privileges of holders of our common stock are subject to, and may be adversely affected by, the rights of holders of shares of any series of convertible preferred stock that we may designate and issue in the future.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Preemptive or Similar Rights</w:t>
      </w:r>
      <w:r>
        <w:rPr>
          <w:rFonts w:ascii="Arial" w:cs="Arial" w:eastAsia="Arial" w:hAnsi="Arial"/>
          <w:sz w:val="18"/>
          <w:szCs w:val="18"/>
          <w:color w:val="auto"/>
        </w:rPr>
        <w:t>. Our common stock is not entitled to preemptive rights and is not subject to conversion,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 of June 30, 2016, there were 2,486,199 shares of our convertible preferred stock outstanding. Immediately prior to the closing of this offering, all outstanding shares of our convertible preferred stock will convert into 2,486,199 shares of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Upon the closing of this offering,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these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2016, we had warrants to purchase an aggregate of 3,076 shares of our Series A convertible preferred stock outstanding with an exercise price of $26.00 per share. Unless earlier exercised, these warrants will expire in December 2019. Upon the closing of this offering, these warrants will become exercisable for 3,076 shares of our common stock with an exercise price of $26.00 per share.</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of June 30, 2016, we had a warrant to purchase an aggregate of up to 6,153 shares of our Series B convertible preferred stock outstanding with an exercise price of $26.00 per share and a warrant to purchase an aggregate of up to 18,461 shares of our Series B convertible preferred stock outstanding with an exercise price of $26.00 per share. Unless earlier exercised, these warrants will expire in February 2024 and June 2025, respectively. Upon the closing of this offering, these warrants will become exercisable for up to 24,614 shares of our common stock with an exercise price of $26.00 per share.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June 30, 2016, we had outstanding convertible debt in the total principal amount of $5.0 million pursuant to convertible promissory notes issued in January 2016 (which does not include convertible debt in the total principal amount of $3.5 million pursuant to convertible promissory notes issued in August 2016). Upon the closing of this offering, the outstanding principal balance and all unpaid accrued interest of these convertible promissory notes will convert into shares of our common stock at a 20% discount of the per share price of the common stock issued in this offering, unless otherwise converted pursuant to their terms prior to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party to an investor rights agreement that provides that holders of our convertible preferred stock, certain holders of our common stock, holders of convertible promissory notes and warrants issued by us, and certain holders of common stock that received the common stock upon conversion of convertible preferred stock have certain registration rights. This investor rights agreement was entered into in October 2014 and has been amended or amended and restated from time to time in connection with our convertible preferred stock financings. The registration of shares of our common stock pursuant to the exercise of registration rights described below would enable the holders who have these rights to sell these shares without restriction under the Securities Act when the applicable registration statement is declared effective. We will pay the registration expenses, other than underwriting discounts and commissions, of the shares registered pursuant to the demand, piggyback and Form S-3 registrations described below.</w:t>
      </w:r>
    </w:p>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and limitations, to limit the number of shares the registration rights holders participating in any offering may include in any particular registration. The demand, piggyback and Form S-3 registration rights described below will expire on the earlier of (1) the date that is three years after the closing of this offering,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8"/>
        <w:spacing w:after="0" w:line="277"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each stockholder following the closing of this offering, at such time as such stockholder can sell all of its shares pursuant to Rule 144 of the Securities Act, or (3) a deemed liquidation event.</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The holders of an aggregate of 5,838,661 shares of our common stock (including shares previously issued upon 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of convertible preferred stock, shares issuable upon conversion of outstanding convertible preferred stock, shares issuable upon conversion of shares of convertible preferred stock issuable upon the net exercise or exercise of outstanding warrants and shares issuable upon conversion of preferred stock issuable upon exercise of convertible promissory notes, calculated with interest accruing through and until October 12, 2016) are entitled to certain demand registration rights. At any time beginning six months after the closing of this offering, the holders of not less than 75% of these shares may, on not more than two occasions, request that we file a registration statement to register at least 40% of their shares (or a lesser percent if having an aggregate offering price to the public, net of certain selling expenses, would exceed $15,000,000).</w:t>
      </w:r>
    </w:p>
    <w:p>
      <w:pPr>
        <w:spacing w:after="0" w:line="17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In connection with this offering, the holders of an aggregate of 6,405,582 shares of our common stock previously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upon conversion of convertible preferred stock and common stock issuable upon conversion of outstanding convertible preferred stock, shares of convertible preferred stock issuable upon the exercise or, in certain cases, net exercise of outstanding warrants and shares issuable upon conversion of preferred stock issuable upon exercise of convertible promissory notes, calculated with interest accruing through and until October 12, 2016, were entitled to, and the necessary percentage of holders waived, rights to include their shares of registrable securities in this offering. In the event that we propose to register any of our securities under the Securities Act,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other than with respect to a demand registration or a registration statement on Form S-3, S-4 or S-8,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16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 xml:space="preserve">Form S-3 registration rights. </w:t>
      </w:r>
      <w:r>
        <w:rPr>
          <w:rFonts w:ascii="Arial" w:cs="Arial" w:eastAsia="Arial" w:hAnsi="Arial"/>
          <w:sz w:val="16"/>
          <w:szCs w:val="16"/>
          <w:color w:val="auto"/>
        </w:rPr>
        <w:t>The holders of an aggregate of 5,847,890 shares of our common stock previously issued upon conversion of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common stock issuable upon conversion of outstanding convertible preferred stock, shares of convertible preferred stock issuable upon the exercise or, in certain cases, net exercise of outstanding warrants and shares issuable upon conversion of preferred stock issuable upon exercise of convertible promissory notes, calculated with interest accruing through and until October 12, 2016 will be entitled to certain Form S-3 registration rights. Such holders may make a request that we register their shares on Form S-3 if we are qualified to file a registration statement on Form S-3, provided that they hold 10% of such shares and have an anticipated aggregated offering price of at least $10 million, less certain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to be effective upon the closing of this offering will provide that all stockholder actions must be effected at a duly called meeting of stockholders and not by consent in writing. A special meeting of stockholders may be called only by a majority of our whole board of directors, the chair of our board of directors, or our chief executive officer.</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amended and restated certificate of incorporation will further provide that, immediately after this offering, the affirmative vote of holders of at least sixty-six and two-thirds percent (66-2/3%) of the voting power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sixty-six and two-thirds percent (66-2/3%) of the voting power of all of the then outstanding shares of voting stock, voting as a single class, will be required to amend or repeal our bylaws, although our bylaws may be amended by a simple majority vote of our board of directors.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foregoing provisions will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these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19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 litigation alleging certain claims against us or our board of directors may only be brought in the courts located within the State of Delaware.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7" w:lineRule="exact"/>
        <w:rPr>
          <w:sz w:val="20"/>
          <w:szCs w:val="20"/>
          <w:color w:val="auto"/>
        </w:rPr>
      </w:pPr>
    </w:p>
    <w:p>
      <w:pPr>
        <w:ind w:left="900" w:right="6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jc w:val="center"/>
        <w:ind w:left="5580" w:right="1160" w:hanging="5126"/>
        <w:spacing w:after="0" w:line="449" w:lineRule="auto"/>
        <w:tabs>
          <w:tab w:leader="none" w:pos="8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section of this prospectus titled “Executive Compensation—Limitation on Liability and Indemnification.”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trading symbol “MRAM.”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closing of this offering, the transfer agent and registrar for our common stock will be Computershare Trust Company, N.A.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80"/>
          </w:cols>
          <w:pgMar w:left="240" w:top="459" w:right="3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on the number of shares outstanding as of June 30, 2016, and after giving effect to the conversion of our outstanding convertible preferred stock and convertible promissory notes (assuming a conversion date of October 12, 2016) into an aggregate of 1,361,009 shares of common stock (which includes 552,262 shares of common stock issuable upon conversion of convertible promissory notes in the aggregate principal amount of $3.5 million issued in August 2016) upon the completion of this offering, 12,492,015 shares of common stock will be outstanding, or 13,242,015 shares of common stock if the underwriters exercise their option to purchase additional shares in full. All of the 5,000,000 shares sold in this offering will be freely tradable unless purchased by our affiliates, as that term is defined in Rule 144 under the Securities Act. The remaining outstanding shares of our common stock, including the 625,000 shares sold and issued in the concurrent private placement, will be “restricted securities” as that term is defined under Rule 144 of the Securities Act.</w:t>
      </w:r>
    </w:p>
    <w:p>
      <w:pPr>
        <w:spacing w:after="0" w:line="16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As a result of the lock-up agreements and the provisions of Rules 144 and 701 under the Securities Act, the shares of common stock that will be deemed restricted securities after this offering will be available for sale in the public market as follows:</w:t>
      </w:r>
    </w:p>
    <w:p>
      <w:pPr>
        <w:spacing w:after="0" w:line="76" w:lineRule="exact"/>
        <w:rPr>
          <w:sz w:val="20"/>
          <w:szCs w:val="20"/>
          <w:color w:val="auto"/>
        </w:rPr>
      </w:pPr>
    </w:p>
    <w:p>
      <w:pPr>
        <w:ind w:left="900" w:right="1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shares will be available for sale until 180 days after the date of this prospectus, subject to certain limited exceptions provided for in the lock-up agreements;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7,492,015 shares will be eligible for sale beginning more than 180 days after the date of this prospectus, subject, in the case of shares held by our affiliates, to the volume limitations under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general, under Rule 144, beginning 90 days after the date of this prospectus, a person who has beneficially owned restricted shares for at least six months would be entitled to sell those securities provided that (1) such person is not deemed to have been one of our affiliates at the time of, or at any time during the 90 days preceding, a sale and (2) we have been subject to the Exchange Act periodic reporting requirements for at least 90 days before the sale and are current in filing our periodic reports. Persons who have beneficially owned restricted shares of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1% of the number of our common stock then outstanding, which will equal approximately 132,420 shares immediately after this offering and the concurrent private placement, based on the number of shares of common stock outstanding as of June 30, 2016. Such sales by affiliates must also comply with the manner of sale and notice provisions of Rule 144 and to the availability of current public information about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will become eligible for sale upon the expiration of the restrictions set forth in those agreements.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our executive officers and directors and all of our stockholders have agreed, with certain limited exceptions, that for a period of 180 days from the date of this prospectus, we and they will not, without the prior written consent of Stifel, Nicolaus &amp; Company, Incorporated and Needham &amp; Company, LLC (the Representatives), dispose of or hedge any shares or any securities convertible into or exchangeable for our common stock subject to certain exceptions.</w:t>
      </w:r>
    </w:p>
    <w:p>
      <w:pPr>
        <w:ind w:right="60"/>
        <w:spacing w:after="0" w:line="261" w:lineRule="auto"/>
        <w:rPr>
          <w:sz w:val="20"/>
          <w:szCs w:val="20"/>
          <w:color w:val="auto"/>
        </w:rPr>
      </w:pPr>
      <w:r>
        <w:rPr>
          <w:rFonts w:ascii="Arial" w:cs="Arial" w:eastAsia="Arial" w:hAnsi="Arial"/>
          <w:sz w:val="18"/>
          <w:szCs w:val="18"/>
          <w:color w:val="auto"/>
        </w:rPr>
        <w:t>The Representatives in their sole discretion may release any of the securities subject to these lock-up agreements at any time. These agreements are described in the section of this prospectus titled “Underwriting.”</w:t>
      </w:r>
    </w:p>
    <w:p>
      <w:pPr>
        <w:spacing w:after="0" w:line="18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Representatives have advised us that they have no present intent or arrangement to release any common stock subject to a lock-up, and will consider the release of any lock-up on a case-by-case basis. Upon a request to release any shares of common stock subject to a lock-up, The Representatives would consider the particular circumstances surrounding the request, including, but not limited to, the length of time before the lock-up expires, the number of shares of common stock requested to be released, the reasons for the request, the possible impact on the market for our common stock and whether the holder of our common stock requesting the release is an officer, director or other affiliate of ours.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is a discussion of the material U.S. federal income tax considerations applicable to non-U.S. holders (as defined below) with respect to their ownership and disposition of shares of our common stock issued pursuant to this offering, but does not purport to be a complete analysis of all potential tax effects. All prospective non-U.S. holders of our common stock should consult with their own tax advisors with respect to the U.S. federal income tax consequences of the purchase, ownership and disposition of our common stock, as well as any consequences arising under the laws of any other taxing jurisdiction, including any state, local and non-U.S. tax consequences and any other U.S. federal tax consequences. In general, a non-U.S. holder means a beneficial owner of our common stock (other than a partnership or an entity or arrangement treated as a partnership for U.S. federal income tax purposes) that is not, for U.S. federal income tax purposes:</w:t>
      </w:r>
    </w:p>
    <w:p>
      <w:pPr>
        <w:spacing w:after="0" w:line="95"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discussion is based on current provisions of the Internal Revenue Code of 1986, as amended, which we refer to as the Code, existing U.S. Treasury Regulations promulgated thereunder, published administrative rulings and judicial decisions, all as in effect as of the date of this prospectus. These laws are subject to change and to differing interpretation, possibly with retroactive effect. Any change or differing interpretation could alter the tax consequences to non-U.S. holders described in this prospectus.</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This discussion is limited to non-U.S. holders that hold shares of our common stock as a capital asset within the meaning of Section 1221 of the Code (generally, for investment). This discussion does not address all aspects of U.S. federal income taxation that may be relevant to a particular non-U.S. holder in light of that non-U.S. holder’s individual circumstances, nor does it address any aspects of U.S. federal generation-skipping, gift or (except to the limited extent set forth below) estate tax, or any state, local or non-U.S. taxes. This discussion also does not consider any specific facts or circumstances that may apply to a non-U.S. holder and does not address the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brokers, dealers or traders in securities, commodities or currencies, tax-qualified retirement plans, holders subject to the alternative minimum tax or Medicare contribution tax,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U.S. expatriates and certain former citizens or long-term residents of the United States.</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their common stock through such partnerships or such entities or arrangements.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own tax advisors regarding the tax consequences of the purchase, ownership and disposition of our common stock.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There can be no assurance that the Internal Revenue Service, which we refer to as the IRS, will not challenge one or more of the tax consequences described herein, and we have not obtained, nor do we intend to obtain, a ruling with respect to the U.S. federal income tax consequences with respect to the matters discussed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w:t>
      </w:r>
    </w:p>
    <w:p>
      <w:pPr>
        <w:ind w:right="180"/>
        <w:spacing w:after="0" w:line="261" w:lineRule="auto"/>
        <w:rPr>
          <w:sz w:val="20"/>
          <w:szCs w:val="20"/>
          <w:color w:val="auto"/>
        </w:rPr>
      </w:pPr>
      <w:r>
        <w:rPr>
          <w:rFonts w:ascii="Arial" w:cs="Arial" w:eastAsia="Arial" w:hAnsi="Arial"/>
          <w:sz w:val="18"/>
          <w:szCs w:val="18"/>
          <w:color w:val="auto"/>
        </w:rPr>
        <w:t>Any remaining excess will be treated as capital gain from the sale or exchange of such common stock, subject to the tax treatment described below in “Gain on Sale, Exchange or Other Disposition of Our Common Stock.”</w:t>
      </w:r>
    </w:p>
    <w:p>
      <w:pPr>
        <w:spacing w:after="0" w:line="1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discussion below regarding backup withholding and FATCA withholding, dividends paid to a non-U.S. holder will generally be subject to withholding of U.S. federal income tax at a 30% rate or such lower rate as may be specified by an applicable income tax treaty. A non-U.S. holder that is eligible for a reduced rate of U.S. withholding tax under an income tax treaty may obtain a refund or credit of any excess amounts withheld by timely filing an appropriate claim for refund with the IRS. A non-U.S. holder of our common stock who claims the benefit of an applicable income tax treaty generally will be required to provide a properly executed IRS Form W-8BEN (in the case of an individual), IRS Form W-8BEN-E (in the case of a corporation), or other appropriate form and satisfy relevant certification and other requirements. Non-U.S. holders are urged to consult their tax advisors regarding their entitlement to benefits under a relevant income tax treaty.</w:t>
      </w:r>
    </w:p>
    <w:p>
      <w:pPr>
        <w:spacing w:after="0" w:line="189"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claim the exemption, the non-U.S. holder must furnish to us or our paying agent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at the same graduated U.S. federal income tax rates applicable to U.S. persons (as defined in the Code), unless a specific treaty exemption applies. Any U.S. effectively connected income received by a non-U.S. holder that is a corporation may also, under certain circumstances, be subject to an additional “branch profits tax” at a 30% rate or such lower rate as may be specified by an applicable income tax treaty.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may be required to periodically update their IRS Form W-8.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Disposition of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regarding backup withholding and FATCA withholding, in general, a non-U.S. holder will not be subject to any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such holder’s sale, exchange or other disposition of shares of our common stock unless:</w:t>
      </w:r>
    </w:p>
    <w:p>
      <w:pPr>
        <w:spacing w:after="0" w:line="116" w:lineRule="exact"/>
        <w:rPr>
          <w:sz w:val="20"/>
          <w:szCs w:val="20"/>
          <w:color w:val="auto"/>
        </w:rPr>
      </w:pPr>
    </w:p>
    <w:p>
      <w:pPr>
        <w:ind w:left="900" w:right="200" w:hanging="446"/>
        <w:spacing w:after="0" w:line="30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graduated U.S. federal income tax rates applicable to U.S. persons (as defined in the Code) and, if the non-U.S. holder is a foreign corporation, the branch profits tax described above in “Distributions on Our Common Stock” may also apply;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5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U.S.-source capital losses of the non-U.S. holder, if any (even though the individual is not considered a resident of the United States) provided the non-U.S. holder has timely filed U.S. federal income tax returns with respect to such losses; or</w:t>
      </w:r>
    </w:p>
    <w:p>
      <w:pPr>
        <w:spacing w:after="0" w:line="93" w:lineRule="exact"/>
        <w:rPr>
          <w:rFonts w:ascii="Arial" w:cs="Arial" w:eastAsia="Arial" w:hAnsi="Arial"/>
          <w:sz w:val="18"/>
          <w:szCs w:val="18"/>
          <w:color w:val="auto"/>
        </w:rPr>
      </w:pPr>
    </w:p>
    <w:p>
      <w:pPr>
        <w:ind w:left="900" w:right="20" w:hanging="446"/>
        <w:spacing w:after="0" w:line="269"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because we are, or have been, at any time during the five-year period preceding such disposition (or the non-U.S. holder’s holding period, if shorter) a “U.S. real property holding corporation.” Even if we are or become a U.S. real property holding corporation, provided that our common stock is regularly traded on an established securities market, our common stock will be treated as a U.S. real property interest only with respect to a non-U.S. holder that holds more than 5% of our outstanding common stock, directly or indirectly, actually or constructively, at any time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must report annually to the IRS and to each non-U.S. holder the gross amount of distributions on our common stock (whether or not the distribution represents taxable dividend income) paid to such holder and the tax withheld, if any, with respect to such dividends. Copies of information returns may be made available to the tax authorities of the country in which the non-U.S. holder resides or is incorporated under the provisions of a specific treaty or agreement. Non-U.S. holders will have to comply with specific certification procedures to establish that the holder is not a U.S. person (as defined in the Code) in order to avoid backup withholding at the applicable rate with respect to dividends on our common stock. U.S. backup withholding generally will not apply to a non-U.S. holder who provides a properly executed IRS Form W-8BEN, IRS Form W-8BEN-E or otherwise establishes an exemption.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Notwithstanding the foregoing, information reporting and backup withholding may apply if the broker has actual knowledge, or reason to know, that the holder is a U.S. person. 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Non-U.S. holders should consult with their own tax advisors regarding the application of the information reporting and backup withholding rules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Sections 1471 through 1474 of the Code and related Treasury Regulations (commonly referred to as “FATCA”) generally impose a U.S. federal withholding tax of 30% on dividends and the gross proceeds of a disposition of our common stock paid to a “foreign financial institution” or a “non-financial foreign entity” (as specifically defined for this purpose), unless (1) the foreign financial institution undertakes certain diligence and reporting obligations,</w:t>
      </w:r>
    </w:p>
    <w:p>
      <w:pPr>
        <w:ind w:firstLine="8"/>
        <w:spacing w:after="0" w:line="285" w:lineRule="auto"/>
        <w:tabs>
          <w:tab w:leader="none" w:pos="2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foreign financial institution is subject to the diligence and reporting requirements, such institution must enter into an agreement with the U.S. government to, among other things, withhold on certain payments and to collect and provide to the U.S. tax authorities substantial information regarding U.S. account holders of such institution (which may include certain equity and debt holders of such institution, as well as certain account holders that are foreign entities with U.S. owners). Foreign financial institutions located in jurisdictions that have an intergovernmental agreement with the United States governing these withholding and reporting requirements may be subject to different rules. This U.S. federal withholding tax of 30% also applies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substantial direct and indirect U.S. owners of the entity. The withholding tax described above will not apply if the foreign financial institution or non-financial foreign entity otherwise qualifies for an exemption from the rules. The withholding provisions described above will generally apply to dividends on our common stock paid on or after July 1, 2014, and with respect to gross proceeds of a sale or other disposition of our common stock on or after January 1, 2019. Under certain circumstances, a non-U.S. holder might be eligible for refunds or credits of such taxes. Non-U.S. holders are encouraged to consult with their own tax advisors regarding the possible implications of the legislation on their investment in our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individual who is not a citizen of the United States and is also a nonresident (as specially defined for estate tax purposes) who is treated as the owner of, or has made certain lifetime transfers of, an interest in our common stock will be required to include the value thereof in his or her gross estate for U.S. federal estate tax purposes, and may be subject to U.S. federal estate tax unless an applicable estate tax treaty provides otherwise, even though such individual was not a citizen or resident of the United States at the time of his or her death.</w:t>
      </w:r>
    </w:p>
    <w:p>
      <w:pPr>
        <w:spacing w:after="0" w:line="183"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EACH PROSPECTIVE INVESTOR SHOULD CONSULT WITH ITS OWN TAX ADVISOR REGARDING THE TAX CONSEQUENCES OF THE PURCHASE, OWNERSHIP AND DISPOSITION OF OUR COMMON STOCK IN THEIR PARTICULAR CIRCUMSTANCES, INCLUDING THE CONSEQUENCES OF ANY PROPOSED CHANGE IN APPLICABLE LAW, AS WELL AS TAX CONSEQUENCES ARISING UNDER ANY STATE, LOCAL, NON-U.S. OR U.S. FEDERAL TAX LAWS.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Stifel, Nicolaus &amp; Company, Incorporated and Needham &amp; Company, LLC are acting as representatives of the underwriters named below. Subject to the terms and conditions set forth in an underwriting agreement, each of the underwriters named below has severally agreed to purchase from us the aggregate number of shares of common stock set forth opposite their respective names below:</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5"/>
              </w:rPr>
              <w:t>Stifel,</w:t>
            </w:r>
          </w:p>
        </w:tc>
        <w:tc>
          <w:tcPr>
            <w:tcW w:w="638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Nicolaus &amp; Company, Incorporated</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Needham &amp; Company, LLC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Inc.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Craig-Hallum Capital Group LLC</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shares of common stock listed above if any are purchased. The underwriters reserve the right to withdraw, cancel or modify offers to the public and to reject orders in whole or in part. Under the underwriting agreement, if an underwriter defaults in its commitment to purchase shares of common stock, the commitments of non-defaulting underwriters may be increased or the underwriting agreement may be terminated, depending on the circumstances.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 of Common Stock</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granted an option to the underwriters, exercisable for 30 days from the date of this prospectus, to purchase up to a total of 750,000 additional shares of common stock from us at the initial public offering price, less the underwriting discount, solely to cover over-allotments. If the underwriters exercise their option in whole or in part, then each of the underwriters will be separately committed, subject to the conditions described in the underwriting agreement, to purchase the additional shares in proportion to their respective commitments set forth in the table above.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through negotiations between us and the representatives. In addition to currently prevailing general conditions in the equity securities markets, including current market valuations of publicly traded companies considered comparable to our company, the factors to be considered in determining the initial public offering price will include:</w:t>
      </w:r>
    </w:p>
    <w:p>
      <w:pPr>
        <w:spacing w:after="0" w:line="5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financial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future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economic conditions in and future prospects for the industry in which we compete;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factors we and the representatives deem relevant.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cannot assure you that an active or orderly trading market will develop for our common stock or that our common stock will trade in the public markets subsequent to this offering at or above the initial public offering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at</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price less a concession not in excess of $ per share to other dealers. After this offering, the offering price, concessions and other selling terms may be changed by the underwriters. The shares are offered subject to receipt and acceptance by the underwriters and to the other conditions, including the right to reject orders in whole or in part.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to be paid to the underwriters and the proceeds, before expenses, payable to us: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With</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Total Without</w:t>
            </w:r>
          </w:p>
        </w:tc>
        <w:tc>
          <w:tcPr>
            <w:tcW w:w="8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8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12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9"/>
              </w:rPr>
              <w:t>Option to Purchase</w:t>
            </w:r>
          </w:p>
        </w:tc>
        <w:tc>
          <w:tcPr>
            <w:tcW w:w="8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Additional Shares</w:t>
            </w:r>
          </w:p>
        </w:tc>
        <w:tc>
          <w:tcPr>
            <w:tcW w:w="8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our total expenses in connection with this offering, excluding underwriting discounts and commissions, will be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$3,125,000. We have also agreed to reimburse the underwriters up to $30,000 for certain of their expenses relating to the clearance of the offering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Industry Regulatory Authority,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will indemnify the underwriters against some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 We will also indemnify the underwriters for losses if the shares (other than those purchased pursuant to the underwriters’ option to purchase additional shares) are not delivered to the underwriters’ accounts on the initial settlement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our directors and executive officers and substantially all of our other securityholders have entered into lock-up agreements with Stifel, Nicolaus &amp; Company, Incorporated and Needham &amp; Company, LLC as representatives of the underwriters prior to the commencement of this offering pursuant to which each of these persons or entities, for a period of 180 days after the date of this prospectus, may not offer, sell, contract to sell (including any short sale), pledge, hypothecate, establish an open “put equivalent position” within the meaning of Rule 16a-1(h) under the Exchange Act, grant any option, right or warrant for the sale of, purchase any option or contract to sell, sell any option or contract to purchase or otherwise encumber, dispose of or transfer, grant any rights with respect to, directly or indirectly, any shares of common stock or securities convertible into or exchangeable for shares of common stock, enter into a transaction which would have the same effect or other arrangement that transfers, in whole or in part, any of the economic consequences of ownership of the common stock, whether such aforementioned transaction is to be settled by delivery of the common stock or such other securities, in cash or otherwise, or publicly disclose the intention to make any such offer, sale, pledge or disposition, or to enter into any such transaction, swap hedge or other arrangement, subject to specified exceptions. These restrictions shall also apply to any common stock received upon exercise of options granted to or warrants owned by each of the persons or entities described in the immediately preceding sentence. These restrictions will not apply to us with respect to issuances of common stock or securities exercisable for, convertible into or exchangeable for common stock in connection with any acquisition, collaboration, merger,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licensing or other joint venture or strategic transaction involving our company, subject to certain limitations. Stifel, Nicolaus &amp; Company, Incorporated and Needham &amp; Company, LLC, as representatives of the underwriters, may release any of the securities subject to these lock-up agreements which, in the case of officers and directors, shall be with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symbol “MRAM.”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order to facilitate this offering, persons participating in this offering may engage in transactions that stabilize, maintain or otherwise affect the price of the shares during and after this offering. Specifically, the underwriters may engage in the following activities in accordance with the rules of the SEC.</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 Sales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Short sales involve the sales by the underwriters of a greater number of shares of common stock than they are required to purchase in the offering. Covered short sales are short sales made in an amount not greater than the underwriters’ option to purchase additional shares of common stock. The underwriters may close out any covered short position by either exercising their option or purchasing shares in the open market. In determining the source of shares to close out the covered short position, the underwriters will consider, among other things, the price of our common stock available for purchase in the open market as compared to the price at which they may purchase the shares through their option.</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Naked short sales are any short sales in excess of such option to purchase additional shares of common stock. The underwriters must close out any naked short position by purchasing shares of our common stock in the open market. A naked short position is more likely to be created if the underwriters are concerned that there may be downward pressure on the price of our common stock in the open market after pricing that could adversely affect investors who purchase in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Stabilizing Transactions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underwriters may make bids for or purchases of shares of our common stock for the purpose of pegging, fixing or maintaining the price of our common stock, so long as stabilizing bids do not exceed a specified maximum.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Penalty Bids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the underwriters purchase shares of our common stock in the open market in a stabilizing transaction or syndicate covering transaction, they may reclaim a selling concession from the underwriters and selling group members who sold those shares as part of this offering. Stabilization and syndicate covering transactions may cause the price of our common stock to be higher than it would be in the absence of these transactions. The imposition of a penalty bid might also have an effect on the price of the shares if it discourages presales of the shares.</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transactions above may occur on the NASDAQ Global Market or otherwise. Neither we nor the underwriters make any representation or prediction as to the effect that the transactions described above may have on the price of our common stock. If such transactions are commenced, they may be discontinued without notice at any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the shares of common stock offered by this prospectus to accounts over which they exercise discretionary authority without obtaining the specific approval of the account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European Economic Area</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7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(2010/73/EU)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 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United Kingdom</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document is only being distributed to, and is only directed at (i) persons who have professional experience in matters relating to investments falling within Article 19(5) of the Financial Services and Markets Act 2000 (Financial Promotion) Order 2005 as amended, or the Order, (ii) persons falling within Article 49(2)(a) to (d) (high net worth companies, unincorporated associations, etc.) of the Order; or (iii)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Any investment or investment activity to which this document relates is available only to relevant persons and will be engaged in only with relevant persons. Any person who is not a relevant person should not act or rely on this document or any of its contents.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Switzerland</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which are the subject of the offering contemplated by this prospectus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None of this prospectus 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None of this prospectus 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underwriters will not offer or sell any of the shares of common stock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Financial Instruments and Exchange Law of Japan and any other applicable laws and regulations of Japan. For purposes of this paragraph, “Japanese person” means any person resident in Japan, including any corporation or other entity organized under the laws of Japan.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underwriters and each of their affiliates have not (i) offered or sold, and will not offer or sell, in Hong Kong, by means of any document, any shares of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meaning of that Ordinance; and (ii) issued or had in its possession for the purposes of issue, and will not issue or have in its possession for the purposes of issue, whether in Hong Kong or elsewhere any advertisement, invitation or document relating to the shares of common stock which is directed at, or the contents of which are likely to be accessed or read by, the public in Hong Kong (except if permitted to do so under the securities laws of Hong Kong) other than with respect to the shares of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document has not been registered as a prospectus with the Monetary Authority of Singapore. Accordingly, this document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Securities and Futures Act), (ii) to a relevant person, or any person pursuant to Section 275(1A), and in accordance with the conditions, specified in Section 275 of the Securities and Futures Act or (iii) otherwise pursuant to, and in accordance with the conditions of, any other applicable provision of the Securities and Futures Act.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common stock are subscribed or purchased under Section 275 by a relevant person, which is:</w:t>
      </w:r>
    </w:p>
    <w:p>
      <w:pPr>
        <w:spacing w:after="0" w:line="131" w:lineRule="exact"/>
        <w:rPr>
          <w:sz w:val="20"/>
          <w:szCs w:val="20"/>
          <w:color w:val="auto"/>
        </w:rPr>
      </w:pPr>
    </w:p>
    <w:p>
      <w:pPr>
        <w:ind w:left="900" w:right="5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right="160" w:hanging="446"/>
        <w:spacing w:after="0" w:line="31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of common stock under Section 275 except:</w:t>
      </w:r>
    </w:p>
    <w:p>
      <w:pPr>
        <w:spacing w:after="0" w:line="52" w:lineRule="exact"/>
        <w:rPr>
          <w:rFonts w:ascii="Arial" w:cs="Arial" w:eastAsia="Arial" w:hAnsi="Arial"/>
          <w:sz w:val="16"/>
          <w:szCs w:val="16"/>
          <w:color w:val="auto"/>
        </w:rPr>
      </w:pPr>
    </w:p>
    <w:p>
      <w:pPr>
        <w:ind w:left="1480" w:right="180" w:hanging="567"/>
        <w:spacing w:after="0" w:line="264" w:lineRule="auto"/>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Canada</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document or on the merits of the shares and any representation to the contrary is an offence.</w:t>
      </w:r>
    </w:p>
    <w:p>
      <w:pPr>
        <w:spacing w:after="0" w:line="183"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document is exempt from the requirement that the Company and the underwriters provide investors with certain conflicts of interest disclosure pertaining to “connected issuer” and/or “related issuer” relationships that may exist between the Company and the underwriters as would otherwise be required pursuant to subsection 2.1(1) of NI 33-105.</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offer and sale of the shares in Canada is being made on a private placement basis only and is exempt from the requirement that the Company prepares and files a prospectus under applicable Canadian securities laws. Any resale of shares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Each Canadian investor who purchases the shares will be deemed to have represented to the Company, the underwriters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shares for investment by such investor under relevant Canadian federal and provincial legislation and regulations.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faisant foi ou se rapportant de quelque manière que ce soit à la vente des valeurs mobilières décrites aux présentes (incluant, pour plus de certitude, toute confirmation d’achat ou tout avis) soient rédigés en anglais seulement.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validity of the issuance of our common stock offered in this prospectus will be passed upon for us by Cooley LLP, Palo Alto, California. Pillsbury Winthrop Shaw Pittman LLP, Palo Alto, California, is acting as counsel for the underwriters in connection with certain legal matters relating to the shares of common stock offered by this prospectus.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financial statements of Everspin Technologies, Inc. at December 31, 2015 and 2014, and for each of the two years in the period ended December 31, 2015,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financial statements) appearing elsewhere herein, and are included in reliance upon such report given on the authority of such firm as experts in accounting and auditing.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hereby. This prospectus, which constitutes a part of the registration statement, does not contain all of the information set forth in the registration statement or the exhibits and schedules filed therewith. For further information with respect to Everspin Technologies, Inc. and the shares of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A copy of the registration statement and the exhibits and schedules filed therewith may be inspected without charge at the public reference room maintained by the SEC, located at 100 F Street N.E., Room 1580, Washington, D.C. 20549, and copies of all or any part of the registration statement may be obtained from such offices upon the payment of the fees prescribed by the SEC. Please call the SEC at 1-800-SEC-0330 for further information about the public reference room. The SEC also maintains a website that contains reports, proxy and information statements and other information regarding registrants that file electronically with the SEC. The address is www.sec.gov.</w:t>
      </w:r>
    </w:p>
    <w:p>
      <w:pPr>
        <w:spacing w:after="0" w:line="18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maintain a website at www.Everspin.com.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request a copy of these filings, at no cost to you, by writing or telephoning us at the following address:</w:t>
      </w:r>
    </w:p>
    <w:p>
      <w:pPr>
        <w:spacing w:after="0" w:line="14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Everspin Technologies, Inc.</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1347 N. Alma School Road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Suite 220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Chandler, Arizona 85224</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(480) 347-1111</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219"/>
          </w:cols>
          <w:pgMar w:left="240" w:top="459" w:right="144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EVERSPIN TECHNOLOGIES,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7"/>
            <w:vMerge w:val="restart"/>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0000EE"/>
            </w:tcBorders>
            <w:gridSpan w:val="5"/>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Balance Sheets</w:t>
              </w:r>
            </w:hyperlink>
          </w:p>
        </w:tc>
        <w:tc>
          <w:tcPr>
            <w:tcW w:w="6800" w:type="dxa"/>
            <w:vAlign w:val="bottom"/>
            <w:gridSpan w:val="2"/>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Statements of Operations and Comprehensive Loss</w:t>
              </w:r>
            </w:hyperlink>
          </w:p>
        </w:tc>
        <w:tc>
          <w:tcPr>
            <w:tcW w:w="73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Statements of Redeemable Convertible Preferred Stock and Stockholders’ Deficit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Statements of Cash Flows</w:t>
              </w:r>
            </w:hyperlink>
          </w:p>
        </w:tc>
        <w:tc>
          <w:tcPr>
            <w:tcW w:w="51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Notes to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Everspin Technologies, Inc.</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balance sheets of Everspin Technologies, Inc. (the “Company”) as of December 31, 2014 and 2015, and the related statements of operations and comprehensive loss, redeemable convertible preferred stock and stockholders’ deficit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Everspin Technologies, Inc. as of December 31, 2014 and 2015, and the results of its operations and its cash flows for each of the two years in the period ended December 31, 2015, in conformity with U.S. generally accepted accounting principles.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recurring losses from operations and has a net capital deficiency. Without access to additional liquidity, the Company does not expect it will be able to fund its obligations as they come due in 2016 and beyond,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pacing w:after="0" w:line="9" w:lineRule="exact"/>
        <w:rPr>
          <w:sz w:val="20"/>
          <w:szCs w:val="20"/>
          <w:color w:val="auto"/>
        </w:rPr>
      </w:pPr>
    </w:p>
    <w:p>
      <w:pPr>
        <w:ind w:right="4740"/>
        <w:spacing w:after="0" w:line="261" w:lineRule="auto"/>
        <w:rPr>
          <w:sz w:val="20"/>
          <w:szCs w:val="20"/>
          <w:color w:val="auto"/>
        </w:rPr>
      </w:pPr>
      <w:r>
        <w:rPr>
          <w:rFonts w:ascii="Arial" w:cs="Arial" w:eastAsia="Arial" w:hAnsi="Arial"/>
          <w:sz w:val="18"/>
          <w:szCs w:val="18"/>
          <w:color w:val="auto"/>
        </w:rPr>
        <w:t>except for the effect of the reverse stock split as described in Note 13, as to which the date is September 21,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77"/>
        </w:trPr>
        <w:tc>
          <w:tcPr>
            <w:tcW w:w="7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gridSpan w:val="5"/>
            <w:vMerge w:val="continue"/>
          </w:tcPr>
          <w:p>
            <w:pPr>
              <w:spacing w:after="0"/>
              <w:rPr>
                <w:sz w:val="6"/>
                <w:szCs w:val="6"/>
                <w:color w:val="auto"/>
              </w:rPr>
            </w:pPr>
          </w:p>
        </w:tc>
        <w:tc>
          <w:tcPr>
            <w:tcW w:w="1000" w:type="dxa"/>
            <w:vAlign w:val="bottom"/>
            <w:gridSpan w:val="3"/>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6"/>
                <w:szCs w:val="6"/>
                <w:color w:val="auto"/>
              </w:rPr>
            </w:pPr>
          </w:p>
        </w:tc>
        <w:tc>
          <w:tcPr>
            <w:tcW w:w="7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76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9,624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8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2,248</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1,909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Amounts due from related parties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3,745</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4,176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3,772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8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w w:val="98"/>
              </w:rPr>
              <w:t>16,356</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9,146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10,323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Deferred offering costs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17,775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10,961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13,696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929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1,162</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2,883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1,327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Amounts due to related parties</w:t>
            </w:r>
          </w:p>
        </w:tc>
        <w:tc>
          <w:tcPr>
            <w:tcW w:w="8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484</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3,812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6,161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on shipments to distributors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1,802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Derivative liability</w:t>
            </w: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388</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Convertible promissory notes payable-related party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7,416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21,829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6,739</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7,561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16,749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27,758</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$0.0001 par value per share; 68,080,000 shares authorized as of</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December 31, 2014 and 2015, and June 30, 2016 (unaudited); 2,486,199 shares issued and outstanding as of</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December 31, 2014 and 2015, and June 30, 2016 (unaudited); aggregate liquidation preference of $64,642 as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of December 31, 2015, and June 30, 2016 (unaudited); no shares authorized, issued and outstanding, pro</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forma (unaudited)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64,642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64,642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64,642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Arial" w:cs="Arial" w:eastAsia="Arial" w:hAnsi="Arial"/>
                <w:sz w:val="16"/>
                <w:szCs w:val="16"/>
                <w:color w:val="auto"/>
              </w:rPr>
              <w:t>Stockholders’ deficit: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Common stock, $0.0001 par value per share; 175,000,000 shares authorized as of December 31, 2014 and</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2015, and June 30, 2016 (unaudited); 3,013,723, 3,015,281 and 3,019,807 (unaudited) shares issued and</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7"/>
              </w:rPr>
              <w:t>outstanding as of December 31, 2014 and 2015, and June 30, 2016, respectively; 100,000,000 shares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authorized; 6,303,861 shares issued and outstanding, pro forma (unaudited)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7,120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10,983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(61,548)</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(79,731)</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(89,687)</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(89,544)</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980"/>
              <w:spacing w:after="0"/>
              <w:rPr>
                <w:sz w:val="20"/>
                <w:szCs w:val="20"/>
                <w:color w:val="auto"/>
              </w:rPr>
            </w:pPr>
            <w:r>
              <w:rPr>
                <w:rFonts w:ascii="Arial" w:cs="Arial" w:eastAsia="Arial" w:hAnsi="Arial"/>
                <w:sz w:val="16"/>
                <w:szCs w:val="16"/>
                <w:color w:val="auto"/>
              </w:rPr>
              <w:t>Total stockholders’ deficit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w w:val="90"/>
              </w:rPr>
              <w:t>(54,428)</w:t>
            </w:r>
          </w:p>
        </w:tc>
        <w:tc>
          <w:tcPr>
            <w:tcW w:w="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w w:val="90"/>
              </w:rPr>
              <w:t>(70,430)</w:t>
            </w:r>
          </w:p>
        </w:tc>
        <w:tc>
          <w:tcPr>
            <w:tcW w:w="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w w:val="90"/>
              </w:rPr>
              <w:t>(78,704)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(8,397)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17,775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10,961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13,696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center"/>
              <w:ind w:left="533"/>
              <w:spacing w:after="0" w:line="155"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Product sales (including related party sales of $3,191 and $3,472 for the years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ended December 31, 2014 and 2015, and $1,772 (unaudited) and $735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 for the six months ended June 30, 2015 and 2016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12,437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1300" w:type="dxa"/>
            <w:vAlign w:val="bottom"/>
            <w:gridSpan w:val="2"/>
          </w:tcPr>
          <w:p>
            <w:pPr>
              <w:jc w:val="right"/>
              <w:ind w:right="504"/>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26,546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12,654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12,568</w:t>
            </w:r>
          </w:p>
        </w:tc>
        <w:tc>
          <w:tcPr>
            <w:tcW w:w="100" w:type="dxa"/>
            <w:vAlign w:val="bottom"/>
          </w:tcPr>
          <w:p>
            <w:pPr>
              <w:spacing w:after="0"/>
              <w:rPr>
                <w:sz w:val="18"/>
                <w:szCs w:val="18"/>
                <w:color w:val="auto"/>
              </w:rPr>
            </w:pPr>
          </w:p>
        </w:tc>
        <w:tc>
          <w:tcPr>
            <w:tcW w:w="1300" w:type="dxa"/>
            <w:vAlign w:val="bottom"/>
            <w:gridSpan w:val="2"/>
          </w:tcPr>
          <w:p>
            <w:pPr>
              <w:jc w:val="right"/>
              <w:ind w:right="504"/>
              <w:spacing w:after="0"/>
              <w:rPr>
                <w:sz w:val="20"/>
                <w:szCs w:val="20"/>
                <w:color w:val="auto"/>
              </w:rPr>
            </w:pPr>
            <w:r>
              <w:rPr>
                <w:rFonts w:ascii="Arial" w:cs="Arial" w:eastAsia="Arial" w:hAnsi="Arial"/>
                <w:sz w:val="18"/>
                <w:szCs w:val="18"/>
                <w:color w:val="auto"/>
              </w:rPr>
              <w:t>5,231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7,423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12,664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21,126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9,642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4"/>
              <w:spacing w:after="0"/>
              <w:rPr>
                <w:sz w:val="20"/>
                <w:szCs w:val="20"/>
                <w:color w:val="auto"/>
              </w:rPr>
            </w:pPr>
            <w:r>
              <w:rPr>
                <w:rFonts w:ascii="Arial" w:cs="Arial" w:eastAsia="Arial" w:hAnsi="Arial"/>
                <w:sz w:val="18"/>
                <w:szCs w:val="18"/>
                <w:color w:val="auto"/>
              </w:rPr>
              <w:t>3,574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1,454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31,514</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14,670</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(17,536)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(7,247)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1300" w:type="dxa"/>
            <w:vAlign w:val="bottom"/>
            <w:gridSpan w:val="2"/>
          </w:tcPr>
          <w:p>
            <w:pPr>
              <w:jc w:val="right"/>
              <w:ind w:right="444"/>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(18,183</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580" w:type="dxa"/>
            <w:vAlign w:val="bottom"/>
          </w:tcPr>
          <w:p>
            <w:pPr>
              <w:jc w:val="right"/>
              <w:ind w:right="444"/>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(2.91)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Weighted-average shares used to compute net loss per common share, basic</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2,544,578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2,552,205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04"/>
              <w:spacing w:after="0"/>
              <w:rPr>
                <w:sz w:val="20"/>
                <w:szCs w:val="20"/>
                <w:color w:val="auto"/>
              </w:rPr>
            </w:pPr>
            <w:r>
              <w:rPr>
                <w:rFonts w:ascii="Arial" w:cs="Arial" w:eastAsia="Arial" w:hAnsi="Arial"/>
                <w:sz w:val="18"/>
                <w:szCs w:val="18"/>
                <w:color w:val="auto"/>
                <w:w w:val="87"/>
              </w:rPr>
              <w:t>2,552,185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2,555,397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Weighted-average shares used to compute pro forma net loss per share, basic</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and diluted (unaudited)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5,038,404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5,839,451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920" w:type="dxa"/>
            <w:vAlign w:val="bottom"/>
            <w:gridSpan w:val="6"/>
            <w:vMerge w:val="restart"/>
          </w:tcPr>
          <w:p>
            <w:pPr>
              <w:ind w:left="52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
                <w:szCs w:val="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92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9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top w:val="single" w:sz="8" w:color="CCEEFF"/>
            </w:tcBorders>
            <w:shd w:val="clear" w:color="auto" w:fill="CCEEFF"/>
          </w:tcPr>
          <w:p>
            <w:pPr>
              <w:jc w:val="right"/>
              <w:ind w:right="2748"/>
              <w:spacing w:after="0" w:line="142" w:lineRule="exact"/>
              <w:rPr>
                <w:sz w:val="20"/>
                <w:szCs w:val="20"/>
                <w:color w:val="auto"/>
              </w:rPr>
            </w:pPr>
            <w:r>
              <w:rPr>
                <w:rFonts w:ascii="Arial" w:cs="Arial" w:eastAsia="Arial" w:hAnsi="Arial"/>
                <w:sz w:val="14"/>
                <w:szCs w:val="14"/>
                <w:color w:val="auto"/>
                <w:w w:val="89"/>
              </w:rPr>
              <w:t>Balances at December 31, 2013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2,023,040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52,599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2,542,337</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6,172</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(51,365)</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(45,193)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80"/>
              <w:spacing w:after="0" w:line="149" w:lineRule="exact"/>
              <w:rPr>
                <w:sz w:val="20"/>
                <w:szCs w:val="20"/>
                <w:color w:val="auto"/>
              </w:rPr>
            </w:pPr>
            <w:r>
              <w:rPr>
                <w:rFonts w:ascii="Arial" w:cs="Arial" w:eastAsia="Arial" w:hAnsi="Arial"/>
                <w:sz w:val="14"/>
                <w:szCs w:val="14"/>
                <w:color w:val="auto"/>
              </w:rPr>
              <w:t>Issuance of Series B redeemable convertible stock</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385,641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10,027</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Conversion of convertible promissory notes</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77,518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2,016</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40" w:type="dxa"/>
            <w:vAlign w:val="bottom"/>
          </w:tcPr>
          <w:p>
            <w:pPr>
              <w:ind w:left="280"/>
              <w:spacing w:after="0" w:line="130" w:lineRule="exact"/>
              <w:rPr>
                <w:sz w:val="20"/>
                <w:szCs w:val="20"/>
                <w:color w:val="auto"/>
              </w:rPr>
            </w:pPr>
            <w:r>
              <w:rPr>
                <w:rFonts w:ascii="Arial" w:cs="Arial" w:eastAsia="Arial" w:hAnsi="Arial"/>
                <w:sz w:val="14"/>
                <w:szCs w:val="14"/>
                <w:color w:val="auto"/>
              </w:rPr>
              <w:t>Issuance of shares to GLOBALFOUNDRIES subject to vesting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ind w:left="420"/>
              <w:spacing w:after="0"/>
              <w:rPr>
                <w:sz w:val="20"/>
                <w:szCs w:val="20"/>
                <w:color w:val="auto"/>
              </w:rPr>
            </w:pPr>
            <w:r>
              <w:rPr>
                <w:rFonts w:ascii="Arial" w:cs="Arial" w:eastAsia="Arial" w:hAnsi="Arial"/>
                <w:sz w:val="14"/>
                <w:szCs w:val="14"/>
                <w:color w:val="auto"/>
              </w:rPr>
              <w:t>provisions</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461,538</w:t>
            </w: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9,848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40" w:type="dxa"/>
            <w:vAlign w:val="bottom"/>
          </w:tcPr>
          <w:p>
            <w:pPr>
              <w:ind w:left="280"/>
              <w:spacing w:after="0" w:line="130" w:lineRule="exact"/>
              <w:rPr>
                <w:sz w:val="20"/>
                <w:szCs w:val="20"/>
                <w:color w:val="auto"/>
              </w:rPr>
            </w:pPr>
            <w:r>
              <w:rPr>
                <w:rFonts w:ascii="Arial" w:cs="Arial" w:eastAsia="Arial" w:hAnsi="Arial"/>
                <w:sz w:val="14"/>
                <w:szCs w:val="14"/>
                <w:color w:val="auto"/>
              </w:rPr>
              <w:t>Compensation expense related to vesting of common stock issued to</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jc w:val="right"/>
              <w:ind w:right="2748"/>
              <w:spacing w:after="0"/>
              <w:rPr>
                <w:sz w:val="20"/>
                <w:szCs w:val="20"/>
                <w:color w:val="auto"/>
              </w:rPr>
            </w:pPr>
            <w:r>
              <w:rPr>
                <w:rFonts w:ascii="Arial" w:cs="Arial" w:eastAsia="Arial" w:hAnsi="Arial"/>
                <w:sz w:val="14"/>
                <w:szCs w:val="14"/>
                <w:color w:val="auto"/>
              </w:rPr>
              <w:t>GLOBALFOUNDRIES</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(10,183)</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jc w:val="right"/>
              <w:ind w:right="2748"/>
              <w:spacing w:after="0" w:line="149" w:lineRule="exact"/>
              <w:rPr>
                <w:sz w:val="20"/>
                <w:szCs w:val="20"/>
                <w:color w:val="auto"/>
              </w:rPr>
            </w:pPr>
            <w:r>
              <w:rPr>
                <w:rFonts w:ascii="Arial" w:cs="Arial" w:eastAsia="Arial" w:hAnsi="Arial"/>
                <w:sz w:val="14"/>
                <w:szCs w:val="14"/>
                <w:color w:val="auto"/>
                <w:w w:val="89"/>
              </w:rPr>
              <w:t>Balances at December 31, 2014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64,642</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3,013,723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7,120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(61,548)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8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1,558</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Compensation expense related to vesting of common stock issued to</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shd w:val="clear" w:color="auto" w:fill="CCEEFF"/>
          </w:tcPr>
          <w:p>
            <w:pPr>
              <w:jc w:val="right"/>
              <w:ind w:right="2748"/>
              <w:spacing w:after="0"/>
              <w:rPr>
                <w:sz w:val="20"/>
                <w:szCs w:val="20"/>
                <w:color w:val="auto"/>
              </w:rPr>
            </w:pPr>
            <w:r>
              <w:rPr>
                <w:rFonts w:ascii="Arial" w:cs="Arial" w:eastAsia="Arial" w:hAnsi="Arial"/>
                <w:sz w:val="14"/>
                <w:szCs w:val="14"/>
                <w:color w:val="auto"/>
              </w:rPr>
              <w:t>GLOBALFOUNDRIES</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1,761</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(18,183)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(18,183)</w:t>
            </w:r>
          </w:p>
        </w:tc>
        <w:tc>
          <w:tcPr>
            <w:tcW w:w="0" w:type="dxa"/>
            <w:vAlign w:val="bottom"/>
          </w:tcPr>
          <w:p>
            <w:pPr>
              <w:spacing w:after="0"/>
              <w:rPr>
                <w:sz w:val="1"/>
                <w:szCs w:val="1"/>
                <w:color w:val="auto"/>
              </w:rPr>
            </w:pPr>
          </w:p>
        </w:tc>
      </w:tr>
      <w:tr>
        <w:trPr>
          <w:trHeight w:val="156"/>
        </w:trPr>
        <w:tc>
          <w:tcPr>
            <w:tcW w:w="4660" w:type="dxa"/>
            <w:vAlign w:val="bottom"/>
            <w:gridSpan w:val="2"/>
          </w:tcPr>
          <w:p>
            <w:pPr>
              <w:jc w:val="right"/>
              <w:ind w:right="2748"/>
              <w:spacing w:after="0" w:line="155" w:lineRule="exact"/>
              <w:rPr>
                <w:sz w:val="20"/>
                <w:szCs w:val="20"/>
                <w:color w:val="auto"/>
              </w:rPr>
            </w:pPr>
            <w:r>
              <w:rPr>
                <w:rFonts w:ascii="Arial" w:cs="Arial" w:eastAsia="Arial" w:hAnsi="Arial"/>
                <w:sz w:val="14"/>
                <w:szCs w:val="14"/>
                <w:color w:val="auto"/>
                <w:w w:val="90"/>
              </w:rPr>
              <w:t>Balances at December 31, 2015</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2,486,199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64,642</w:t>
            </w:r>
          </w:p>
        </w:tc>
        <w:tc>
          <w:tcPr>
            <w:tcW w:w="1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3,015,281</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9,301</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(79,731)</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(70,430)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Issuance of common stock upon exercise of stock options (unaudited)</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4,526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40" w:type="dxa"/>
            <w:vAlign w:val="bottom"/>
          </w:tcPr>
          <w:p>
            <w:pPr>
              <w:ind w:left="280"/>
              <w:spacing w:after="0" w:line="130" w:lineRule="exact"/>
              <w:rPr>
                <w:sz w:val="20"/>
                <w:szCs w:val="20"/>
                <w:color w:val="auto"/>
              </w:rPr>
            </w:pPr>
            <w:r>
              <w:rPr>
                <w:rFonts w:ascii="Arial" w:cs="Arial" w:eastAsia="Arial" w:hAnsi="Arial"/>
                <w:sz w:val="14"/>
                <w:szCs w:val="14"/>
                <w:color w:val="auto"/>
              </w:rPr>
              <w:t>Compensation expense related to vesting of common stock issued to</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ind w:left="420"/>
              <w:spacing w:after="0"/>
              <w:rPr>
                <w:sz w:val="20"/>
                <w:szCs w:val="20"/>
                <w:color w:val="auto"/>
              </w:rPr>
            </w:pPr>
            <w:r>
              <w:rPr>
                <w:rFonts w:ascii="Arial" w:cs="Arial" w:eastAsia="Arial" w:hAnsi="Arial"/>
                <w:sz w:val="14"/>
                <w:szCs w:val="14"/>
                <w:color w:val="auto"/>
              </w:rPr>
              <w:t>GLOBALFOUNDRIES (unaudited)</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1,442</w:t>
            </w: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expense (unaudited)</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80"/>
              <w:spacing w:after="0" w:line="149" w:lineRule="exact"/>
              <w:rPr>
                <w:sz w:val="20"/>
                <w:szCs w:val="20"/>
                <w:color w:val="auto"/>
              </w:rPr>
            </w:pPr>
            <w:r>
              <w:rPr>
                <w:rFonts w:ascii="Arial" w:cs="Arial" w:eastAsia="Arial" w:hAnsi="Arial"/>
                <w:sz w:val="14"/>
                <w:szCs w:val="14"/>
                <w:color w:val="auto"/>
              </w:rPr>
              <w:t>Net loss (unaudited)</w:t>
            </w: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(9,956)</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June 30, 2016 (unaudited)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64,642</w:t>
            </w:r>
          </w:p>
        </w:tc>
        <w:tc>
          <w:tcPr>
            <w:tcW w:w="20" w:type="dxa"/>
            <w:vAlign w:val="bottom"/>
            <w:shd w:val="clear" w:color="auto" w:fill="000000"/>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3,019,807</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10,983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(89,687)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459" w:right="239" w:bottom="1440" w:gutter="0" w:footer="0" w:header="0"/>
        </w:sectPr>
      </w:pPr>
    </w:p>
    <w:p>
      <w:pPr>
        <w:spacing w:after="0" w:line="229" w:lineRule="exact"/>
        <w:rPr>
          <w:sz w:val="20"/>
          <w:szCs w:val="20"/>
          <w:color w:val="auto"/>
        </w:rPr>
      </w:pPr>
    </w:p>
    <w:p>
      <w:pPr>
        <w:ind w:left="704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20955</wp:posOffset>
            </wp:positionV>
            <wp:extent cx="12350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p>
    <w:p>
      <w:pPr>
        <w:ind w:left="7060"/>
        <w:spacing w:after="0"/>
        <w:tabs>
          <w:tab w:leader="none" w:pos="82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-3175</wp:posOffset>
            </wp:positionV>
            <wp:extent cx="4629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-3175</wp:posOffset>
            </wp:positionV>
            <wp:extent cx="4457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20955</wp:posOffset>
            </wp:positionV>
            <wp:extent cx="12865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-3175</wp:posOffset>
            </wp:positionV>
            <wp:extent cx="12865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b w:val="1"/>
          <w:bCs w:val="1"/>
          <w:color w:val="auto"/>
        </w:rPr>
        <w:t>(unaudited)</w:t>
      </w:r>
    </w:p>
    <w:p>
      <w:pPr>
        <w:spacing w:after="0" w:line="26" w:lineRule="exact"/>
        <w:rPr>
          <w:sz w:val="20"/>
          <w:szCs w:val="20"/>
          <w:color w:val="auto"/>
        </w:rPr>
      </w:pPr>
    </w:p>
    <w:p>
      <w:pPr>
        <w:sectPr>
          <w:pgSz w:w="11900" w:h="16838" w:orient="portrait"/>
          <w:cols w:equalWidth="0" w:num="2">
            <w:col w:w="8760" w:space="720"/>
            <w:col w:w="1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(10,183)</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(18,183)</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(7,421)</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1,340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677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186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Change in fair value of derivative liability</w:t>
            </w:r>
          </w:p>
        </w:tc>
        <w:tc>
          <w:tcPr>
            <w:tcW w:w="14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interest expense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Compensation expense related to vesting of common stock</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1,761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533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(579)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Amounts due from related parties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(884)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Amounts due to related parties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3,328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1,613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Deferred income on shipments to distributors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(7,938)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(10,670)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(6,587)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(1,295)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(666)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4"/>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convertible promissory notes-related party</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Proceeds from debt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8,000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8,000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Payments on debt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Payments on capital lease obligation</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Payments of deferred offering costs</w:t>
            </w:r>
          </w:p>
        </w:tc>
        <w:tc>
          <w:tcPr>
            <w:tcW w:w="14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convertible preferred stock</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60" w:type="dxa"/>
            <w:vAlign w:val="bottom"/>
            <w:gridSpan w:val="2"/>
          </w:tcPr>
          <w:p>
            <w:pPr>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13,712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4,759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(7,317)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(2,494)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4,375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9,624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9,624</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2,307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7,130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Supplementary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 under 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6"/>
                <w:szCs w:val="16"/>
                <w:color w:val="auto"/>
              </w:rPr>
              <w:t>Conversion of convertible promissory notes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60" w:type="dxa"/>
            <w:vAlign w:val="bottom"/>
            <w:gridSpan w:val="2"/>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16"/>
                <w:szCs w:val="16"/>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Issuance of warrants with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60" w:type="dxa"/>
            <w:vAlign w:val="bottom"/>
            <w:gridSpan w:val="2"/>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Everspin Technologies, Inc. (the “Company”) was incorporated in Delaware on May 16, 2008. The Company’s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to Raise Additional Capital and Going Concern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which contemplates continuity of operations, the realization of assets and the satisfaction of liabilities and commitments in the normal course of business for the twelve month period following the date of these financial statements. The accompanying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has incurred net losses from operations since its inception and had an accumulated deficit of $79.7 million and $89.7 million (unaudited) as of December 31, 2015, and June 30, 2016, respectively. At December 31, 2015, and June 30, 2016, the Company’s total liquidity to fund operations was</w:t>
      </w:r>
    </w:p>
    <w:p>
      <w:pPr>
        <w:ind w:right="80"/>
        <w:spacing w:after="0" w:line="285" w:lineRule="auto"/>
        <w:rPr>
          <w:sz w:val="20"/>
          <w:szCs w:val="20"/>
          <w:color w:val="auto"/>
        </w:rPr>
      </w:pPr>
      <w:r>
        <w:rPr>
          <w:rFonts w:ascii="Arial" w:cs="Arial" w:eastAsia="Arial" w:hAnsi="Arial"/>
          <w:sz w:val="16"/>
          <w:szCs w:val="16"/>
          <w:color w:val="auto"/>
        </w:rPr>
        <w:t>$6.3 million and $5.5 million (unaudited), respectively, which consisted of cash and cash equivalent balances of $2.3 million and $2.6 million (unaudited), respectively, and availability under the Company’s revolving loan of $4.0 million and $2.9 million (unaudited), respectively. The ability to access the revolving loan is dependent upon levels of accounts receivable, thus the full $4.0 million may not be available. The Company expects to incur additional losses and negative operating cash flows and, as a result, it will require additional capital to fund its operations and to execute its business plan. Management plans to finance its operations in the future with equity and debt financing arrangements. However, if capital is not available at adequate levels or on acceptable terms, management believes that planned expenditures may need to be reduced, extending the time period over which the currently available resources will be adequate to fund the Company’s operations. In January 2016, the Company issued convertible promissory notes to its stockholders for $5.0 million in cash and drew down $1.5 million from its revolving credit facility (see Notes 5, 9 and 13). In addition, in August 2016, the Company issued $3.5 million principal amount of subordinated convertible promissory notes to its stockholders (see Note 14). Nevertheless, additional capital will be needed to meet the operating requirements of the Company throughout 2016 and beyond. The circumstances and events described above raise substantial doubt as to whether the Company will be able to continue as a going concern for a reasonable period of time. Based upon the Company’s current financial condition as discussed above, management believes that additional or replacement debt or equity capital will need to be raised in order for the Company to continue to operate as a going concern and to avoid filing for protection under the U.S. Bankruptcy Code.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The preparation of the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liabilities, inventory, income taxes, redeemable convertible preferred stock and related warrants, common stock, and stock-based compensation. Actual results could differ from those estimates and assumptions.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accompanying balance sheet as of June 30, 2016, the statements of operations and comprehensive loss and cash flows for the six months ended June 30, 2015 and 2016, and the statement of redeemable convertible preferred stock and stockholders’ deficit as of June 30, 2016, are unaudited. The financial data and other information disclosed in these notes to the financial statements related to June 30, 2016, and the six months ended June 30, 2015 and 2016, are also unaudited. The unaudited interim financial statements have been prepared on the same basis as the annual financial statements and, in the opinion of management, reflect all adjustments, which include only normal recurring adjustments, necessary to state fairly the Company’s financial position as of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June 30, 2016, and the results of its operations and cash flows for the six months ended June 30, 2015 and 2016. The results for the six months ended June 30, 2016, are not necessarily indicative of results to be expected for the year ending December 31, 2016, or for any annual or interim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unaudited pro forma financial information as June 30, 2016 presents the Company’s balance sheet information as though all of the Company’s outstanding redeemable convertible preferred stock and the outstanding balance of the convertible promissory notes had converted into shares of common stock upon the completion of a qualifying initial public offering of the Company’s common stock (an “IPO”). In addition, the pro forma balance sheet information assumes the reclassification of the redeemable convertible preferred stock warrant liability to stockholders’ deficit upon completion of an IPO, as the warrants to purchase redeemable convertible preferred stock will be converted into warrants to purchase common stock. The unaudited pro forma balance sheet information does not assume any proceeds from the proposed IPO.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chief operating decision maker is its Chief Executive Officer. The Company operates its business as one operating segment for purposes of assessing performance and making operating decisions. All of the Company’s assets are maintained in the United States. The Company derives its revenue from domestic and international markets, based on the billing address of the customer.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considers all highly liquid, short-term investments with remaining maturity dates of three months or less at the date of purchase to be cash equivalents. The Company’s cash equivalents consist of money market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are charged off against the allowance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after all means of collection have been exhausted and the potential for recovery is considered remote. At December 31, 2014 and 2015, and June 30, 2016 (unaudited), there was no allowance for doubtful accounts.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establishes an allowance for product returns. The Company analyzes historical returns, current economic trends and changes in customer demand and acceptance of products when evaluating the adequacy of sales returns. As the returns are processed as credits on future purchases, the allowance is recorded against the balance of trade accounts receivable. The allowance was $206,000, $344,000 and $190,000 (unaudited) at December 31, 2014 and 2015, and June 30,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Significant customers are those which represent more than 10% of the Company’s total revenue or gross accounts receivable balance at each respective balance sheet date. For each significant customer, revenue as a percentage of total revenue and accounts receivable as a percentage of total accounts receivable, net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right"/>
              <w:ind w:right="1360"/>
              <w:spacing w:after="0"/>
              <w:rPr>
                <w:sz w:val="20"/>
                <w:szCs w:val="20"/>
                <w:color w:val="auto"/>
              </w:rPr>
            </w:pPr>
            <w:r>
              <w:rPr>
                <w:rFonts w:ascii="Arial" w:cs="Arial" w:eastAsia="Arial" w:hAnsi="Arial"/>
                <w:sz w:val="14"/>
                <w:szCs w:val="14"/>
                <w:b w:val="1"/>
                <w:bCs w:val="1"/>
                <w:color w:val="auto"/>
                <w:w w:val="89"/>
              </w:rPr>
              <w:t>Revenue</w:t>
            </w:r>
          </w:p>
        </w:tc>
        <w:tc>
          <w:tcPr>
            <w:tcW w:w="1480" w:type="dxa"/>
            <w:vAlign w:val="bottom"/>
          </w:tcPr>
          <w:p>
            <w:pPr>
              <w:jc w:val="center"/>
              <w:ind w:left="457"/>
              <w:spacing w:after="0"/>
              <w:rPr>
                <w:sz w:val="20"/>
                <w:szCs w:val="20"/>
                <w:color w:val="auto"/>
              </w:rPr>
            </w:pPr>
            <w:r>
              <w:rPr>
                <w:rFonts w:ascii="Arial" w:cs="Arial" w:eastAsia="Arial" w:hAnsi="Arial"/>
                <w:sz w:val="14"/>
                <w:szCs w:val="14"/>
                <w:b w:val="1"/>
                <w:bCs w:val="1"/>
                <w:color w:val="auto"/>
                <w:w w:val="92"/>
              </w:rPr>
              <w:t>Revenue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3"/>
              </w:rPr>
              <w:t>Accounts Receivable, net</w:t>
            </w:r>
          </w:p>
        </w:tc>
        <w:tc>
          <w:tcPr>
            <w:tcW w:w="0" w:type="dxa"/>
            <w:vAlign w:val="bottom"/>
          </w:tcPr>
          <w:p>
            <w:pPr>
              <w:spacing w:after="0"/>
              <w:rPr>
                <w:sz w:val="1"/>
                <w:szCs w:val="1"/>
                <w:color w:val="auto"/>
              </w:rPr>
            </w:pPr>
          </w:p>
        </w:tc>
      </w:tr>
      <w:tr>
        <w:trPr>
          <w:trHeight w:val="142"/>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196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2"/>
                <w:szCs w:val="12"/>
                <w:color w:val="auto"/>
              </w:rPr>
            </w:pPr>
          </w:p>
        </w:tc>
        <w:tc>
          <w:tcPr>
            <w:tcW w:w="20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620" w:type="dxa"/>
            <w:vAlign w:val="bottom"/>
          </w:tcPr>
          <w:p>
            <w:pPr>
              <w:spacing w:after="0"/>
              <w:rPr>
                <w:sz w:val="12"/>
                <w:szCs w:val="12"/>
                <w:color w:val="auto"/>
              </w:rPr>
            </w:pPr>
          </w:p>
        </w:tc>
        <w:tc>
          <w:tcPr>
            <w:tcW w:w="2200" w:type="dxa"/>
            <w:vAlign w:val="bottom"/>
            <w:tcBorders>
              <w:top w:val="single" w:sz="8" w:color="auto"/>
            </w:tcBorders>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As of December 31,</w:t>
            </w: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1480" w:type="dxa"/>
            <w:vAlign w:val="bottom"/>
            <w:tcBorders>
              <w:top w:val="single" w:sz="8" w:color="auto"/>
            </w:tcBorders>
          </w:tcPr>
          <w:p>
            <w:pPr>
              <w:jc w:val="right"/>
              <w:ind w:right="977"/>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Borders>
              <w:top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Borders>
              <w:top w:val="single" w:sz="8" w:color="auto"/>
            </w:tcBorders>
          </w:tcPr>
          <w:p>
            <w:pPr>
              <w:jc w:val="center"/>
              <w:ind w:left="477"/>
              <w:spacing w:after="0" w:line="142" w:lineRule="exact"/>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4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13</w:t>
            </w:r>
          </w:p>
        </w:tc>
        <w:tc>
          <w:tcPr>
            <w:tcW w:w="1480" w:type="dxa"/>
            <w:vAlign w:val="bottom"/>
          </w:tcPr>
          <w:p>
            <w:pPr>
              <w:jc w:val="right"/>
              <w:ind w:right="817"/>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1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17"/>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G</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Inventories are valued at the lower of cost, using the first-in, first-out or specific identification method, or market. The carrying value of inventory is adjusted for excess and obsolete inventory based on inventory age, shipment history and the forecast of demand over a specific future period. At the point of loss recognition, a new lower cost basis for that inventory is established and subsequent changes in facts and circumstances do not result in the restoration or increase in that new cost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Deferred offering costs, primarily consisting of legal, accounting, printer and other direct fees and costs relating to the proposed initial public offering, are capitalized. The deferred offering costs will be offset against the Company’s planned initial public offering proceeds upon the closing of the offering. In the event the offering is terminated, all of the deferred offering costs will be expensed. As of June 30, 2016, the Company capitalized $1.6 million (unaudited) of deferred offering costs on the balance sheets. No costs were capitalized as of December 31, 2015.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market prices included in Level 1) are either directly or indirectly observable for the asset or liability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at the measurement date and for the duration of the instrument’s anticipated life.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reflect management’s best estimate of what market participants would use in pricing the asset or liability at the measurement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carrying value of accounts receivable, accounts payable, and other accruals readily convertible into cash approximate fair value because of the short-term nature of the instruments. The carrying value of the Company’s variable interest rate debt, excluding unamortized debt issuance costs, approximates fair value. The Company’s financial instruments consist of Level 1 assets and Level 3 liabilities. Where quoted prices are available in an active market, securities are classified as Level 1. Level 1 assets consist primarily of highly liquid money market funds that are included in cash equivalents. Level 3 liabilities consist of the redeemable convertible preferred stock warrant liability. Generally, increases or decreases in the fair value of the underlying redeemable convertible preferred stock would result in a directionally similar impact in the fair value measurement of the warrant liability.</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1</w:t>
            </w:r>
          </w:p>
        </w:tc>
        <w:tc>
          <w:tcPr>
            <w:tcW w:w="5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58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Money market funds</w:t>
            </w:r>
          </w:p>
        </w:tc>
        <w:tc>
          <w:tcPr>
            <w:tcW w:w="2700" w:type="dxa"/>
            <w:vAlign w:val="bottom"/>
            <w:gridSpan w:val="3"/>
          </w:tcPr>
          <w:p>
            <w:pPr>
              <w:ind w:left="2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6,492</w:t>
            </w:r>
          </w:p>
        </w:tc>
        <w:tc>
          <w:tcPr>
            <w:tcW w:w="5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700" w:type="dxa"/>
            <w:vAlign w:val="bottom"/>
            <w:gridSpan w:val="3"/>
            <w:shd w:val="clear" w:color="auto" w:fill="CCEEFF"/>
          </w:tcPr>
          <w:p>
            <w:pPr>
              <w:ind w:left="2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6,492</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6,492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6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 liabilities measured at fair value</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$ 145</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1</w:t>
            </w:r>
          </w:p>
        </w:tc>
        <w:tc>
          <w:tcPr>
            <w:tcW w:w="5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58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Money market funds</w:t>
            </w:r>
          </w:p>
        </w:tc>
        <w:tc>
          <w:tcPr>
            <w:tcW w:w="2700" w:type="dxa"/>
            <w:vAlign w:val="bottom"/>
            <w:gridSpan w:val="3"/>
          </w:tcPr>
          <w:p>
            <w:pPr>
              <w:ind w:left="2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2,354</w:t>
            </w:r>
          </w:p>
        </w:tc>
        <w:tc>
          <w:tcPr>
            <w:tcW w:w="5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700" w:type="dxa"/>
            <w:vAlign w:val="bottom"/>
            <w:gridSpan w:val="3"/>
            <w:shd w:val="clear" w:color="auto" w:fill="CCEEFF"/>
          </w:tcPr>
          <w:p>
            <w:pPr>
              <w:ind w:left="2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2,354</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2,354</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6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$ 437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 liabilities measured at fair value</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$ 437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60" w:type="dxa"/>
            <w:vAlign w:val="bottom"/>
            <w:gridSpan w:val="2"/>
          </w:tcPr>
          <w:p>
            <w:pPr>
              <w:ind w:left="500"/>
              <w:spacing w:after="0"/>
              <w:rPr>
                <w:sz w:val="20"/>
                <w:szCs w:val="20"/>
                <w:color w:val="auto"/>
              </w:rPr>
            </w:pPr>
            <w:r>
              <w:rPr>
                <w:rFonts w:ascii="Arial" w:cs="Arial" w:eastAsia="Arial" w:hAnsi="Arial"/>
                <w:sz w:val="18"/>
                <w:szCs w:val="18"/>
                <w:color w:val="auto"/>
              </w:rPr>
              <w:t>F-10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2"/>
              </w:rPr>
              <w:t>June 30, 2016</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1</w:t>
            </w: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Money market funds</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3,009</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3,009</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3,009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Derivative liability</w:t>
            </w: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liability, the Company’s Level 3 financial liability, which is measured on a recurring basis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$145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Issuance of redeemable convertible preferred stock warrants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106</w:t>
            </w:r>
          </w:p>
        </w:tc>
        <w:tc>
          <w:tcPr>
            <w:tcW w:w="6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key assumptions used in the Black-Scholes option-pricing model for the valuation of the redeemable convertible preferred stock warrants were: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Year Ended December 31,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107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0"/>
              </w:rPr>
              <w:t>– 53.8%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52.9%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45.7 –</w:t>
            </w:r>
          </w:p>
        </w:tc>
        <w:tc>
          <w:tcPr>
            <w:tcW w:w="11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0"/>
              </w:rPr>
              <w:t>51.8%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41.5 – 52.5%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8"/>
                <w:szCs w:val="18"/>
                <w:color w:val="auto"/>
              </w:rPr>
              <w:t>1.81</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w w:val="90"/>
              </w:rPr>
              <w:t>– 2.17%</w:t>
            </w: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2.27%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 –</w:t>
            </w:r>
          </w:p>
        </w:tc>
        <w:tc>
          <w:tcPr>
            <w:tcW w:w="1180" w:type="dxa"/>
            <w:vAlign w:val="bottom"/>
          </w:tcPr>
          <w:p>
            <w:pPr>
              <w:jc w:val="right"/>
              <w:ind w:right="614"/>
              <w:spacing w:after="0"/>
              <w:rPr>
                <w:sz w:val="20"/>
                <w:szCs w:val="20"/>
                <w:color w:val="auto"/>
              </w:rPr>
            </w:pPr>
            <w:r>
              <w:rPr>
                <w:rFonts w:ascii="Arial" w:cs="Arial" w:eastAsia="Arial" w:hAnsi="Arial"/>
                <w:sz w:val="18"/>
                <w:szCs w:val="18"/>
                <w:color w:val="auto"/>
                <w:w w:val="90"/>
              </w:rPr>
              <w:t>2.27%</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1.33 – 1.98%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7"/>
              </w:rPr>
              <w:t>6 – 10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5 – 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85"/>
              </w:rPr>
              <w:t>– 10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 – 9.0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Exercise price</w:t>
            </w:r>
          </w:p>
        </w:tc>
        <w:tc>
          <w:tcPr>
            <w:tcW w:w="440" w:type="dxa"/>
            <w:vAlign w:val="bottom"/>
          </w:tcPr>
          <w:p>
            <w:pPr>
              <w:jc w:val="right"/>
              <w:ind w:right="278"/>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26.00</w:t>
            </w:r>
          </w:p>
        </w:tc>
        <w:tc>
          <w:tcPr>
            <w:tcW w:w="900" w:type="dxa"/>
            <w:vAlign w:val="bottom"/>
          </w:tcPr>
          <w:p>
            <w:pPr>
              <w:spacing w:after="0"/>
              <w:rPr>
                <w:sz w:val="18"/>
                <w:szCs w:val="18"/>
                <w:color w:val="auto"/>
              </w:rPr>
            </w:pPr>
          </w:p>
        </w:tc>
        <w:tc>
          <w:tcPr>
            <w:tcW w:w="420" w:type="dxa"/>
            <w:vAlign w:val="bottom"/>
          </w:tcPr>
          <w:p>
            <w:pPr>
              <w:jc w:val="right"/>
              <w:ind w:right="258"/>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26.00</w:t>
            </w:r>
          </w:p>
        </w:tc>
        <w:tc>
          <w:tcPr>
            <w:tcW w:w="5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74"/>
              <w:spacing w:after="0"/>
              <w:rPr>
                <w:sz w:val="20"/>
                <w:szCs w:val="20"/>
                <w:color w:val="auto"/>
              </w:rPr>
            </w:pPr>
            <w:r>
              <w:rPr>
                <w:rFonts w:ascii="Arial" w:cs="Arial" w:eastAsia="Arial" w:hAnsi="Arial"/>
                <w:sz w:val="18"/>
                <w:szCs w:val="18"/>
                <w:color w:val="auto"/>
              </w:rPr>
              <w:t>26.00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derivative liability, the Company’s Level 3 financial liability, which is measured on a recurring basis (in thousands):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Issuance of derivative liability (unaudited)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(unaudited)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Ending balance (unaudited)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estimates the fair value of the derivative liability using a with- and without-model and the probability-weighted expected return method, which estimates a discounted value based upon analyses of various future outcomes, such as an equity financing with proceeds greater than $5.0 million, an IPO, a merger or sale,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staying private. The with- and without-model calculates the value of the Company’s convertible debt with the features being evaluated for separate accounting, and an identical instrument without those features. The outcomes of each scenario in the probability-weighted expected return method are based upon a market multiple approach, that involves various market multiples and projected financial information, as well as option-pricing models, to reflect optionality within features of the convertible debt instrument. The change in fair value is recognized as a gain or loss in the other income (expense), net line on the statements of operations and comprehensive loss. See below and Note 9 for additional information regarding the derivative liability in connection with the convertible promissory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8"/>
                <w:szCs w:val="18"/>
                <w:color w:val="auto"/>
              </w:rPr>
              <w:t>Computer and network equipment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95"/>
        </w:trPr>
        <w:tc>
          <w:tcPr>
            <w:tcW w:w="6640" w:type="dxa"/>
            <w:vAlign w:val="bottom"/>
            <w:vMerge w:val="continue"/>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0" w:type="dxa"/>
            <w:vAlign w:val="bottom"/>
          </w:tcPr>
          <w:p>
            <w:pPr>
              <w:jc w:val="right"/>
              <w:spacing w:after="0"/>
              <w:rPr>
                <w:sz w:val="20"/>
                <w:szCs w:val="20"/>
                <w:color w:val="auto"/>
              </w:rPr>
            </w:pPr>
            <w:r>
              <w:rPr>
                <w:rFonts w:ascii="Arial" w:cs="Arial" w:eastAsia="Arial" w:hAnsi="Arial"/>
                <w:sz w:val="18"/>
                <w:szCs w:val="18"/>
                <w:color w:val="auto"/>
              </w:rPr>
              <w:t>2 – 7 years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Software</w:t>
            </w:r>
          </w:p>
        </w:tc>
        <w:tc>
          <w:tcPr>
            <w:tcW w:w="100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Leasehold improvements are amortized over the shorter of the lease term or useful life. Upon sale or retirement of assets, the cost and related accumulated depreciation are removed from the balance sheet and the resulting gain or loss is reflected in operations. Amortization expense of assets acquired through capital leases is included in depreciation and amortization expense in the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the asset is expected to generate over its remaining life. If the asset is considered to be impaired, the amount of any impairment is measured as the difference between the carrying value and the fair value of the impaired asset. There have been no impairments of the Company’s long-lived assets during any of the periods presented.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Intangible assets consist of the cost of acquired technology for use in research and development activities. Costs associated with patent applications, patent prosecution, patent defense and maintenance of patents are charged to expense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Warrants for shares that are contingently redeemable are classified as liabilities on the balance sheet at their estimated fair value because the shares underlying the warrants may obligate the Company to transfer assets to the holders at a future date under certain circumstances such as a deemed liquidation event. The warrants are subject to re-measurement at each balance sheet date and the change in fair value, if any, is recognized as other income (expense), net in the statements of operations. The Company will continue to adjust the liability for changes in fair value until the earlier of (i) exercise or expiration of the warrants, or (ii) the completion of an IPO, at which time all redeemable convertible preferred stock warrants will be converted into warrants to purchase common stock and the liability will be reclassified to additional paid-in capital.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1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convertible promissory notes contain certain redemption features that meet the definition of a derivative. The redemption of the convertible promissory notes upon an equity financing with proceeds in excess of $5.0 million and in the event of an IPO are contingent redemption features that are not clearly and closely related to the debt instrument and have been bifurcated and recognized as a derivative liability on the balance sheet as of June 30, 2016. The derivative liability is subject to re-measurement at each balance sheet date and the change in fair value, if any, is recognized as other income (expense), net in the statements of operations and comprehensive loss. The Company will continue to adjust the liability for changes in fair value until the earlier of:</w:t>
      </w:r>
    </w:p>
    <w:p>
      <w:pPr>
        <w:spacing w:after="0" w:line="2" w:lineRule="exact"/>
        <w:rPr>
          <w:sz w:val="20"/>
          <w:szCs w:val="20"/>
          <w:color w:val="auto"/>
        </w:rPr>
      </w:pPr>
    </w:p>
    <w:p>
      <w:pPr>
        <w:ind w:right="200" w:firstLine="8"/>
        <w:spacing w:after="0" w:line="261"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maturity of the convertible promissory notes; (ii) the completion of an IPO; or (iii) the completion of an equity financing with proceeds in excess of $5.0 million; or (iv) the optional conversion into Series B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Company recognizes revenue when the following criteria are met: persuasive evidence of an arrangement exists; the price is fixed or determinable; delivery has occurred and title passed; and collectibility is reasonably assured. For sales to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58"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December 31, 2014, the Company had $3.4 million of deferred revenue and $1.6 million of deferred cost of sales recognized as $1.8 million of deferred income on shipments to distributors. At December 31, 2015,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Company had $2.6 million of deferred revenue and $1.2 million of deferred cost of sales recognized as $1.4 million of deferred income on shipments to distributors. At June 30, 2016, the Company had $3.0 million (unaudited) of deferred revenue and $1.4 million (unaudited) of deferred cost of sales recognized as $1.6 million (unaudited) of deferred income on shipments to distributors.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7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 December 31, 2014 and 2015, and June 30, 2016 (unaudited), as the estimated future warranty costs were insignificant based on the Company’s historical experience.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Research and development expenses are incurred in support of internal development programs or as part of our joint development agreement with GLOBALFOUNDRIES (see Note 9).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measures its stock-based awards made to employees based on the estimated fair values of the awards as of the grant date using the Black-Scholes option-pricing model.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non-employees is periodically remeasured as the underlying options vest.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Comprehensive loss represents all changes in stockholders’ deficit except those resulting from and distributions to stockholders. The Company’s comprehensive loss was equal to its net loss for the years ended December 31, 2014 and 2015, and for the six months ended June 30, 2015 and 2016 (unaudited).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without consideration of potentially dilutive securities. Diluted net loss per common share is the same as basic net loss per common share since the effect of potentially dilutive securities is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unaudited pro forma basic and diluted net loss per share has been computed to give effect to the conversion of the shares of redeemable convertible preferred stock into common stock as if such conversion had occurred at the earlier of the beginning of the period or the date of issuance, if later. Also, the numerator in the pro forma basic and diluted net loss per share calculation has been adjusted to remove gains or losses resulting from the remeasurement of the redeemable convertible preferred stock warrant liability as it will be reclassified to additional paid-in capital upon the completion of an IPO of the Company’s common stock. The unaudited pro forma net loss per share does not include the shares to be sold and related proceeds to be received from an IPO.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which supersedes all existing revenue recognition requirements, including most industry-specific guidance. The new standard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to recognize revenue when it transfers goods or services to customers in an amount that reflects the consideration that the company expects to receive for those goods or services. In August 2015, the FASB issued an accounting update to defer the effective date by one year such that it is now applicable for annual periods beginning after December 15, 2018. The Company is currently evaluating the potential impact of the adoption of this standard on its financial statements.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Disclosure of Uncertainties about an Entity’s</w:t>
      </w:r>
      <w:r>
        <w:rPr>
          <w:rFonts w:ascii="Arial" w:cs="Arial" w:eastAsia="Arial" w:hAnsi="Arial"/>
          <w:sz w:val="18"/>
          <w:szCs w:val="18"/>
          <w:color w:val="auto"/>
        </w:rPr>
        <w:t xml:space="preserve"> </w:t>
      </w:r>
      <w:r>
        <w:rPr>
          <w:rFonts w:ascii="Arial" w:cs="Arial" w:eastAsia="Arial" w:hAnsi="Arial"/>
          <w:sz w:val="18"/>
          <w:szCs w:val="18"/>
          <w:i w:val="1"/>
          <w:iCs w:val="1"/>
          <w:color w:val="auto"/>
        </w:rPr>
        <w:t>Ability to Continue as a Going Concern</w:t>
      </w:r>
      <w:r>
        <w:rPr>
          <w:rFonts w:ascii="Arial" w:cs="Arial" w:eastAsia="Arial" w:hAnsi="Arial"/>
          <w:sz w:val="18"/>
          <w:szCs w:val="18"/>
          <w:color w:val="auto"/>
        </w:rPr>
        <w:t>. This new standard gives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company’s management the final responsibilities to decide whether there is substantial doubt about the company’s ability to continue as a going concern and to provide related footnote disclosures. The standard provides guidance to management, with principles and definitions that are intended to reduce diversity in the timing and content of disclosures that companies commonly provide in their footnotes. Under the new standard, management must decide whether there are conditions or events, considered in the aggregate, that raise substantial doubt about the company’s ability to continue as a going concern within one year after the date that the financial statements are issued, or within one year after the date that the financial statements are available to be issued when applicable. This guidance is effective for annual periods ending after December 15, 2016, and interim periods within annual periods beginning after December 31, 2016. Early adoption is permitted. The adoption of this standard is not expected to have a material impact on the Company’s financial statements and related disclosures.</w:t>
      </w:r>
    </w:p>
    <w:p>
      <w:pPr>
        <w:spacing w:after="0" w:line="19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Simplifying the Presentation of Debt Issuance Costs</w:t>
      </w:r>
      <w:r>
        <w:rPr>
          <w:rFonts w:ascii="Arial" w:cs="Arial" w:eastAsia="Arial" w:hAnsi="Arial"/>
          <w:sz w:val="16"/>
          <w:szCs w:val="16"/>
          <w:color w:val="auto"/>
        </w:rPr>
        <w:t>, which requires that the debt issuance costs related to a recognized debt liability be presented on the balance sheet as a direct deduction from the carrying amount of that debt liability, consistent with debt discounts. This ASU is effective retrospectively for fiscal years and interim periods within those years beginning after December 15, 2015. Early adoption is permitted and the Company has elected to early adopt this guidance retrospectively on January 1, 2014.</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The adoption of this standard is not expected to have a material impact on the Company’s financial statements.</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November 2015,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The adoption of this standard is not expected to have a material impact on the Company’s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establishes a comprehensive new lease accounting model. The new standard:</w:t>
      </w:r>
    </w:p>
    <w:p>
      <w:pPr>
        <w:spacing w:after="0" w:line="35" w:lineRule="exact"/>
        <w:rPr>
          <w:sz w:val="20"/>
          <w:szCs w:val="20"/>
          <w:color w:val="auto"/>
        </w:rPr>
      </w:pPr>
    </w:p>
    <w:p>
      <w:pPr>
        <w:ind w:right="100" w:firstLine="8"/>
        <w:spacing w:after="0" w:line="302" w:lineRule="auto"/>
        <w:tabs>
          <w:tab w:leader="none" w:pos="245" w:val="left"/>
        </w:tabs>
        <w:numPr>
          <w:ilvl w:val="0"/>
          <w:numId w:val="81"/>
        </w:numPr>
        <w:rPr>
          <w:rFonts w:ascii="Arial" w:cs="Arial" w:eastAsia="Arial" w:hAnsi="Arial"/>
          <w:sz w:val="16"/>
          <w:szCs w:val="16"/>
          <w:color w:val="auto"/>
        </w:rPr>
      </w:pPr>
      <w:r>
        <w:rPr>
          <w:rFonts w:ascii="Arial" w:cs="Arial" w:eastAsia="Arial" w:hAnsi="Arial"/>
          <w:sz w:val="16"/>
          <w:szCs w:val="16"/>
          <w:color w:val="auto"/>
        </w:rPr>
        <w:t>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The Company is currently evaluating the impact that the adoption of ASU 2016-02 will have on its financial statements and related disclosures.</w:t>
      </w:r>
    </w:p>
    <w:p>
      <w:pPr>
        <w:spacing w:after="0" w:line="155"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is intended to simplify several aspects of the accounting for employee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the determination of forfeiture rates, classification of awards as either equity or liabilities, and classification on the statement of cash flows. This ASU is effective for fiscal years and interim periods within those years beginning after December 15, 2016, and early adoption is permitted. The Company is currently evaluating the impact that the adoption of ASU 2016-09 will have on its financial statements and related disclosures.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which is intended to provide financial statement users with more useful information about expected credit losses on financial assets held by a reporting entity at each reporting date. The new standard replaces the existing incurred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impairment methodology with a methodology that requires consideration of a broader range of reasonable and supportable forward-looking information to estimate all expected credit losses. The amended guidance is effective for fiscal years and interim periods within those years beginning after December 15, 2019, and early adoption is permitted. The Company is currently evaluating the impact that the adoption of ASU 2016-13 will have on its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210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361</w:t>
            </w:r>
          </w:p>
        </w:tc>
        <w:tc>
          <w:tcPr>
            <w:tcW w:w="3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Work-in-process</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2,308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3,745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4,176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$ 7,065</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$ 8,256</w:t>
            </w:r>
          </w:p>
        </w:tc>
        <w:tc>
          <w:tcPr>
            <w:tcW w:w="3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Software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8,014</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9,226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5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(7,572)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$ 1,118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$ 1,654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during the years ended December 31, 2014 and 2015, was $1.3 million and $1.2 million, respectively, and $587,000 (unaudited) and $314,000 (unaudited) for the six months ended June 30, 2015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2008, the Company spun-out of Freescale Semiconductor, Inc. (“Freescale,” a wholly-owned subsidiary of NXP Semiconductors N.V.) and acquired certain intellectual property assets and related licenses used in the MRAM business of Freescale. The value assigned to these acquired intangible assets was $910,000. Intangible assets, net consists of the following (in thousands):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3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$ 910</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$ 910</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(628)</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r>
      <w:tr>
        <w:trPr>
          <w:trHeight w:val="27"/>
        </w:trPr>
        <w:tc>
          <w:tcPr>
            <w:tcW w:w="3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3060" w:type="dxa"/>
            <w:vAlign w:val="bottom"/>
            <w:gridSpan w:val="3"/>
          </w:tcPr>
          <w:p>
            <w:pPr>
              <w:jc w:val="right"/>
              <w:ind w:right="1780"/>
              <w:spacing w:after="0"/>
              <w:rPr>
                <w:sz w:val="20"/>
                <w:szCs w:val="20"/>
                <w:color w:val="auto"/>
              </w:rPr>
            </w:pPr>
            <w:r>
              <w:rPr>
                <w:rFonts w:ascii="Arial" w:cs="Arial" w:eastAsia="Arial" w:hAnsi="Arial"/>
                <w:sz w:val="18"/>
                <w:szCs w:val="18"/>
                <w:color w:val="auto"/>
              </w:rPr>
              <w:t>F-17</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Amortization expense was $182,000 and $150,000 for the years ended December 31, 2014 and 2015, respectively, and $90,000 (unaudited) and $66,000 (unaudited) for the six months ended June 30, 2015 and 2016, respectively. The carrying value of the intangible assets will be fully amortized during the year ending December 31,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Accrued manufacturing-related costs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licensing revenue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Deferred rent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commissions payable to sales representatives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7"/>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1,327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4"/>
              </w:rPr>
              <w:t>1,755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w:t>
            </w: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leases office space for its corporate headquarters located in Chandler, Arizona and for its design facility located in Austin, Texas. The leases expire in October 2018 and September 2016, respectively. Rent expense is recognized on a straight-line basis over the term of the leases and accordingly, the Company records the difference between cash rent payments and the recognition of rent expense as a deferred rent liability.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an operating lease for its Arizona manufacturing facility lease, as amended, for certain of the fabrication, laboratory and office premises of Freescale, a related party. This lease is cancellable upon 24 months’ notice by either of the parties. Under the terms of the lease, the base annual rent is increased by 4% per year on the anniversary date of the lease through its expiration in June 2020. In April 2015, Freescale exercised its termination rights and accordingly, the lease will terminate effective April 14, 2017. The Company is currently in the process of negotiating the fabrication portion of the lease and moving 6,000 square feet of office and lab space to alternate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minimum rental commitments under the Company’s operating leases at December 31, 2015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60" w:type="dxa"/>
            <w:vAlign w:val="bottom"/>
            <w:gridSpan w:val="3"/>
          </w:tcPr>
          <w:p>
            <w:pPr>
              <w:ind w:left="24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2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2016</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$ 1,301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2018</w:t>
            </w:r>
          </w:p>
        </w:tc>
        <w:tc>
          <w:tcPr>
            <w:tcW w:w="2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rent expense was $1.3 million and $1.4 million for the years ended December 31, 2014 and 2015, respectively, and $672,000 (unaudited) and $696,000 (unaudited) for the six months ended June 30, 2015 and 2016,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From time to time, the Company may become involved in legal proceedings arising from the ordinary course of its business. Management is currently not aware of any matters that will have a material adverse effect on the financial position, results of operations or cash flows of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Related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December 2010, the Company executed a Loan and Security Agreement with Silicon Valley Bank (“SVB Credit Facility”). The SVB Credit Facility included a $2.0 million term loan and a $2.0 million revolving line of credit. The term loan provided for interest at a floating rate equal to the prime rate plus 2.25% and had a term of four years. The revolving line of credit loan provided for interest at a floating rate equal to the greater of (a) 5% or (b) the prime rate plus 2.75% and had a term of two years, with a limit on advances based on a percentage of domestic and foreign qualified receivables outstanding. Security for the SVB Credit Facility included all of the Company’s assets except for intellectual property and leased equipment.</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was required to comply with certain covenants under the SVB Credit Facility, including requirements to maintain a minimum liquidity ratio, perform below a specified maximum loss, raise additional equity financing, and restrictions on certain actions without the consent of the lender, such as the disposal and acquisition of its business or property, changes in business, ownership or location of collateral, and mergers or acquisitions. The Company was in violation of its financial covenants as of December 31, 2014, and, accordingly, has classified the SVB Credit Facility as a current liability.</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SVB Credit Facility, the Company issued to Silicon Valley Bank a warrant to purchase 3,076 shares of the Company’s Series A redeemable convertible preferred stock at an exercise price of $26.00 per share. The warrant can be exercised at any time and expires on December 14, 2019. In the event of an IPO of the Company’s common stock, at which time the Series A redeemable convertible preferred stock would convert into common stock, the warrant will become exercisable for 3,076 shares of the Company’s common stock. The Company recorded the warrant as a debt discount of $63,000 and as a liability on the balance sheet at its fair value. The fair value of the warrant was $41,000, $32,000 and $29,000 (unaudited) as of December 31, 2014 and 2015, and June 30, 2016, respectively.</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February 2014, the Company executed an Amended and Restated Loan and Security Agreement (“Amended SVB Credit Facility”). The Amended SVB Credit Facility included a $4.0 million term loan and a $4.0 million revolving line of credit. The term loan provided for interest at a floating rate equal to the greater of (a) 5% or (b) the prime rate plus 3.75%, and had a term of four years. The revolving line of credit loan provided for interest at a floating rate equal to the greater of (a) 5% or (b) the prime rate plus 1.75% and had a term of two years. All other terms of the agreement were essentially unchanged.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Amended SVB Credit Facility, the Company issued to Silicon Valley Bank a warrant to purchase 6,153 shares of the Company’s Series B redeemable convertible preferred stock at an exercise price of $26.00 per share. The warrant can be exercised at any time and expires 10 years after the date of issuance. In the event of an IPO of the Company’s common stock, at which time the Series B redeemable convertible preferred stock would convert into common stock, the warrant will become exercisable for 6,153 shares of the Company’s common stock. The Company recorded the warrant as a debt discount and as a liability on the balance sheet at its fair value of $106,000 on the date of issuance using the Black-Scholes option-pricing model with the following assumptions: no dividend yield, an estimated life equal to 10 years, a risk-free interest rate of 2.75%, and volatility of 54.7%. The fair value of the warrant was $104,000, $98,000 and $94,000 (unaudited) at December 31, 2014 and 2015, and June 30,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Amended SVB Credit Facility at December 31, 2014, was as follows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attributable to warrants and debt issuance costs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23"/>
        </w:trPr>
        <w:tc>
          <w:tcPr>
            <w:tcW w:w="7140" w:type="dxa"/>
            <w:vAlign w:val="bottom"/>
          </w:tcPr>
          <w:p>
            <w:pPr>
              <w:ind w:left="720"/>
              <w:spacing w:after="0"/>
              <w:rPr>
                <w:sz w:val="20"/>
                <w:szCs w:val="20"/>
                <w:color w:val="auto"/>
              </w:rPr>
            </w:pPr>
            <w:r>
              <w:rPr>
                <w:rFonts w:ascii="Arial" w:cs="Arial" w:eastAsia="Arial" w:hAnsi="Arial"/>
                <w:sz w:val="18"/>
                <w:szCs w:val="18"/>
                <w:color w:val="auto"/>
              </w:rPr>
              <w:t>Net carrying value of debt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2,874</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June 2015, the outstanding principal balance on the Amended SVB Credit Facility of $2.8 million was repaid, at which time the unamortized balance of the debt discount of $114,000 and a prepayment penalty of $20,000 were recognized as interest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Facility</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June 2015, the Company executed a Loan and Security Agreement with Ares Venture Finance (“2015 Credit Facility”) comprising an $8.0 million term loan and a $4.0 million revolving loan. The term loan provides for interest at a floating rate equal to the greater of (a) 8.75% or (b) LIBOR plus 7.75% and has a term of four years. The term loan is payable in 15 monthly installments of interest only and 33 payments of principal and interest with an end-of-term fee of $180,000 due upon maturity. The revolving loan provides for interest at a floating rate equal to the prime rate plus 3.75% and has a term of two years. The Company may draw upon the loan facility for working capital purposes as required depending upon accounts receivable balances and other required conditions. In January 2016, the Company borrowed $1.5 million from the revolving loan. (See Note 13) A portion of the proceeds was used to pay off the outstanding balance on the Amended SVB 2014 Credit Facility.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Security for the 2015 Credit Facility includes all of the Company’s assets except for leased equipment. The 2015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December 31, 2015, and June 30, 2016.</w:t>
      </w:r>
    </w:p>
    <w:p>
      <w:pPr>
        <w:spacing w:after="0" w:line="18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connection with the 2015 Credit Facility, the Company issued to Ares Venture Finance a warrant to purchase 18,461 shares of the Company’s Series B redeemable convertible preferred stock at an exercise price of $26.00 per share. The warrant can be exercised at any time and expires 10 years after the date of issuance. In the event of an IPO of the Company’s common stock at which time the Series B redeemable convertible preferred stock would convert into common stock, the warrant will become exercisable for 18,461 shares of the Company’s common stock. The Company recorded the warrant as a debt discount and as a liability on the balance sheet at its fair value of $307,000 on the date of issuance using the Black-Scholes option-pricing model with the following assumptions: no dividend yield, an estimated life equal to ten years, a risk-free interest rate of 2.41%,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volatility of 51.8%. The fair value of the warrant was $307,000 and $293,000 (unaudited) at December 31, 2015, and June 30, 2016,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Company’s 2015 Credit Facility at December 31, 2015, was as follows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Current</w:t>
            </w:r>
          </w:p>
        </w:tc>
        <w:tc>
          <w:tcPr>
            <w:tcW w:w="6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30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portion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970</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attributable to warrants, end of term fee and debt issuance costs</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6440" w:type="dxa"/>
            <w:vAlign w:val="bottom"/>
          </w:tcPr>
          <w:p>
            <w:pPr>
              <w:ind w:left="720"/>
              <w:spacing w:after="0"/>
              <w:rPr>
                <w:sz w:val="20"/>
                <w:szCs w:val="20"/>
                <w:color w:val="auto"/>
              </w:rPr>
            </w:pPr>
            <w:r>
              <w:rPr>
                <w:rFonts w:ascii="Arial" w:cs="Arial" w:eastAsia="Arial" w:hAnsi="Arial"/>
                <w:sz w:val="18"/>
                <w:szCs w:val="18"/>
                <w:color w:val="auto"/>
              </w:rPr>
              <w:t>Net carrying value of debt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970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Company’s 2015 Credit Facility at June 30, 2016,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Current</w:t>
            </w:r>
          </w:p>
        </w:tc>
        <w:tc>
          <w:tcPr>
            <w:tcW w:w="100" w:type="dxa"/>
            <w:vAlign w:val="bottom"/>
          </w:tcPr>
          <w:p>
            <w:pPr>
              <w:spacing w:after="0"/>
              <w:rPr>
                <w:sz w:val="14"/>
                <w:szCs w:val="14"/>
                <w:color w:val="auto"/>
              </w:rPr>
            </w:pPr>
          </w:p>
        </w:tc>
        <w:tc>
          <w:tcPr>
            <w:tcW w:w="10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1"/>
              </w:rPr>
              <w:t>portion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7"/>
              </w:rPr>
              <w:t>debt</w:t>
            </w: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8"/>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$ 3,570</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Discount attributable to warrants, end of term fee and debt issuance costs</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00" w:type="dxa"/>
            <w:vAlign w:val="bottom"/>
            <w:gridSpan w:val="2"/>
          </w:tcPr>
          <w:p>
            <w:pPr>
              <w:ind w:left="720"/>
              <w:spacing w:after="0"/>
              <w:rPr>
                <w:sz w:val="20"/>
                <w:szCs w:val="20"/>
                <w:color w:val="auto"/>
              </w:rPr>
            </w:pPr>
            <w:r>
              <w:rPr>
                <w:rFonts w:ascii="Arial" w:cs="Arial" w:eastAsia="Arial" w:hAnsi="Arial"/>
                <w:sz w:val="18"/>
                <w:szCs w:val="18"/>
                <w:color w:val="auto"/>
              </w:rPr>
              <w:t>Net carrying value of debt</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3,548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6"/>
          </w:tcPr>
          <w:p>
            <w:pPr>
              <w:spacing w:after="0"/>
              <w:rPr>
                <w:sz w:val="20"/>
                <w:szCs w:val="20"/>
                <w:color w:val="auto"/>
              </w:rPr>
            </w:pPr>
            <w:r>
              <w:rPr>
                <w:rFonts w:ascii="Arial" w:cs="Arial" w:eastAsia="Arial" w:hAnsi="Arial"/>
                <w:sz w:val="18"/>
                <w:szCs w:val="18"/>
                <w:color w:val="auto"/>
                <w:w w:val="91"/>
              </w:rPr>
              <w:t>The table below shows the principal repayments of the 2015 Credit Facility as of December 31, 2015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vMerge w:val="restart"/>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gridSpan w:val="2"/>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970</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gridSpan w:val="2"/>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8,180</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Capital Lease Obligations</w:t>
            </w: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gridSpan w:val="6"/>
          </w:tcPr>
          <w:p>
            <w:pPr>
              <w:spacing w:after="0"/>
              <w:rPr>
                <w:sz w:val="20"/>
                <w:szCs w:val="20"/>
                <w:color w:val="auto"/>
              </w:rPr>
            </w:pPr>
            <w:r>
              <w:rPr>
                <w:rFonts w:ascii="Arial" w:cs="Arial" w:eastAsia="Arial" w:hAnsi="Arial"/>
                <w:sz w:val="18"/>
                <w:szCs w:val="18"/>
                <w:color w:val="auto"/>
              </w:rPr>
              <w:t>The Company leases certain equipment under capital lease obligations expiring at various dates in 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8"/>
          </w:tcPr>
          <w:p>
            <w:pPr>
              <w:spacing w:after="0"/>
              <w:rPr>
                <w:sz w:val="20"/>
                <w:szCs w:val="20"/>
                <w:color w:val="auto"/>
              </w:rPr>
            </w:pPr>
            <w:r>
              <w:rPr>
                <w:rFonts w:ascii="Arial" w:cs="Arial" w:eastAsia="Arial" w:hAnsi="Arial"/>
                <w:sz w:val="18"/>
                <w:szCs w:val="18"/>
                <w:color w:val="auto"/>
                <w:w w:val="90"/>
              </w:rPr>
              <w:t>Future minimum lease payments of the capital lease obligations as of December 31, 2015, are as follows (in thousands):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920" w:type="dxa"/>
            <w:vAlign w:val="bottom"/>
            <w:vMerge w:val="restart"/>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3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payments in 2016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interest portion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capital lease obligations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Property and equipment under capital leases amounted to $0, $431,000, and $463,000 (unaudited) at December 31, 2014 and 2015, and June 30, 2016, respectively. Accumulated depreciation and amortization on these assets was $0, $256,000, and $353,000 (unaudited) at December 31, 2014 and 2015, and June 30, 2016, respectively.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and Stockholders’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authorized, issued and outstanding redeemable convertible preferred stock of the Company as of December 31, 2014 and 2015, and June 30, 2016 (unaudited) (in thousands, except share amounts):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7"/>
              </w:rPr>
              <w:t>Shares Issued and</w:t>
            </w:r>
          </w:p>
        </w:tc>
        <w:tc>
          <w:tcPr>
            <w:tcW w:w="58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Carrying</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Liquidation</w:t>
            </w:r>
          </w:p>
        </w:tc>
      </w:tr>
      <w:tr>
        <w:trPr>
          <w:trHeight w:val="171"/>
        </w:trPr>
        <w:tc>
          <w:tcPr>
            <w:tcW w:w="532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Authorized</w:t>
            </w:r>
          </w:p>
        </w:tc>
        <w:tc>
          <w:tcPr>
            <w:tcW w:w="112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58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Preference</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35,580,000</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1,365,379</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$35,500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Series B</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32,500,000</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1,120,820</w:t>
            </w:r>
          </w:p>
        </w:tc>
        <w:tc>
          <w:tcPr>
            <w:tcW w:w="5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29,142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29,142</w:t>
            </w:r>
          </w:p>
        </w:tc>
      </w:tr>
      <w:tr>
        <w:trPr>
          <w:trHeight w:val="27"/>
        </w:trPr>
        <w:tc>
          <w:tcPr>
            <w:tcW w:w="5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68,080,000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2,486,199</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64,642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64,642</w:t>
            </w:r>
          </w:p>
        </w:tc>
      </w:tr>
      <w:tr>
        <w:trPr>
          <w:trHeight w:val="20"/>
        </w:trPr>
        <w:tc>
          <w:tcPr>
            <w:tcW w:w="5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Significant provisions of the Series A and Series B redeemable convertible preferred stock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any time and at the option of the holder, each share of Series A and Series B redeemable convertible preferred stock (Series Preferred) is convertible into common stock at a rate of one share of common stock for each share of redeemable convertible preferred stock, subject to adjustment for certain dilutive stock issuances and stock splits. The shares of redeemable convertible preferred stock will be converted to shares of common stock upon (a) the closing of a firm commitment underwritten public offering pursuant to an effective registration statement under the Securities Act of 1933, as amended, resulting in at least $55.0 million of gross proceeds and a price of at least $65.00 per share; or (b) the vote of at least 60% of the then outstanding shares of Series Preferred voting together as a single class.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Each share of redeemable convertible preferred stock has voting rights equal to the number of common shares into which it is convertible. The holders of Series Preferred, voting together as a single class, are entitled to elect three directors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holders of Series Preferred are entitled to receive noncumulative dividends at a rate per annum equal to $2.08 per share, subject to adjustment, if and when declared by the board of directors. These dividends are to be paid in advance of any distributions to common stockholders. No dividends have been declared through December 31, 2015, and June 30,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event of any voluntary or involuntary liquidation, the holders of the Series Preferred are entitled, before any distribution or payment is made to the holders of common stock, to receive payment based on the original issue price of the Series Preferred of $26.00 per share, plus all declared but unpaid dividends. If upon liquidation, the assets to be distributed to the holders of Series Preferred are insufficient to permit payment of the full amounts distributable, the entire assets of the Company shall be distributed ratably among the holders of Series Preferred. After the payment of the Series Preferred liquidation preference, the holders of Series Preferred are also entitled to share any remaining available funds on a pro-rata basis with holders of common stock. A liquidation may be deemed to be occasioned by or to include (i) a consolidation or merger of the Company with or into any other corporation in which the Company’s stockholders of record as constituted immediately prior to such transaction will, immediately after such transaction, fail to hold at least 50% of the voting power of the result of the surviving corporation; or (ii) a sale, lease, exclusive license or other disposition of all or substantially all of the assets of the Company.</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60" w:right="3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Shares of Series Preferred are redeemable by the Company at a per share price equal to the original issue price, plus any declared but unpaid dividends, in three installments commencing not more than 60 days after receipt by the Company of a written request for redemption from the holders of at least 60% of the outstanding shares of the Series Preferred at any time on or after July 17,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11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Company has classified the redeemable convertible preferred stock as mezzanine equity on the balance sheets as the shares can be redeemed by the Company after receipt by the Company, at any time on or after July 17, 2018, of written notice requesting redemption of such stock by the holders of the Series Preferred, as discussed above. The carrying values of the redeemable convertible preferred stock have been adjusted to their redemption value.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preferred stockholders. As of December 31, 2015, no dividends on common stock had been declared by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4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June 30</w:t>
            </w:r>
          </w:p>
        </w:tc>
      </w:tr>
      <w:tr>
        <w:trPr>
          <w:trHeight w:val="142"/>
        </w:trPr>
        <w:tc>
          <w:tcPr>
            <w:tcW w:w="6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2,486,199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2,486,199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2,486,199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Options issued and outstanding</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852,639</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927,175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862,383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option grants</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106,468</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55,330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463,259</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9,229</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3,454,535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3,496,394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3,839,531</w:t>
            </w:r>
          </w:p>
        </w:tc>
      </w:tr>
      <w:tr>
        <w:trPr>
          <w:trHeight w:val="20"/>
        </w:trPr>
        <w:tc>
          <w:tcPr>
            <w:tcW w:w="6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July 2008, the board of directors of the Company adopted the 2008 Equity Incentive Plan (the “2008 Plan”). The 2008 Plan provides for the issuance of incentive stock options (“ISO”), nonqualified stock options, and other stock compensation awards. As of December 31, 2015, and June 30, 2016, the Company’s board of directors had authorized the issuance of up to 1,005,725 and 1,353,388 shares of common stock to be issued to employees, consultants, and members of the board of directors under the 2008 Plan, respectively. All such shares authorized for issuance under the 2008 Plan have been reserved. Under the terms of the 2008 Plan, the exercise price of an ISO shall be not less than 100% of the fair value of the stock at the date of grant, as determined by the board of directors, or in the case of certain ISOs, at 110% of the fair market value at the date of grant. The fair value of the Company’s common stock is determined by the Company’s board of directors at each option measurement date based on a variety of factors including the Company’s financial position and historical financial performance, the status of technological developments within the Company, the prevailing market conditions, the illiquid nature of the common stock, arm’s length sales of the Company’s capital stock (including redeemable convertible preferred stock) and the effect of the rights and preferences of the Company’s preferred stockholders, among others.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term and vesting periods for options granted under the 2008 Plan are determined by the Company’s board of directors. Options granted generally vest over four years. Options must be exercised within a 10-year period or sooner if so specified within the option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all grants under the 2008 Plan: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w w:val="95"/>
              </w:rPr>
              <w:t>Weighted-</w:t>
            </w: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Weighted-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Available</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Price Per</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5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495,822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338,518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8.70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3"/>
        </w:trPr>
        <w:tc>
          <w:tcPr>
            <w:tcW w:w="5600" w:type="dxa"/>
            <w:vAlign w:val="bottom"/>
          </w:tcPr>
          <w:p>
            <w:pPr>
              <w:ind w:left="340"/>
              <w:spacing w:after="0"/>
              <w:rPr>
                <w:sz w:val="20"/>
                <w:szCs w:val="20"/>
                <w:color w:val="auto"/>
              </w:rPr>
            </w:pPr>
            <w:r>
              <w:rPr>
                <w:rFonts w:ascii="Arial" w:cs="Arial" w:eastAsia="Arial" w:hAnsi="Arial"/>
                <w:sz w:val="16"/>
                <w:szCs w:val="16"/>
                <w:color w:val="auto"/>
              </w:rPr>
              <w:t>Options authorized</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134,615</w:t>
            </w: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granted</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96"/>
              </w:rPr>
              <w:t>(559,335)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559,335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4.42</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340"/>
              <w:spacing w:after="0"/>
              <w:rPr>
                <w:sz w:val="20"/>
                <w:szCs w:val="20"/>
                <w:color w:val="auto"/>
              </w:rPr>
            </w:pPr>
            <w:r>
              <w:rPr>
                <w:rFonts w:ascii="Arial" w:cs="Arial" w:eastAsia="Arial" w:hAnsi="Arial"/>
                <w:sz w:val="16"/>
                <w:szCs w:val="16"/>
                <w:color w:val="auto"/>
              </w:rPr>
              <w:t>Options exercised</w:t>
            </w:r>
          </w:p>
        </w:tc>
        <w:tc>
          <w:tcPr>
            <w:tcW w:w="11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(9,848)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4.42</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cancelled/forfeited</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35,366</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(35,366)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4.42</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2014</w:t>
            </w: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6"/>
                <w:szCs w:val="16"/>
                <w:color w:val="auto"/>
              </w:rPr>
              <w:t>4.42</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8.0</w:t>
            </w:r>
          </w:p>
        </w:tc>
        <w:tc>
          <w:tcPr>
            <w:tcW w:w="380" w:type="dxa"/>
            <w:vAlign w:val="bottom"/>
            <w:gridSpan w:val="2"/>
            <w:vMerge w:val="restart"/>
          </w:tcPr>
          <w:p>
            <w:pPr>
              <w:ind w:left="280"/>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7"/>
        </w:trPr>
        <w:tc>
          <w:tcPr>
            <w:tcW w:w="560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106,468</w:t>
            </w:r>
          </w:p>
        </w:tc>
        <w:tc>
          <w:tcPr>
            <w:tcW w:w="5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96"/>
              </w:rPr>
              <w:t>852,639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authorized</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24,956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340"/>
              <w:spacing w:after="0"/>
              <w:rPr>
                <w:sz w:val="20"/>
                <w:szCs w:val="20"/>
                <w:color w:val="auto"/>
              </w:rPr>
            </w:pPr>
            <w:r>
              <w:rPr>
                <w:rFonts w:ascii="Arial" w:cs="Arial" w:eastAsia="Arial" w:hAnsi="Arial"/>
                <w:sz w:val="16"/>
                <w:szCs w:val="16"/>
                <w:color w:val="auto"/>
              </w:rPr>
              <w:t>Options granted</w:t>
            </w: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w w:val="96"/>
              </w:rPr>
              <w:t>(123,830)</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96"/>
              </w:rPr>
              <w:t>123,830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4.50</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exercised</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(1,558)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4.42</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5600" w:type="dxa"/>
            <w:vAlign w:val="bottom"/>
          </w:tcPr>
          <w:p>
            <w:pPr>
              <w:ind w:left="340"/>
              <w:spacing w:after="0"/>
              <w:rPr>
                <w:sz w:val="20"/>
                <w:szCs w:val="20"/>
                <w:color w:val="auto"/>
              </w:rPr>
            </w:pPr>
            <w:r>
              <w:rPr>
                <w:rFonts w:ascii="Arial" w:cs="Arial" w:eastAsia="Arial" w:hAnsi="Arial"/>
                <w:sz w:val="16"/>
                <w:szCs w:val="16"/>
                <w:color w:val="auto"/>
              </w:rPr>
              <w:t>Options cancelled/forfeited</w:t>
            </w: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47,736</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(47,736)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4.42</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Balances at December 31, 2015</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Options authorized (unaudited)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Options exercised (unaudited)</w:t>
      </w:r>
    </w:p>
    <w:p>
      <w:pPr>
        <w:spacing w:after="0" w:line="32" w:lineRule="exact"/>
        <w:rPr>
          <w:sz w:val="20"/>
          <w:szCs w:val="20"/>
          <w:color w:val="auto"/>
        </w:rPr>
      </w:pPr>
    </w:p>
    <w:p>
      <w:pPr>
        <w:jc w:val="right"/>
        <w:ind w:right="2000"/>
        <w:spacing w:after="0"/>
        <w:rPr>
          <w:sz w:val="20"/>
          <w:szCs w:val="20"/>
          <w:color w:val="auto"/>
        </w:rPr>
      </w:pPr>
      <w:r>
        <w:rPr>
          <w:rFonts w:ascii="Arial" w:cs="Arial" w:eastAsia="Arial" w:hAnsi="Arial"/>
          <w:sz w:val="16"/>
          <w:szCs w:val="16"/>
          <w:color w:val="auto"/>
        </w:rPr>
        <w:t>Options cancelled/forfeited (unaudited)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4"/>
        </w:trPr>
        <w:tc>
          <w:tcPr>
            <w:tcW w:w="640" w:type="dxa"/>
            <w:vAlign w:val="bottom"/>
          </w:tcPr>
          <w:p>
            <w:pPr>
              <w:jc w:val="right"/>
              <w:spacing w:after="0"/>
              <w:rPr>
                <w:sz w:val="20"/>
                <w:szCs w:val="20"/>
                <w:color w:val="auto"/>
              </w:rPr>
            </w:pPr>
            <w:r>
              <w:rPr>
                <w:rFonts w:ascii="Arial" w:cs="Arial" w:eastAsia="Arial" w:hAnsi="Arial"/>
                <w:sz w:val="16"/>
                <w:szCs w:val="16"/>
                <w:color w:val="auto"/>
              </w:rPr>
              <w:t>55,330</w:t>
            </w:r>
          </w:p>
        </w:tc>
        <w:tc>
          <w:tcPr>
            <w:tcW w:w="54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w w:val="96"/>
              </w:rPr>
              <w:t>927,175</w:t>
            </w:r>
          </w:p>
        </w:tc>
        <w:tc>
          <w:tcPr>
            <w:tcW w:w="1260" w:type="dxa"/>
            <w:vAlign w:val="bottom"/>
          </w:tcPr>
          <w:p>
            <w:pPr>
              <w:jc w:val="right"/>
              <w:ind w:right="459"/>
              <w:spacing w:after="0"/>
              <w:rPr>
                <w:sz w:val="20"/>
                <w:szCs w:val="20"/>
                <w:color w:val="auto"/>
              </w:rPr>
            </w:pPr>
            <w:r>
              <w:rPr>
                <w:rFonts w:ascii="Arial" w:cs="Arial" w:eastAsia="Arial" w:hAnsi="Arial"/>
                <w:sz w:val="16"/>
                <w:szCs w:val="16"/>
                <w:color w:val="auto"/>
              </w:rPr>
              <w:t>4.43</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7.3</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6,500</w:t>
            </w:r>
          </w:p>
        </w:tc>
      </w:tr>
      <w:tr>
        <w:trPr>
          <w:trHeight w:val="216"/>
        </w:trPr>
        <w:tc>
          <w:tcPr>
            <w:tcW w:w="640" w:type="dxa"/>
            <w:vAlign w:val="bottom"/>
          </w:tcPr>
          <w:p>
            <w:pPr>
              <w:jc w:val="right"/>
              <w:spacing w:after="0"/>
              <w:rPr>
                <w:sz w:val="20"/>
                <w:szCs w:val="20"/>
                <w:color w:val="auto"/>
              </w:rPr>
            </w:pPr>
            <w:r>
              <w:rPr>
                <w:rFonts w:ascii="Arial" w:cs="Arial" w:eastAsia="Arial" w:hAnsi="Arial"/>
                <w:sz w:val="16"/>
                <w:szCs w:val="16"/>
                <w:color w:val="auto"/>
              </w:rPr>
              <w:t>347,663</w:t>
            </w:r>
          </w:p>
        </w:tc>
        <w:tc>
          <w:tcPr>
            <w:tcW w:w="5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440"/>
              <w:spacing w:after="0"/>
              <w:rPr>
                <w:sz w:val="20"/>
                <w:szCs w:val="20"/>
                <w:color w:val="auto"/>
              </w:rPr>
            </w:pPr>
            <w:r>
              <w:rPr>
                <w:rFonts w:ascii="Arial" w:cs="Arial" w:eastAsia="Arial" w:hAnsi="Arial"/>
                <w:sz w:val="16"/>
                <w:szCs w:val="16"/>
                <w:color w:val="auto"/>
              </w:rPr>
              <w:t>(4,526)</w:t>
            </w:r>
          </w:p>
        </w:tc>
        <w:tc>
          <w:tcPr>
            <w:tcW w:w="1260" w:type="dxa"/>
            <w:vAlign w:val="bottom"/>
          </w:tcPr>
          <w:p>
            <w:pPr>
              <w:jc w:val="right"/>
              <w:ind w:right="459"/>
              <w:spacing w:after="0"/>
              <w:rPr>
                <w:sz w:val="20"/>
                <w:szCs w:val="20"/>
                <w:color w:val="auto"/>
              </w:rPr>
            </w:pPr>
            <w:r>
              <w:rPr>
                <w:rFonts w:ascii="Arial" w:cs="Arial" w:eastAsia="Arial" w:hAnsi="Arial"/>
                <w:sz w:val="16"/>
                <w:szCs w:val="16"/>
                <w:color w:val="auto"/>
              </w:rPr>
              <w:t>4.44</w:t>
            </w:r>
          </w:p>
        </w:tc>
        <w:tc>
          <w:tcPr>
            <w:tcW w:w="104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40" w:type="dxa"/>
            <w:vAlign w:val="bottom"/>
          </w:tcPr>
          <w:p>
            <w:pPr>
              <w:jc w:val="right"/>
              <w:spacing w:after="0"/>
              <w:rPr>
                <w:sz w:val="20"/>
                <w:szCs w:val="20"/>
                <w:color w:val="auto"/>
              </w:rPr>
            </w:pPr>
            <w:r>
              <w:rPr>
                <w:rFonts w:ascii="Arial" w:cs="Arial" w:eastAsia="Arial" w:hAnsi="Arial"/>
                <w:sz w:val="16"/>
                <w:szCs w:val="16"/>
                <w:color w:val="auto"/>
              </w:rPr>
              <w:t>60,266</w:t>
            </w:r>
          </w:p>
        </w:tc>
        <w:tc>
          <w:tcPr>
            <w:tcW w:w="1620" w:type="dxa"/>
            <w:vAlign w:val="bottom"/>
            <w:gridSpan w:val="3"/>
          </w:tcPr>
          <w:p>
            <w:pPr>
              <w:jc w:val="right"/>
              <w:ind w:right="440"/>
              <w:spacing w:after="0"/>
              <w:rPr>
                <w:sz w:val="20"/>
                <w:szCs w:val="20"/>
                <w:color w:val="auto"/>
              </w:rPr>
            </w:pPr>
            <w:r>
              <w:rPr>
                <w:rFonts w:ascii="Arial" w:cs="Arial" w:eastAsia="Arial" w:hAnsi="Arial"/>
                <w:sz w:val="16"/>
                <w:szCs w:val="16"/>
                <w:color w:val="auto"/>
              </w:rPr>
              <w:t>(60,266)</w:t>
            </w:r>
          </w:p>
        </w:tc>
        <w:tc>
          <w:tcPr>
            <w:tcW w:w="1260" w:type="dxa"/>
            <w:vAlign w:val="bottom"/>
          </w:tcPr>
          <w:p>
            <w:pPr>
              <w:jc w:val="right"/>
              <w:ind w:right="459"/>
              <w:spacing w:after="0"/>
              <w:rPr>
                <w:sz w:val="20"/>
                <w:szCs w:val="20"/>
                <w:color w:val="auto"/>
              </w:rPr>
            </w:pPr>
            <w:r>
              <w:rPr>
                <w:rFonts w:ascii="Arial" w:cs="Arial" w:eastAsia="Arial" w:hAnsi="Arial"/>
                <w:sz w:val="16"/>
                <w:szCs w:val="16"/>
                <w:color w:val="auto"/>
              </w:rPr>
              <w:t>4.42</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-544195</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-269875</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80" w:space="720"/>
            <w:col w:w="58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560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June 30, 2016 (unaudited)</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463,259</w:t>
            </w:r>
          </w:p>
        </w:tc>
        <w:tc>
          <w:tcPr>
            <w:tcW w:w="5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6"/>
              </w:rPr>
              <w:t>862,383</w:t>
            </w:r>
          </w:p>
        </w:tc>
        <w:tc>
          <w:tcPr>
            <w:tcW w:w="13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4.43</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Options exercisable—December 31, 2015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w w:val="96"/>
              </w:rPr>
              <w:t>590,847</w:t>
            </w: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4.42</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6.4</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4,148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Options vested and expected to vest—December 31, 2015</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6"/>
              </w:rPr>
              <w:t>927,175</w:t>
            </w:r>
          </w:p>
        </w:tc>
        <w:tc>
          <w:tcPr>
            <w:tcW w:w="13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4.43</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Options exercisable—June 30, 2016 (unaudited)</w:t>
            </w: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vMerge w:val="restart"/>
          </w:tcPr>
          <w:p>
            <w:pPr>
              <w:jc w:val="right"/>
              <w:ind w:right="459"/>
              <w:spacing w:after="0"/>
              <w:rPr>
                <w:sz w:val="20"/>
                <w:szCs w:val="20"/>
                <w:color w:val="auto"/>
              </w:rPr>
            </w:pPr>
            <w:r>
              <w:rPr>
                <w:rFonts w:ascii="Arial" w:cs="Arial" w:eastAsia="Arial" w:hAnsi="Arial"/>
                <w:sz w:val="16"/>
                <w:szCs w:val="16"/>
                <w:color w:val="auto"/>
              </w:rPr>
              <w:t>4.43</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6.3</w:t>
            </w:r>
          </w:p>
        </w:tc>
        <w:tc>
          <w:tcPr>
            <w:tcW w:w="5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4,433</w:t>
            </w:r>
          </w:p>
        </w:tc>
        <w:tc>
          <w:tcPr>
            <w:tcW w:w="0" w:type="dxa"/>
            <w:vAlign w:val="bottom"/>
          </w:tcPr>
          <w:p>
            <w:pPr>
              <w:spacing w:after="0" w:line="20" w:lineRule="exact"/>
              <w:rPr>
                <w:sz w:val="1"/>
                <w:szCs w:val="1"/>
                <w:color w:val="auto"/>
              </w:rPr>
            </w:pPr>
          </w:p>
        </w:tc>
      </w:tr>
      <w:tr>
        <w:trPr>
          <w:trHeight w:val="194"/>
        </w:trPr>
        <w:tc>
          <w:tcPr>
            <w:tcW w:w="56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w w:val="96"/>
              </w:rPr>
              <w:t>631,763</w:t>
            </w:r>
          </w:p>
        </w:tc>
        <w:tc>
          <w:tcPr>
            <w:tcW w:w="1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Options vested and expected to vest—June 30, 2016 (unaudited)</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6"/>
              </w:rPr>
              <w:t>862,383</w:t>
            </w:r>
          </w:p>
        </w:tc>
        <w:tc>
          <w:tcPr>
            <w:tcW w:w="13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4.43</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December 31, 2015, and June 30, 2016.</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During the years ended December 31, 2014 and 2015, and the six months ended June 30, 2015, the Company granted options with a weighted-average grant date fair value of $1.82, $4.42 per share and $3.64, respectively. The Company did not grant any options in the six months ended June 30, 2016.</w:t>
      </w:r>
    </w:p>
    <w:p>
      <w:pPr>
        <w:spacing w:after="0" w:line="1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total fair value of options vested during the year was $332,000 and $353,000 for the years ended December 31, 2014 and 2015, respectively. The total fair value of options vested during the six months ended June 30, 2015 and 2016, was $169,000 (unaudited) and $276,000 (unaudited),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3"/>
              </w:rPr>
              <w:t>Six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r>
      <w:tr>
        <w:trPr>
          <w:trHeight w:val="142"/>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left="78"/>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799</w:t>
            </w: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186</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211</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 of December 31, 2015, and June 30, 2016, there was $924,000 and $710,000 (unaudited), respectively, of total unrecognized compensation expense related to unvested options. These expenses are expected to be recognized over a weighted-average period of 2.4 years and 2.1 years,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Stock-based compensation expense for employees was $776,000 and $407,000 for the years ended December 31, 2014 and 2015, respectively, and $181,000 (unaudited) and $201,000 (unaudited) for the six months ended June 30, 2015 and 2016, respectively. In May 2014, the Company modified the terms of 333,774 vested and unvested stock option awards, affecting 75 employees, by reducing their exercise price from $7.54 and $13.52 per share to $4.42 per share. There was no change in any of the other terms of the option awards. The modification resulted in an incremental value of $939,000 being allocated to the options, of which $207,000 was recognized to expense immediately based on options that were vested at the time of the modification. The remaining incremental value of $732,000 attributable to unvested options is being recognized over their remaining vesting term.</w:t>
      </w:r>
    </w:p>
    <w:p>
      <w:pPr>
        <w:spacing w:after="0" w:line="178"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60" w:type="dxa"/>
            <w:vAlign w:val="bottom"/>
            <w:gridSpan w:val="4"/>
            <w:vMerge w:val="restart"/>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tcPr>
          <w:p>
            <w:pPr>
              <w:jc w:val="center"/>
              <w:ind w:left="519"/>
              <w:spacing w:after="0"/>
              <w:rPr>
                <w:sz w:val="20"/>
                <w:szCs w:val="20"/>
                <w:color w:val="auto"/>
              </w:rPr>
            </w:pPr>
            <w:r>
              <w:rPr>
                <w:rFonts w:ascii="Arial" w:cs="Arial" w:eastAsia="Arial" w:hAnsi="Arial"/>
                <w:sz w:val="14"/>
                <w:szCs w:val="14"/>
                <w:b w:val="1"/>
                <w:bCs w:val="1"/>
                <w:color w:val="auto"/>
                <w:w w:val="92"/>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800" w:type="dxa"/>
            <w:vAlign w:val="bottom"/>
          </w:tcPr>
          <w:p>
            <w:pPr>
              <w:jc w:val="center"/>
              <w:ind w:left="559"/>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2"/>
                <w:szCs w:val="12"/>
                <w:color w:val="auto"/>
              </w:rPr>
            </w:pPr>
          </w:p>
        </w:tc>
        <w:tc>
          <w:tcPr>
            <w:tcW w:w="1800" w:type="dxa"/>
            <w:vAlign w:val="bottom"/>
            <w:tcBorders>
              <w:top w:val="single" w:sz="8" w:color="auto"/>
              <w:bottom w:val="single" w:sz="8" w:color="auto"/>
            </w:tcBorders>
          </w:tcPr>
          <w:p>
            <w:pPr>
              <w:jc w:val="right"/>
              <w:ind w:right="1139"/>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tcPr>
          <w:p>
            <w:pPr>
              <w:jc w:val="center"/>
              <w:ind w:left="559"/>
              <w:spacing w:after="0" w:line="142" w:lineRule="exact"/>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36.4 – 53.2%</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44.1 – 48.9%</w:t>
            </w:r>
          </w:p>
        </w:tc>
        <w:tc>
          <w:tcPr>
            <w:tcW w:w="18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4"/>
              </w:rPr>
              <w:t>45.9 – 48.7%</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0.43 – 2.04%</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1.51 – 1.79%</w:t>
            </w:r>
          </w:p>
        </w:tc>
        <w:tc>
          <w:tcPr>
            <w:tcW w:w="1800" w:type="dxa"/>
            <w:vAlign w:val="bottom"/>
          </w:tcPr>
          <w:p>
            <w:pPr>
              <w:jc w:val="right"/>
              <w:ind w:right="699"/>
              <w:spacing w:after="0"/>
              <w:rPr>
                <w:sz w:val="20"/>
                <w:szCs w:val="20"/>
                <w:color w:val="auto"/>
              </w:rPr>
            </w:pPr>
            <w:r>
              <w:rPr>
                <w:rFonts w:ascii="Arial" w:cs="Arial" w:eastAsia="Arial" w:hAnsi="Arial"/>
                <w:sz w:val="18"/>
                <w:szCs w:val="18"/>
                <w:color w:val="auto"/>
                <w:w w:val="94"/>
              </w:rPr>
              <w:t>1.51 – 1.79%</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 – 6.1</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 – 6.1</w:t>
            </w:r>
          </w:p>
        </w:tc>
        <w:tc>
          <w:tcPr>
            <w:tcW w:w="180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6.0 – 6.1</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Dividend yield</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 %</w:t>
            </w:r>
          </w:p>
        </w:tc>
        <w:tc>
          <w:tcPr>
            <w:tcW w:w="1800" w:type="dxa"/>
            <w:vAlign w:val="bottom"/>
          </w:tcPr>
          <w:p>
            <w:pPr>
              <w:jc w:val="right"/>
              <w:ind w:right="699"/>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The Company used the simplified method</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the expected term, which is calculated as the average of the time to vesting and the contractual life of the options.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has never been publicly traded, the expected volatility is derived from the average historical volatilities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publicly traded companies within a similar industry that are considered to be comparable to the Company’s business over a period approximately equal to the expected term for employees’ options.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option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grant.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 on its common stock.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an expected dividend yield of zero.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related to stock options granted to non-employees is recognized as the stock options vest.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Company granted options to purchase 23,606 shares of common stock to non-employees with a weighted-average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$4.42 per share. During the year ended December 31, 2015, and the six months ended June 30, 2016 (unaudited), the Company did not grant any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non-employees. As of December 31, 2014 and 2015, and June 30, 2016, options to purchase 15,498 shares, 15,498 shares and 10,691 shares (unaudited)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were outstanding with a weighted-average exercise price of $4.42 per share. Stock-based compensation expense for non-employees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$23,000 and $9,000 for the years ended December 31, 2014 and 2015, respectively, and $5,000 (unaudited) and $10,000 (unaudited)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2016, respectively.</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believes that the fair value of the stock options is more reliably measurable than the fair value of services received. The fair value of the stock options granted is calculated at each reporting date using the Black-Scholes option pricing model with the following assumptions: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4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840" w:type="dxa"/>
            <w:vAlign w:val="bottom"/>
            <w:gridSpan w:val="4"/>
            <w:vMerge w:val="continue"/>
          </w:tcPr>
          <w:p>
            <w:pPr>
              <w:spacing w:after="0"/>
              <w:rPr>
                <w:sz w:val="14"/>
                <w:szCs w:val="14"/>
                <w:color w:val="auto"/>
              </w:rPr>
            </w:pPr>
          </w:p>
        </w:tc>
        <w:tc>
          <w:tcPr>
            <w:tcW w:w="1440" w:type="dxa"/>
            <w:vAlign w:val="bottom"/>
          </w:tcPr>
          <w:p>
            <w:pPr>
              <w:jc w:val="center"/>
              <w:ind w:left="219"/>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79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tcPr>
          <w:p>
            <w:pPr>
              <w:jc w:val="center"/>
              <w:ind w:left="199"/>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52.8 – 53.8%</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51.6 – 52.9%</w:t>
            </w: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92"/>
              </w:rPr>
              <w:t>49.8 – 53.0%</w:t>
            </w:r>
          </w:p>
        </w:tc>
        <w:tc>
          <w:tcPr>
            <w:tcW w:w="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2.17 – 2.48%</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1.72 – 2.02%</w:t>
            </w:r>
          </w:p>
        </w:tc>
        <w:tc>
          <w:tcPr>
            <w:tcW w:w="1440" w:type="dxa"/>
            <w:vAlign w:val="bottom"/>
          </w:tcPr>
          <w:p>
            <w:pPr>
              <w:jc w:val="right"/>
              <w:ind w:right="359"/>
              <w:spacing w:after="0"/>
              <w:rPr>
                <w:sz w:val="20"/>
                <w:szCs w:val="20"/>
                <w:color w:val="auto"/>
              </w:rPr>
            </w:pPr>
            <w:r>
              <w:rPr>
                <w:rFonts w:ascii="Arial" w:cs="Arial" w:eastAsia="Arial" w:hAnsi="Arial"/>
                <w:sz w:val="18"/>
                <w:szCs w:val="18"/>
                <w:color w:val="auto"/>
                <w:w w:val="92"/>
              </w:rPr>
              <w:t>1.71 – 2.04%</w:t>
            </w:r>
          </w:p>
        </w:tc>
        <w:tc>
          <w:tcPr>
            <w:tcW w:w="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 – 9.8</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 – 9.1</w:t>
            </w:r>
          </w:p>
        </w:tc>
        <w:tc>
          <w:tcPr>
            <w:tcW w:w="144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6.5 – 9.2</w:t>
            </w:r>
          </w:p>
        </w:tc>
        <w:tc>
          <w:tcPr>
            <w:tcW w:w="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440" w:type="dxa"/>
            <w:vAlign w:val="bottom"/>
          </w:tcPr>
          <w:p>
            <w:pPr>
              <w:jc w:val="right"/>
              <w:ind w:right="359"/>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401(k) Plan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August 2014, the Company entered into a Note Purchase Agreement with several of its stockholders for the issuance of convertible promissory notes (the “2014 Notes”) for an aggregate amount of $2.0 million. The 2014 Notes bear interest at 5% per annum and have a one year term. The outstanding principal amount and accrued interest on the Notes were convertible into shares of Series B redeemable convertible preferred stock, at any time, upon written election of the holders of at least a majority of the outstanding principal balance of the 2014 Notes (“Majority Holders”). In the event of an equity financing with proceeds in excess of $5.0 million prior to the maturity of the 2014 Notes, the Majority Holders could elect to convert the outstanding principal and accrued interest on the 2014 Notes into shares of stock issued in the equity financing based on a price per share equal to the price per share paid by investors in said financing. On October 21, 2014, contemporaneously with the Series B redeemable convertible preferred stock issuance, the outstanding principal balance of the 2014 Notes, including accrued interest of $2.0 million, was converted into 77,518 shares of Series B redeemable convertible preferred stock.</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January 2016, the Company entered into a Note Purchase Agreement with several of its stockholders for the issuance of convertible promissory notes (the “2016 Notes”) for an aggregate amount of $5.0 million. The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Notes bear interest at 5.0% per annum and have a maturity date of September 30, 2016. The outstanding principal amount and accrued interest on the 2016 Notes are convertible into shares of Series B redeemable convertible preferred stock, at any time, upon written election of the holders of at least a majority of the outstanding principal balance of the 2016 Notes. In the event of an equity financing with proceeds in excess of $5.0 million (“Qualified Financing”) prior to the maturity of the 2016 Notes, the outstanding principal and accrued interest convert into shares of stock issued in the equity financing based on a price per share equal to the price per share paid by investors in said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Notes will be repaid in cash in an amount equal to three times the outstanding principal amount. The redemption of the 2016 Notes upon a deemed liquidation event and in the event of an IPO are contingent redemption features that are not clearly and closely related to the debt instrument and thus have been bifurcated and recognized as a derivative liability on the balance sheet as of June 30, 2016. The compound derivative was recorded as a debt discount at fair value of $653,000 on the issuance date of the 2016 Notes and is being amortized over the term of the</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2016 Notes using the effective interest method. At June 30, 2016, the carrying values of the 2016 Notes and the derivative liability were $4.9 million and $388,000,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Agreement—GLOBALFOUNDRIES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17, 2014, the Company entered into a Joint Development Agreement (“JDA”) with GLOBALFOUNDRIES, Inc. (“GF”), a related party due to its equity ownership in the Company, for the joint development of the Company’s Spin Torque MRAM (“ST-MRAM”)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ST-MRAM technology would be pursuant to a separate manufacturing agreement entered into between the parties.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ST-MRAM devices that utilize certain design information, GF will be required to pay the Company a royalty. The term of the agreement is four years and is extended until the completion of any development work, if later.</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May 2016, the Company entered into an amendment to the JDA to modify the payment schedule and clarify its payment obligations for certain past project costs. Under the amendment, GF has the right to terminate the JDA if the Company does not pay the project costs, with interest, by an agreed-upon date.</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2014 and 2015, and June 30, 2016, $0, $3.5 million, and $5.6 million (unaudited), respectively, were payable to GF for the Company’s share of the project costs under the JDA and the Company prepaid $125,000 to GF in 2014. The Company incurred project costs, recognized as in research and development expense, of $0 and $3.6 million during the years ended December 31, 2014 and 2015, respectively, and of $1.8 million (unaudited), and $2.0 million (unaudited) during the six months ended June 30, 2015 and 2016,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w:t>
      </w:r>
    </w:p>
    <w:p>
      <w:pPr>
        <w:spacing w:after="0" w:line="16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During the years ended December 31, 2014 and 2015, and the six months ended June 30, 2015 and 2016, the Company recognized non-cash compensation expense of $107,000, $1.8 million, $533,000 (unaudited) and $1.4 million (unaudited), respectively, in research and development expense, related to the vesting of the shares of common stock. The Company recognizes compensation expense based on the estimated fair value of the common stock at each reporting period, which was $13.52 and $16.90 (unaudited) per share as of December 31, 2015, and June 30, 2016,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Freescale</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has entered into various transactions with Freescale (a wholly-owned subsidiary of NXP), a related party due to its equity ownership in the Company. The Company leases its manufacturing facility in Chandler, Arizona, from Freescale and total rent payments made during the years ended December 31, 2014 and 2015, and the six months ended June 30, 2015 and 2016, were $1.0 million, $1.0 million, $582,000 (unaudited) and $520,000 (unaudited), respectively. Freescale also performs processing of the Company’s products in its facility which are capitalized as part of the cost of inventory. The total processing costs incurred by the Company were $3.3 million, $3.9 million, $1.9 (unaudited) and $1.3 million (unaudited) for the years ended December 31, 2014 and 2015, and the six months ended June 30, 2015 and 2016, respectively. In addition, Freescale is one of the Company’s largest customers for the sale of embedded wafers, and total revenue from Freescale was $3.2 million, $3.5 million, $1.8 million (unaudited) and $735,000 (unaudited) for the years ended December 31, 2014, and 2015, and the six months ended June 30, 2015 and 2016, respectively. Amounts due from Freescale were $541,000, $564,000 and $502,000 (unaudited) at December 31, 2014 and 2015, and June 30, 2016, respectively. Amounts due to Freescale were $484,000, $207,000 and $569,000 (unaudited) at December 31, 2014 and 2015, and June 30, 2016,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licensee is located. Revenue by country was as follows (in thousands):</w:t>
      </w:r>
    </w:p>
    <w:p>
      <w:pPr>
        <w:spacing w:after="0" w:line="9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Year Ended December 31,</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Singapore</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3,399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4,614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2,671</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1,726</w:t>
            </w:r>
          </w:p>
        </w:tc>
        <w:tc>
          <w:tcPr>
            <w:tcW w:w="8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Taiwan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Germany</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2,933</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3,546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2,045</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Hong Kong</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Japan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4,408</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2,280</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967</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All other</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80" w:type="dxa"/>
            <w:vAlign w:val="bottom"/>
            <w:shd w:val="clear" w:color="auto" w:fill="CCEEFF"/>
          </w:tcPr>
          <w:p>
            <w:pPr>
              <w:spacing w:after="0"/>
              <w:rPr>
                <w:sz w:val="17"/>
                <w:szCs w:val="17"/>
                <w:color w:val="auto"/>
              </w:rPr>
            </w:pPr>
          </w:p>
        </w:tc>
      </w:tr>
      <w:tr>
        <w:trPr>
          <w:trHeight w:val="207"/>
        </w:trPr>
        <w:tc>
          <w:tcPr>
            <w:tcW w:w="378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24,896</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26,546</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12,654</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12,866</w:t>
            </w:r>
          </w:p>
        </w:tc>
        <w:tc>
          <w:tcPr>
            <w:tcW w:w="8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both the years ended December 31, 2014 and 2015, the Company recorded no provision for income taxes primarily due to losses incurred. For the six months ended June 30, 2016, the Company did not record an income tax provision due to the expected loss for the year. The Company has incurred net operating losses for all the periods presented. The Company has not reflected any benefit of the net operating loss carryforwards in the accompanying financial statements. The Company has established a full valuation allowance against its deferred tax assets due to the uncertainty surrounding the realization of such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Tax at statutory federal rate</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96"/>
              </w:rPr>
              <w:t>(34.0)%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(34.0)%</w:t>
            </w: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1080" w:type="dxa"/>
            <w:vAlign w:val="bottom"/>
            <w:gridSpan w:val="2"/>
          </w:tcPr>
          <w:p>
            <w:pPr>
              <w:jc w:val="right"/>
              <w:ind w:right="640"/>
              <w:spacing w:after="0"/>
              <w:rPr>
                <w:sz w:val="20"/>
                <w:szCs w:val="20"/>
                <w:color w:val="auto"/>
              </w:rPr>
            </w:pPr>
            <w:r>
              <w:rPr>
                <w:rFonts w:ascii="Arial" w:cs="Arial" w:eastAsia="Arial" w:hAnsi="Arial"/>
                <w:sz w:val="16"/>
                <w:szCs w:val="16"/>
                <w:color w:val="auto"/>
              </w:rPr>
              <w:t>(2.7)</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380" w:type="dxa"/>
            <w:vAlign w:val="bottom"/>
          </w:tcPr>
          <w:p>
            <w:pPr>
              <w:jc w:val="right"/>
              <w:spacing w:after="0"/>
              <w:rPr>
                <w:sz w:val="20"/>
                <w:szCs w:val="20"/>
                <w:color w:val="auto"/>
              </w:rPr>
            </w:pPr>
            <w:r>
              <w:rPr>
                <w:rFonts w:ascii="Arial" w:cs="Arial" w:eastAsia="Arial" w:hAnsi="Arial"/>
                <w:sz w:val="16"/>
                <w:szCs w:val="16"/>
                <w:color w:val="auto"/>
              </w:rPr>
              <w:t>37.9</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320"/>
              <w:spacing w:after="0"/>
              <w:rPr>
                <w:sz w:val="20"/>
                <w:szCs w:val="20"/>
                <w:color w:val="auto"/>
              </w:rPr>
            </w:pPr>
            <w:r>
              <w:rPr>
                <w:rFonts w:ascii="Arial" w:cs="Arial" w:eastAsia="Arial" w:hAnsi="Arial"/>
                <w:sz w:val="16"/>
                <w:szCs w:val="16"/>
                <w:color w:val="auto"/>
              </w:rPr>
              <w:t>Provision for income taxes</w:t>
            </w: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80" w:type="dxa"/>
            <w:vAlign w:val="bottom"/>
            <w:vMerge w:val="continue"/>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color w:val="auto"/>
              </w:rPr>
              <w:t>— %</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deferred tax assets are as follows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Deferred tax assets:</w:t>
            </w:r>
          </w:p>
        </w:tc>
        <w:tc>
          <w:tcPr>
            <w:tcW w:w="226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320"/>
              <w:spacing w:after="0"/>
              <w:rPr>
                <w:sz w:val="20"/>
                <w:szCs w:val="20"/>
                <w:color w:val="auto"/>
              </w:rPr>
            </w:pPr>
            <w:r>
              <w:rPr>
                <w:rFonts w:ascii="Arial" w:cs="Arial" w:eastAsia="Arial" w:hAnsi="Arial"/>
                <w:sz w:val="16"/>
                <w:szCs w:val="16"/>
                <w:color w:val="auto"/>
              </w:rPr>
              <w:t>Net operating loss carryforwards</w:t>
            </w:r>
          </w:p>
        </w:tc>
        <w:tc>
          <w:tcPr>
            <w:tcW w:w="22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19,593</w:t>
            </w:r>
          </w:p>
        </w:tc>
        <w:tc>
          <w:tcPr>
            <w:tcW w:w="3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23,526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Inventory</w:t>
            </w:r>
          </w:p>
        </w:tc>
        <w:tc>
          <w:tcPr>
            <w:tcW w:w="226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320"/>
              <w:spacing w:after="0"/>
              <w:rPr>
                <w:sz w:val="20"/>
                <w:szCs w:val="20"/>
                <w:color w:val="auto"/>
              </w:rPr>
            </w:pPr>
            <w:r>
              <w:rPr>
                <w:rFonts w:ascii="Arial" w:cs="Arial" w:eastAsia="Arial" w:hAnsi="Arial"/>
                <w:sz w:val="16"/>
                <w:szCs w:val="16"/>
                <w:color w:val="auto"/>
              </w:rPr>
              <w:t>Accruals</w:t>
            </w:r>
          </w:p>
        </w:tc>
        <w:tc>
          <w:tcPr>
            <w:tcW w:w="2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226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6"/>
                <w:szCs w:val="16"/>
                <w:color w:val="auto"/>
              </w:rPr>
              <w:t>Other</w:t>
            </w:r>
          </w:p>
        </w:tc>
        <w:tc>
          <w:tcPr>
            <w:tcW w:w="22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deferred tax assets</w:t>
            </w:r>
          </w:p>
        </w:tc>
        <w:tc>
          <w:tcPr>
            <w:tcW w:w="226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21,327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color w:val="auto"/>
              </w:rPr>
              <w:t>Valuation allowance</w:t>
            </w:r>
          </w:p>
        </w:tc>
        <w:tc>
          <w:tcPr>
            <w:tcW w:w="2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0"/>
              </w:rPr>
              <w:t>(21,307)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(27,554)</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tax assets</w:t>
            </w:r>
          </w:p>
        </w:tc>
        <w:tc>
          <w:tcPr>
            <w:tcW w:w="226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226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40"/>
              <w:spacing w:after="0"/>
              <w:rPr>
                <w:sz w:val="20"/>
                <w:szCs w:val="20"/>
                <w:color w:val="auto"/>
              </w:rPr>
            </w:pPr>
            <w:r>
              <w:rPr>
                <w:rFonts w:ascii="Arial" w:cs="Arial" w:eastAsia="Arial" w:hAnsi="Arial"/>
                <w:sz w:val="16"/>
                <w:szCs w:val="16"/>
                <w:color w:val="auto"/>
              </w:rPr>
              <w:t>Deferred tax liabilities</w:t>
            </w:r>
          </w:p>
        </w:tc>
        <w:tc>
          <w:tcPr>
            <w:tcW w:w="2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deferred tax assets</w:t>
            </w:r>
          </w:p>
        </w:tc>
        <w:tc>
          <w:tcPr>
            <w:tcW w:w="2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2014 and 2015. The net valuation allowance increased by $3.9 million and $6.2 million and in 2014 and 2015, respectively.</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2015, the Company had federal net operating loss carryforwards of approximately $66.1 million which will begin to expire in the year of 2028 if not utilized. In addition, the Company had state net operating loss carryforwards of approximately $28.6 million, which will begin to expire in 2015 if not utilized.</w:t>
      </w:r>
    </w:p>
    <w:p>
      <w:pPr>
        <w:spacing w:after="0" w:line="181"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The Tax Reform Act of 1986 (the “Act”) provides for a limitation on the annual use of net operating loss and research and development tax credit carryforwards following certain ownership changes (as defined by the Act) that could limit the Company’s ability to utilize these carryforwards.</w:t>
      </w:r>
    </w:p>
    <w:p>
      <w:pPr>
        <w:spacing w:after="0" w:line="12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files income tax returns in the U.S. federal and various state jurisdictions. The Company is subject to U.S. federal and state income tax examinations by authorities for all tax years due to the accumulated net operating losses that are being carried forward for tax purposes.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has not identified any unrecognized tax benefits as December 31, 2014 and 2015. As the Company has a full valuation allowance on its deferred tax assets, any unrecognized tax benefits would reduce the deferred tax assets and the valuation allowance in the same amount. The Company does not expect the amount of unrecognized tax benefits to materially change in the next twelve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Common Share and Pro Forma Net Loss Per Share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13970</wp:posOffset>
            </wp:positionV>
            <wp:extent cx="14236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9" w:lineRule="exact"/>
        <w:rPr>
          <w:sz w:val="20"/>
          <w:szCs w:val="20"/>
          <w:color w:val="auto"/>
        </w:rPr>
      </w:pPr>
    </w:p>
    <w:p>
      <w:pPr>
        <w:ind w:left="6500"/>
        <w:spacing w:after="0"/>
        <w:tabs>
          <w:tab w:leader="none" w:pos="790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10795</wp:posOffset>
            </wp:positionV>
            <wp:extent cx="5232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10795</wp:posOffset>
            </wp:positionV>
            <wp:extent cx="5232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13970</wp:posOffset>
            </wp:positionV>
            <wp:extent cx="14236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9" w:lineRule="exact"/>
        <w:rPr>
          <w:sz w:val="20"/>
          <w:szCs w:val="20"/>
          <w:color w:val="auto"/>
        </w:rPr>
      </w:pPr>
    </w:p>
    <w:p>
      <w:pPr>
        <w:spacing w:after="0"/>
        <w:tabs>
          <w:tab w:leader="none" w:pos="14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10795</wp:posOffset>
            </wp:positionV>
            <wp:extent cx="14236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p>
      <w:pPr>
        <w:sectPr>
          <w:pgSz w:w="11900" w:h="16838" w:orient="portrait"/>
          <w:cols w:equalWidth="0" w:num="2">
            <w:col w:w="8620" w:space="720"/>
            <w:col w:w="20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(10,183)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(18,183)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(7,421)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(9,956)</w:t>
            </w:r>
          </w:p>
        </w:tc>
      </w:tr>
      <w:tr>
        <w:trPr>
          <w:trHeight w:val="20"/>
        </w:trPr>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2,635,621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3,013,743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3,013,723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3,016,935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weighted-average unvested common shares subject to repurchase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(91,043)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(461,538)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(461,538)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(461,538)</w:t>
            </w: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w w:val="89"/>
              </w:rPr>
              <w:t>Weighted-average common shares outstanding used to calculate net loss per</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common share, basic and diluted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2,544,578</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2,552,205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2,552,185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2,555,397</w:t>
            </w:r>
          </w:p>
        </w:tc>
      </w:tr>
      <w:tr>
        <w:trPr>
          <w:trHeight w:val="20"/>
        </w:trPr>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r>
      <w:tr>
        <w:trPr>
          <w:trHeight w:val="20"/>
        </w:trPr>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F-30</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December 31,</w:t>
            </w: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1260" w:type="dxa"/>
            <w:vAlign w:val="bottom"/>
            <w:gridSpan w:val="3"/>
          </w:tcPr>
          <w:p>
            <w:pPr>
              <w:jc w:val="center"/>
              <w:ind w:left="658"/>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on an as-converted basis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2,486,199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2,486,199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2,486,199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852,639</w:t>
            </w:r>
          </w:p>
        </w:tc>
        <w:tc>
          <w:tcPr>
            <w:tcW w:w="820" w:type="dxa"/>
            <w:vAlign w:val="bottom"/>
          </w:tcPr>
          <w:p>
            <w:pPr>
              <w:jc w:val="right"/>
              <w:spacing w:after="0"/>
              <w:rPr>
                <w:sz w:val="20"/>
                <w:szCs w:val="20"/>
                <w:color w:val="auto"/>
              </w:rPr>
            </w:pPr>
            <w:r>
              <w:rPr>
                <w:rFonts w:ascii="Arial" w:cs="Arial" w:eastAsia="Arial" w:hAnsi="Arial"/>
                <w:sz w:val="18"/>
                <w:szCs w:val="18"/>
                <w:color w:val="auto"/>
              </w:rPr>
              <w:t>927,175</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936,862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862,383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461,538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461,538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461,538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Redeemable convertible preferred stock warrants on an as-converted basis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9,229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27,690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27,690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3,809,605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3,902,602</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3,912,289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3,837,810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after giving effect to the conversions of redeemable convertible preferred stock and the conversion of the 2016 Notes into common stock using the as-if converted method into common stock as though the conversions had occurred at the beginning of the respective period, or the date of issuance, if later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(18,183)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Less: change in fair value of convertible preferred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change in fair value of 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expense and amortization of discount on 2016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loss used in computing pro forma net loss per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Weighted-average common shares outstanding used to calculate net loss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2,552,205</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2,555,397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assumed conversion of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2,486,199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 forma adjustment to reflect assumed conversion of the 2016 Notes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used in computing pro forma net loss per share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5,038,404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basic and diluted</w:t>
            </w:r>
          </w:p>
        </w:tc>
        <w:tc>
          <w:tcPr>
            <w:tcW w:w="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January 2016, the Company sold an aggregate of $5.0 million in convertible promissory notes to existing investors at a price equal to the principal amount of such notes. The notes have an annual interest rate of 5.0% and a maturity date in September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the Company drew down $1.5 million from the available funds under its revolving credit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2016, the Company’s board of directors and its stockholders approved an amendment to the Company’s amended and restated certificate of incorporation to effect a reverse split of the Company’s issued and outstanding common stock and redeemable convertible preferred stock at a 26-to-1 ratio, which was effected on September 21, 2016. The par value and authorized shares of common stock and redeemable convertible preferred stock were not adjusted as a result of the reverse split. All issued and outstanding common stock and redeemable convertible preferred stock, warrants to purchase redeemable convertible preferred stock, options to purchase common stock, and the related per share amounts contained in the financial statements have been retroactively adjusted to reflect the reverse stock split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subsequent events through May 13, 2016, the date at which the financial statements were available for issuance.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(Unaudited)</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2016, the Company’s Board of Directors and stockholders approved the Certificate of Amendment of Amended and Restated Certificate of Incorporation to increase the authorized capital stock of the Company from 243,080,000 shares, consisting of 175,000,000 shares of common stock, par value $0.0001 (the “Common Stock”) and 68,080,000 shares of preferred stock, par value $0.0001 (the “Preferred Stock”), to an authorized capital stock of 281,080,000 shares consisting of 204,000,000 shares of Common Stock and 77,080,000 shares of Preferred Stock.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August 2016, the Company entered into a Note Purchase Agreement with existing stockholders for the issuance of subordinated convertible promissory notes (the “2016 Bridge Notes”) for an aggregate principal amount of $3.5 million. The 2016 Bridge Notes bear interest at 5.0% per annum and have a maturity date of September 30, 2016. In the event of an equity financing with proceeds in excess of $5.0 million (“Qualified Financing”) prior to the maturity of the 2016 Bridge Notes, the outstanding principal and accrued interest convert into shares of stock issued in the Qualified Financing based on a price per share equal to the price per share paid by investors in such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Bridge Notes will be repaid in cash in an amount equal to three times the outstanding principal amount. The Company may not prepay the 2016 Bridge Notes without the consent of the Company and the majority holders of the outstanding balance of the promissory notes. The redemption of the 2016 Bridge Notes upon a deemed liquidation event and in the event of an IPO are contingent redemption features that are not clearly and closely related to the debt instrument and will be bifurcated and recognized as a derivative liability on the balance sheet at date of issuance and will be remeasured to fair value at each reporting date.</w:t>
      </w:r>
    </w:p>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2016, the Company entered into an amendment to the facility lease for its design facility located in Austin, Texas to increase the leased space from 5,002 square feet to 11,084 square feet and extend the lease term from September 2016 to January 2022. The aggregate amount of payments due under the amended lease is $1.1 million.</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September 2016, entered into an amendment to its January 2016 and August 2016 convertible promissory notes for $5.0 million and $3.5 million, respectively, to extend the maturity date of the notes from September 30, 2016 to December 15, 2016.</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September 23, 2016, the Company entered into a binding agreement for the sale of $5.0 million of the Company’s common stock in a private placement concurrent with the completion of the Company’s IPO, at a price equal to the IPO price. The shares of common stock purchased in the concurrent private placement will be subject to a placement agent fee.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evaluated subsequent events through August 16, 2016, the date these unaudited interim financial statements were available to be issued, and subsequently through September 26, 2016.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657860</wp:posOffset>
            </wp:positionV>
            <wp:extent cx="2040890" cy="548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408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869950</wp:posOffset>
            </wp:positionV>
            <wp:extent cx="15176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176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8640" w:val="left"/>
        </w:tabs>
        <w:rPr>
          <w:sz w:val="20"/>
          <w:szCs w:val="20"/>
          <w:color w:val="auto"/>
        </w:rPr>
      </w:pPr>
      <w:r>
        <w:rPr>
          <w:rFonts w:ascii="Arial" w:cs="Arial" w:eastAsia="Arial" w:hAnsi="Arial"/>
          <w:sz w:val="26"/>
          <w:szCs w:val="26"/>
          <w:b w:val="1"/>
          <w:bCs w:val="1"/>
          <w:color w:val="auto"/>
        </w:rPr>
        <w:t>Stifel</w:t>
      </w:r>
      <w:r>
        <w:rPr>
          <w:sz w:val="20"/>
          <w:szCs w:val="20"/>
          <w:color w:val="auto"/>
        </w:rPr>
        <w:tab/>
      </w:r>
      <w:r>
        <w:rPr>
          <w:rFonts w:ascii="Arial" w:cs="Arial" w:eastAsia="Arial" w:hAnsi="Arial"/>
          <w:sz w:val="26"/>
          <w:szCs w:val="26"/>
          <w:b w:val="1"/>
          <w:bCs w:val="1"/>
          <w:color w:val="auto"/>
        </w:rPr>
        <w:t>Needham &amp;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Co-Managers</w:t>
      </w:r>
    </w:p>
    <w:p>
      <w:pPr>
        <w:spacing w:after="0" w:line="226" w:lineRule="exact"/>
        <w:rPr>
          <w:sz w:val="20"/>
          <w:szCs w:val="20"/>
          <w:color w:val="auto"/>
        </w:rPr>
      </w:pPr>
    </w:p>
    <w:p>
      <w:pPr>
        <w:ind w:left="1620"/>
        <w:spacing w:after="0"/>
        <w:tabs>
          <w:tab w:leader="none" w:pos="6980" w:val="left"/>
        </w:tabs>
        <w:rPr>
          <w:sz w:val="20"/>
          <w:szCs w:val="20"/>
          <w:color w:val="auto"/>
        </w:rPr>
      </w:pPr>
      <w:r>
        <w:rPr>
          <w:rFonts w:ascii="Arial" w:cs="Arial" w:eastAsia="Arial" w:hAnsi="Arial"/>
          <w:sz w:val="22"/>
          <w:szCs w:val="22"/>
          <w:b w:val="1"/>
          <w:bCs w:val="1"/>
          <w:color w:val="auto"/>
        </w:rPr>
        <w:t>Canaccord Genuity</w:t>
      </w:r>
      <w:r>
        <w:rPr>
          <w:sz w:val="20"/>
          <w:szCs w:val="20"/>
          <w:color w:val="auto"/>
        </w:rPr>
        <w:tab/>
      </w:r>
      <w:r>
        <w:rPr>
          <w:rFonts w:ascii="Arial" w:cs="Arial" w:eastAsia="Arial" w:hAnsi="Arial"/>
          <w:sz w:val="19"/>
          <w:szCs w:val="19"/>
          <w:b w:val="1"/>
          <w:bCs w:val="1"/>
          <w:color w:val="auto"/>
        </w:rPr>
        <w:t>Craig-Hallum Capital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13. Other Expenses of Issuance and Distribution.</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 registration fee, the FINRA filing fee and The Nasdaq Global Market listing fee.</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120" w:type="dxa"/>
            <w:vAlign w:val="bottom"/>
            <w:gridSpan w:val="4"/>
          </w:tcPr>
          <w:p>
            <w:pPr>
              <w:ind w:left="1860"/>
              <w:spacing w:after="0"/>
              <w:rPr>
                <w:sz w:val="20"/>
                <w:szCs w:val="20"/>
                <w:color w:val="auto"/>
              </w:rPr>
            </w:pPr>
            <w:r>
              <w:rPr>
                <w:rFonts w:ascii="Arial" w:cs="Arial" w:eastAsia="Arial" w:hAnsi="Arial"/>
                <w:sz w:val="14"/>
                <w:szCs w:val="14"/>
                <w:b w:val="1"/>
                <w:bCs w:val="1"/>
                <w:color w:val="auto"/>
              </w:rPr>
              <w:t>Amount to be paid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SEC</w:t>
            </w:r>
          </w:p>
        </w:tc>
        <w:tc>
          <w:tcPr>
            <w:tcW w:w="4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Registration fee</w:t>
            </w:r>
          </w:p>
        </w:tc>
        <w:tc>
          <w:tcPr>
            <w:tcW w:w="1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1,460,800</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1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34,959</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14. Indemnification of Directors and Officers.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to be in effect upon the completion of this offering provides for indemnification of our directors, officers, employees and other agents to the maximum extent permitted the Delaware General Corporation Law, and our amended and restated bylaws to be in effect upon the completion of this offering provide for indemnification of our directors, officers, employees and other agents to the maximum extent permitted by the Delaware General Corporation Law. In addition, we have entered into indemnification agreements with our directors, officers and some employees containing provisions that may be in some respects broader than the specific indemnification provisions contained in the Delaware General Corporation Law. The indemnification agreements may require us, among other things, to indemnify our directors against certain liabilities that may arise by reason of their status or service as directors, officers and employees and to advance their expenses incurred as a result of any proceeding against them as to which they could be indemnified.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a directors’ and officers’ insurance policy.</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underwriting agreement to be entered into in connection with this offering will provide that the underwriters will indemnify us, our directors and certain of our officers against liabilities resulting from information furnished by or on behalf of the underwriters specifically for use in the Registration Statement.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“Item 17. Undertakings” for more information on the SEC’s position regarding such indemnification provisions.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15. Recent Sales of Unregistered Securities.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From January 1, 2013 through September 19, 2016, we have made sales of the following unregistered securities before giving effect to the 1-for-26 reverse split of our common and preferred stock effected on September 21, 2016:</w:t>
      </w:r>
    </w:p>
    <w:p>
      <w:pPr>
        <w:spacing w:after="0" w:line="76" w:lineRule="exact"/>
        <w:rPr>
          <w:sz w:val="20"/>
          <w:szCs w:val="20"/>
          <w:color w:val="auto"/>
        </w:rPr>
      </w:pPr>
    </w:p>
    <w:p>
      <w:pPr>
        <w:ind w:left="900" w:right="80" w:hanging="446"/>
        <w:spacing w:after="0" w:line="31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granted stock options under our 2008 Equity Incentive Plan to purchase an aggregate of 37,381,072 shares of our common stock at a weighted average exercise price of $0.29 to a total of 121 employees, directors and consultants. Of these, stock options to purchase an aggregate of 3,983,274 shares have been cancelled without being exercised, 573,287 have been exercised and 32,824,511 remain outstanding.</w:t>
      </w:r>
    </w:p>
    <w:p>
      <w:pPr>
        <w:spacing w:after="0" w:line="52"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issued and sold an aggregate of 573,287 shares of our common stock to employees, directors and consultants at a weighted average exercise price of $0.18 upon the exercise of stock options granted under our 2008 Equity Incentive Plan. Of these, none have been repurchased and all shares remain outstanding.</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March 2013, we issued and sold $2.0 million in convertible promissory notes to 14 existing accredited investors for aggregate consideration of $2.0 million in cash.</w:t>
      </w:r>
    </w:p>
    <w:p>
      <w:pPr>
        <w:spacing w:after="0" w:line="75" w:lineRule="exact"/>
        <w:rPr>
          <w:rFonts w:ascii="Arial" w:cs="Arial" w:eastAsia="Arial" w:hAnsi="Arial"/>
          <w:sz w:val="18"/>
          <w:szCs w:val="18"/>
          <w:color w:val="auto"/>
        </w:rPr>
      </w:pPr>
    </w:p>
    <w:p>
      <w:pPr>
        <w:ind w:left="900" w:right="560" w:hanging="446"/>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July 2013, we issued units consisting of an aggregate of 51,297,840 shares of our common stock and 17,099,280 shares of our Series B convertible preferred stock to 14 existing accredited investors at a per unit price of $1.00, for aggregate consideration of $15,324,480.</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January 2014, we issued 26,722 shares of our Series B convertible preferred stock to an accredited investor at a per share price of $0.0242, for aggregate consideration of $647.</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February 2014, we issued a warrant exercisable for an aggregate of 160,000 shares of our Series B convertible preferred at an exercise price of $1.00 per share to an accredited investor. This warrant is exercisable until its expiration in February 2024.</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August 2014, we issued and sold $2.0 million in convertible promissory notes to 13 existing accredited investors for aggregate consideration of $2.0 million in cash.</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October 2014, we issued 12,000,000 shares of our common stock to an accredited investor at a per share price of $0.00001, for aggregate consideration of $120.</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October 2014, we issued an aggregate of 7,015,609 shares of our Series B convertible preferred stock to 14 existing investors and one new accredited investor at a per share price of $1.00, for aggregate consideration of $7,015,609.</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December 2014, we issued 5,000,000 shares of our Series B convertible preferred stock to an accredited investor for an aggregate consideration of $5.0 million.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June 2015, we issued a warrant exercisable for an aggregate of 480,000 shares of our Series B convertible preferred at an exercise price of $1.00 per share to an accredited investor. This warrant is exercisable until its expiration in June 2025.</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January 2016, we issued and sold $5.0 million in convertible promissory notes to 13 existing accredited investors for aggregate consideration of $5.0 million in cash.</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August 2016, we issued and sold $3.5 million in convertible promissory notes to 13 existing accredited investors for aggregate consideration of $3.5 million in cash.</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Unless otherwise stated, the sales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16. Exhibits and Financial Statement Schedules.</w:t>
      </w:r>
    </w:p>
    <w:p>
      <w:pPr>
        <w:spacing w:after="0" w:line="113" w:lineRule="exact"/>
        <w:rPr>
          <w:sz w:val="20"/>
          <w:szCs w:val="20"/>
          <w:color w:val="auto"/>
        </w:rPr>
      </w:pPr>
    </w:p>
    <w:p>
      <w:pPr>
        <w:ind w:left="720" w:hanging="256"/>
        <w:spacing w:after="0"/>
        <w:tabs>
          <w:tab w:leader="none" w:pos="7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See the Exhibit Index attached to this registration statement, which is incorporated by reference herein.</w:t>
      </w:r>
    </w:p>
    <w:p>
      <w:pPr>
        <w:spacing w:after="0" w:line="225" w:lineRule="exact"/>
        <w:rPr>
          <w:rFonts w:ascii="Arial" w:cs="Arial" w:eastAsia="Arial" w:hAnsi="Arial"/>
          <w:sz w:val="18"/>
          <w:szCs w:val="18"/>
          <w:b w:val="1"/>
          <w:bCs w:val="1"/>
          <w:color w:val="auto"/>
        </w:rPr>
      </w:pPr>
    </w:p>
    <w:p>
      <w:pPr>
        <w:ind w:right="500" w:firstLine="464"/>
        <w:spacing w:after="0" w:line="282" w:lineRule="auto"/>
        <w:tabs>
          <w:tab w:leader="none" w:pos="721"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Schedules not listed above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the Financial Statements or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17. Undertakings.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Insofar as indemnification by the Registrant for liabilities arising under the Securities Act may be permitted to directors, officers, and controlling persons of the Registrant pursuant to the foregoing provisions, or otherwise, the Registration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900" w:right="340" w:hanging="446"/>
        <w:spacing w:after="0" w:line="291"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Chandler, Arizona, on October 7, 2016.</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Everspin Technologies, Inc.</w:t>
      </w:r>
    </w:p>
    <w:p>
      <w:pPr>
        <w:spacing w:after="0" w:line="229" w:lineRule="exact"/>
        <w:rPr>
          <w:sz w:val="20"/>
          <w:szCs w:val="20"/>
          <w:color w:val="auto"/>
        </w:rPr>
      </w:pPr>
    </w:p>
    <w:p>
      <w:pPr>
        <w:ind w:left="558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Phillip LoPresti</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left="558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Jeffrey Winzeler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300" w:type="dxa"/>
            <w:vAlign w:val="bottom"/>
            <w:gridSpan w:val="3"/>
          </w:tcPr>
          <w:p>
            <w:pPr>
              <w:jc w:val="center"/>
              <w:ind w:left="103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4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Phillip LoPresti</w:t>
            </w: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5"/>
              </w:rPr>
              <w:t>Phillip LoPresti</w:t>
            </w: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 and Director</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4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Jeffrey Winzeler</w:t>
            </w: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Jeffrey Winzeler</w:t>
            </w: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jc w:val="center"/>
              <w:ind w:left="19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Robert W. England</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jc w:val="center"/>
              <w:ind w:left="19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Lawrence G. Finch</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jc w:val="center"/>
              <w:ind w:left="19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Ronald C. Foster</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jc w:val="center"/>
              <w:ind w:left="19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Stephen J. Socolof</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jc w:val="center"/>
              <w:ind w:left="19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Peter Hébert</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jc w:val="center"/>
              <w:ind w:left="19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0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October 7, 2016</w:t>
            </w:r>
          </w:p>
        </w:tc>
      </w:tr>
      <w:tr>
        <w:trPr>
          <w:trHeight w:val="224"/>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Geoffrey R. Tate</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jc w:val="center"/>
              <w:ind w:right="1110"/>
              <w:spacing w:after="0"/>
              <w:rPr>
                <w:sz w:val="20"/>
                <w:szCs w:val="20"/>
                <w:color w:val="auto"/>
              </w:rPr>
            </w:pPr>
            <w:r>
              <w:rPr>
                <w:rFonts w:ascii="Arial" w:cs="Arial" w:eastAsia="Arial" w:hAnsi="Arial"/>
                <w:sz w:val="18"/>
                <w:szCs w:val="18"/>
                <w:color w:val="auto"/>
                <w:w w:val="92"/>
              </w:rPr>
              <w:t>/s/ Jeffrey Winzeler</w:t>
            </w:r>
          </w:p>
        </w:tc>
      </w:tr>
      <w:tr>
        <w:trPr>
          <w:trHeight w:val="224"/>
        </w:trPr>
        <w:tc>
          <w:tcPr>
            <w:tcW w:w="5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Attorney-in-fact</w:t>
            </w:r>
          </w:p>
        </w:tc>
        <w:tc>
          <w:tcPr>
            <w:tcW w:w="1260" w:type="dxa"/>
            <w:vAlign w:val="bottom"/>
          </w:tcPr>
          <w:p>
            <w:pPr>
              <w:spacing w:after="0"/>
              <w:rPr>
                <w:sz w:val="19"/>
                <w:szCs w:val="19"/>
                <w:color w:val="auto"/>
              </w:rPr>
            </w:pPr>
          </w:p>
        </w:tc>
      </w:tr>
      <w:tr>
        <w:trPr>
          <w:trHeight w:val="350"/>
        </w:trPr>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w w:val="92"/>
              </w:rPr>
              <w:t>II-4</w:t>
            </w:r>
          </w:p>
        </w:tc>
      </w:tr>
    </w:tbl>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00" w:type="dxa"/>
            <w:vAlign w:val="bottom"/>
            <w:gridSpan w:val="3"/>
          </w:tcPr>
          <w:p>
            <w:pPr>
              <w:ind w:left="4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700" w:type="dxa"/>
            <w:vAlign w:val="bottom"/>
            <w:gridSpan w:val="3"/>
            <w:vMerge w:val="restart"/>
          </w:tcPr>
          <w:p>
            <w:pPr>
              <w:ind w:left="5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0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Certificate of Incorporation to be effective upon closing of this offering.</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Bylaws, as currently in effect.</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Bylaws to be effective upon closing of this offering.</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w w:val="89"/>
              </w:rPr>
              <w:t>Amended and Restated Investor Rights Agreement, dated as of October 21, 2014, by and among the registrant and certain of its stockholders.</w:t>
            </w:r>
          </w:p>
        </w:tc>
        <w:tc>
          <w:tcPr>
            <w:tcW w:w="0" w:type="dxa"/>
            <w:vAlign w:val="bottom"/>
          </w:tcPr>
          <w:p>
            <w:pPr>
              <w:spacing w:after="0"/>
              <w:rPr>
                <w:sz w:val="1"/>
                <w:szCs w:val="1"/>
                <w:color w:val="auto"/>
              </w:rPr>
            </w:pP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Form of Indemnity Agreement between the registrant and its directors and officers.</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w w:val="96"/>
              </w:rPr>
              <w:t>2008 Equity Incentive Plan, as amended, and Form of Stock Option Grant Notice, Option Agreement and Form of Notice of Exercise.</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2016 Equity Incentive Plan and Form of Stock Option Grant Notice, Option Agreement and Form of Notice of Exercise.</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2016 Employee Stock Purchase Plan.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Lease, dated as of June 5, 2008, by and between the registrant and Freescale Semiconductor,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Amendment No. 1 to Lease, dated as of February 2, 2009, by and between the registrant and Freescale Semiconductor,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10.7#</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Amendment No. 2 to Lease, dated as of March 1, 2010, by and between the registrant and Freescale Semiconductor,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10.8#</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Amendment No. 3 to Lease, dated as of July 20, 2011, by and between the registrant and Freescale Semiconductor,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10.9#</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Amendment No. 4 to Lease, dated as of June, 2014 by and between the registrant and Freescale Semiconductor,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Loan and Security Agreement, dated as of June 6, 2015 by and between the registrant and Ares Venture Finance, L.P.</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w w:val="91"/>
              </w:rPr>
              <w:t>Amendment to Loan and Security Agreement, dated as of January 29, 2016, by and between the registrant and Ares Venture Finance, L.P.</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w w:val="90"/>
              </w:rPr>
              <w:t>Second Amendment to Loan and Security Agreement, dated as of August 1, 2016, by and between the registrant and Ares Venture Finance,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10.13†#</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Executive Employment Agreement, dated as of April 25, 2016, by and between registrant and Terry Hulett.</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10.14†#</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Executive Employment Agreement, dated as of April 25, 2016, by and between registrant and Phillip LoPresti.</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10.15†#</w:t>
            </w:r>
          </w:p>
        </w:tc>
        <w:tc>
          <w:tcPr>
            <w:tcW w:w="10700" w:type="dxa"/>
            <w:vAlign w:val="bottom"/>
            <w:gridSpan w:val="3"/>
          </w:tcPr>
          <w:p>
            <w:pPr>
              <w:ind w:left="520"/>
              <w:spacing w:after="0"/>
              <w:rPr>
                <w:sz w:val="20"/>
                <w:szCs w:val="20"/>
                <w:color w:val="auto"/>
              </w:rPr>
            </w:pPr>
            <w:r>
              <w:rPr>
                <w:rFonts w:ascii="Arial" w:cs="Arial" w:eastAsia="Arial" w:hAnsi="Arial"/>
                <w:sz w:val="18"/>
                <w:szCs w:val="18"/>
                <w:color w:val="auto"/>
              </w:rPr>
              <w:t>Executive Employment Agreement, dated as of April 25, 2016, by and between registrant and Scott Sewell.</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gridSpan w:val="3"/>
            <w:vMerge w:val="restart"/>
          </w:tcPr>
          <w:p>
            <w:pPr>
              <w:ind w:left="5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0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89"/>
              </w:rPr>
              <w:t>Office Lease Agreement, dated as of January 7, 2011, by and between the registrant and Jutland 4141 Investments, Ltd dba Chandler Office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91"/>
              </w:rPr>
              <w:t>Commercial Industrial Lease Agreement, dated as of May 18, 2012, by and between the registrant and Principal Life Insurance Company.</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10.18+#</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95"/>
              </w:rPr>
              <w:t>STT-MRAM Joint Development Agreement, dated as of October 17, 2014, by and between registrant and GLOBALFOUNDRIES Inc.</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10.19+#</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99"/>
              </w:rPr>
              <w:t>Amendment No. 1 to the STT-MRAM Joint Development Agreement, dated as of May 27, 2016, by and between registrant and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GLOBALFOUNDRIES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10.20+#</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93"/>
              </w:rPr>
              <w:t>Manufacturing Agreement, dated as of October 23, 2014, by and between the registrant and GLOBALFOUNDRIES Singapore Pte. Ltd.</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Restricted Stock Purchase Agreement, by and between the registrant and GLOBALFOUNDRIES Inc.</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90"/>
              </w:rPr>
              <w:t>Amendment No. 1 to Commercial Industrial Lease Agreement, dated August 12, 2016, by and between the registrant and Legacy Stonelake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JV-T, LLC, successor in interest to Principal Life Insurance Company.</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w w:val="99"/>
              </w:rPr>
              <w:t>Common Stock Purchase Agreement by and between the registrant and GigaDevice (HK) Limited, dated September 23, 2016.</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Consent of Cooley LLP. Reference is made to Exhibit 5.1.</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10580" w:type="dxa"/>
            <w:vAlign w:val="bottom"/>
            <w:gridSpan w:val="3"/>
          </w:tcPr>
          <w:p>
            <w:pPr>
              <w:ind w:left="520"/>
              <w:spacing w:after="0"/>
              <w:rPr>
                <w:sz w:val="20"/>
                <w:szCs w:val="20"/>
                <w:color w:val="auto"/>
              </w:rPr>
            </w:pPr>
            <w:r>
              <w:rPr>
                <w:rFonts w:ascii="Arial" w:cs="Arial" w:eastAsia="Arial" w:hAnsi="Arial"/>
                <w:sz w:val="18"/>
                <w:szCs w:val="18"/>
                <w:color w:val="auto"/>
              </w:rPr>
              <w:t>Power of Attorney (see signature page 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Requested.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ectPr>
          <w:pgSz w:w="11900" w:h="16838" w:orient="portrait"/>
          <w:cols w:equalWidth="0" w:num="1">
            <w:col w:w="11220"/>
          </w:cols>
          <w:pgMar w:left="240" w:top="460" w:right="4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17930" cy="411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179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3" w:lineRule="exact"/>
        <w:rPr>
          <w:sz w:val="20"/>
          <w:szCs w:val="20"/>
          <w:color w:val="auto"/>
        </w:rPr>
      </w:pPr>
    </w:p>
    <w:p>
      <w:pPr>
        <w:ind w:right="9420" w:firstLine="8"/>
        <w:spacing w:after="0" w:line="323" w:lineRule="auto"/>
        <w:tabs>
          <w:tab w:leader="none" w:pos="1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+1 650 843 5062 hemingtonmb@cooley.com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Everspin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1347 N. Alma School Road, 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Chandler, AZ 85224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Everspin Technologies,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you have requested our opinion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filing of a registration statement of a Registration Statement (No. 333-213569) on Form S-1, as amended from time to time (the “</w:t>
      </w:r>
      <w:r>
        <w:rPr>
          <w:rFonts w:ascii="Arial" w:cs="Arial" w:eastAsia="Arial" w:hAnsi="Arial"/>
          <w:sz w:val="17"/>
          <w:szCs w:val="17"/>
          <w:b w:val="1"/>
          <w:bCs w:val="1"/>
          <w:i w:val="1"/>
          <w:iCs w:val="1"/>
          <w:color w:val="auto"/>
        </w:rPr>
        <w:t>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with the Securities and Exchange Commission, including a related prospectus filed with the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covering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underwritten public offering of up to 5,750,000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par value $0.0001, which includes up to 5,000,000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to be sold by the Company (the “</w:t>
      </w:r>
      <w:r>
        <w:rPr>
          <w:rFonts w:ascii="Arial" w:cs="Arial" w:eastAsia="Arial" w:hAnsi="Arial"/>
          <w:sz w:val="16"/>
          <w:szCs w:val="16"/>
          <w:b w:val="1"/>
          <w:bCs w:val="1"/>
          <w:i w:val="1"/>
          <w:iCs w:val="1"/>
          <w:color w:val="auto"/>
        </w:rPr>
        <w:t>Company Shares</w:t>
      </w:r>
      <w:r>
        <w:rPr>
          <w:rFonts w:ascii="Arial" w:cs="Arial" w:eastAsia="Arial" w:hAnsi="Arial"/>
          <w:sz w:val="16"/>
          <w:szCs w:val="16"/>
          <w:color w:val="auto"/>
        </w:rPr>
        <w:t>”) and up to 750,000 Shares of common stock of the Company that may be sold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exercise of an option to purchase additional shares granted to the underwriters (the “</w:t>
      </w:r>
      <w:r>
        <w:rPr>
          <w:rFonts w:ascii="Arial" w:cs="Arial" w:eastAsia="Arial" w:hAnsi="Arial"/>
          <w:sz w:val="18"/>
          <w:szCs w:val="18"/>
          <w:b w:val="1"/>
          <w:bCs w:val="1"/>
          <w:i w:val="1"/>
          <w:iCs w:val="1"/>
          <w:color w:val="auto"/>
        </w:rPr>
        <w:t>Optional Shares</w:t>
      </w:r>
      <w:r>
        <w:rPr>
          <w:rFonts w:ascii="Arial" w:cs="Arial" w:eastAsia="Arial" w:hAnsi="Arial"/>
          <w:sz w:val="18"/>
          <w:szCs w:val="18"/>
          <w:color w:val="auto"/>
        </w:rPr>
        <w:t>”).</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connection with this opinion, we have examined and relied upon (a) the Registration Statement and related Prospectus, (b) the Company’s Amended and Restated Certificate of Incorporation and Bylaws, as amended, as currently in effect, (c) the Company’s Amended and Restated Certificate of Incorporation, filed as Exhibit 3.2 to the Registration Statement and the Company’s Amended and Restated Bylaws, filed as Exhibit 3.4 to the Registration Statement, each of which will be in effect upon the closing of the offering contemplated by the Registration Statement, and (d) the originals or copies certified to our satisfaction of such other records, documents, certificates, memoranda and other instruments as we deem necessary or appropriate to enable us to render the opinion expressed below. We have assumed the genuineness and authenticity of all documents submitted to us as originals, and the conformity to originals of all documents and the due execution and delivery of all documents where due execution and delivery are a prerequisite to the effectiveness thereof (except we have not assumed the due execution and delivery by the Company of any such documents). In addition, we have assumed that the issuance of the Shares to be sold to the underwriters by the Company and their price will be effected in accordance with an authorization by the Board of Directors of the Company or a pricing committee thereof. As to certain factual matters, we have relied upon a certificate of officers of the Company and have not sought to independently verify such matters. Our opinion is expressed only with respect to the General Corporation Law of the State of Delaware.</w:t>
      </w:r>
    </w:p>
    <w:p>
      <w:pPr>
        <w:spacing w:after="0" w:line="17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Company Shares and the Optional Shares, when sold and issued as described in the Registration Statement and the related Prospectus, will be validly issued, fully paid and non-assessable.</w:t>
      </w:r>
    </w:p>
    <w:p>
      <w:pPr>
        <w:spacing w:after="0" w:line="75" w:lineRule="exact"/>
        <w:rPr>
          <w:sz w:val="20"/>
          <w:szCs w:val="20"/>
          <w:color w:val="auto"/>
        </w:rPr>
      </w:pPr>
    </w:p>
    <w:p>
      <w:pPr>
        <w:jc w:val="center"/>
        <w:spacing w:after="0"/>
        <w:tabs>
          <w:tab w:leader="none" w:pos="100" w:val="left"/>
          <w:tab w:leader="none" w:pos="80" w:val="left"/>
        </w:tabs>
        <w:rPr>
          <w:sz w:val="20"/>
          <w:szCs w:val="20"/>
          <w:color w:val="auto"/>
        </w:rPr>
      </w:pPr>
      <w:r>
        <w:rPr>
          <w:rFonts w:ascii="Arial" w:cs="Arial" w:eastAsia="Arial" w:hAnsi="Arial"/>
          <w:sz w:val="14"/>
          <w:szCs w:val="14"/>
          <w:color w:val="auto"/>
        </w:rPr>
        <w:t>3175 HANOVER STREET, PALO ALTO, CA 94304-1130</w:t>
        <w:tab/>
        <w:t>T: (650) 843-5000</w:t>
      </w:r>
      <w:r>
        <w:rPr>
          <w:sz w:val="20"/>
          <w:szCs w:val="20"/>
          <w:color w:val="auto"/>
        </w:rPr>
        <w:tab/>
      </w:r>
      <w:r>
        <w:rPr>
          <w:rFonts w:ascii="Arial" w:cs="Arial" w:eastAsia="Arial" w:hAnsi="Arial"/>
          <w:sz w:val="13"/>
          <w:szCs w:val="13"/>
          <w:color w:val="auto"/>
        </w:rPr>
        <w:t>F: (650) 849-7400  WWW.COOLEY.COM</w:t>
      </w:r>
    </w:p>
    <w:p>
      <w:pPr>
        <w:sectPr>
          <w:pgSz w:w="11900" w:h="16838" w:orient="portrait"/>
          <w:cols w:equalWidth="0" w:num="1">
            <w:col w:w="11420"/>
          </w:cols>
          <w:pgMar w:left="240" w:top="121"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17930" cy="411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217930" cy="411480"/>
                    </a:xfrm>
                    <a:prstGeom prst="rect">
                      <a:avLst/>
                    </a:prstGeom>
                    <a:noFill/>
                  </pic:spPr>
                </pic:pic>
              </a:graphicData>
            </a:graphic>
          </wp:anchor>
        </w:drawing>
        <w:t>Everspin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OOLEY</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Matthew B. Hemington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2" w:lineRule="exact"/>
        <w:rPr>
          <w:sz w:val="20"/>
          <w:szCs w:val="20"/>
          <w:color w:val="auto"/>
        </w:rPr>
      </w:pPr>
    </w:p>
    <w:p>
      <w:pPr>
        <w:ind w:left="2100"/>
        <w:spacing w:after="0"/>
        <w:tabs>
          <w:tab w:leader="none" w:pos="5600" w:val="left"/>
          <w:tab w:leader="none" w:pos="6780" w:val="left"/>
        </w:tabs>
        <w:rPr>
          <w:sz w:val="20"/>
          <w:szCs w:val="20"/>
          <w:color w:val="auto"/>
        </w:rPr>
      </w:pPr>
      <w:r>
        <w:rPr>
          <w:rFonts w:ascii="Arial" w:cs="Arial" w:eastAsia="Arial" w:hAnsi="Arial"/>
          <w:sz w:val="14"/>
          <w:szCs w:val="14"/>
          <w:color w:val="auto"/>
        </w:rPr>
        <w:t>3175 HANOVER STREET, PALO ALTO, CA 94304-1130</w:t>
        <w:tab/>
        <w:t>T: (650) 843-5000</w:t>
      </w:r>
      <w:r>
        <w:rPr>
          <w:sz w:val="20"/>
          <w:szCs w:val="20"/>
          <w:color w:val="auto"/>
        </w:rPr>
        <w:tab/>
      </w:r>
      <w:r>
        <w:rPr>
          <w:rFonts w:ascii="Arial" w:cs="Arial" w:eastAsia="Arial" w:hAnsi="Arial"/>
          <w:sz w:val="13"/>
          <w:szCs w:val="13"/>
          <w:color w:val="auto"/>
        </w:rPr>
        <w:t>F: (650) 849-7400  WWW.COOLEY.COM</w:t>
      </w:r>
    </w:p>
    <w:p>
      <w:pPr>
        <w:sectPr>
          <w:pgSz w:w="11900" w:h="16838" w:orient="portrait"/>
          <w:cols w:equalWidth="0" w:num="1">
            <w:col w:w="11100"/>
          </w:cols>
          <w:pgMar w:left="240" w:top="1138" w:right="5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consent to the reference to our firm under the caption “Experts” and the use of our report dated May 13, 2016, except for the effect of the reverse stock split as described in Note 13, as to which the date is September 21, 2016, in Amendment No. 2 to the Registration Statement (Form S-1 No. 333-213569) and related Prospectus of Everspin Technologies, Inc. for the registration of shares of its common stock.</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decimal"/>
      <w:start w:val="2"/>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decimal"/>
      <w:start w:val="2"/>
    </w:lvl>
    <w:lvl w:ilvl="1">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lowerRoman"/>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1)"/>
      <w:numFmt w:val="decimal"/>
      <w:start w:val="15"/>
    </w:lvl>
  </w:abstractNum>
  <w:abstractNum w:abstractNumId="49">
    <w:nsid w:val="5DB70AE5"/>
    <w:multiLevelType w:val="hybridMultilevel"/>
    <w:lvl w:ilvl="0">
      <w:lvlJc w:val="left"/>
      <w:lvlText w:val="(%1)"/>
      <w:numFmt w:val="decimal"/>
      <w:start w:val="20"/>
    </w:lvl>
  </w:abstractNum>
  <w:abstractNum w:abstractNumId="50">
    <w:nsid w:val="100F8FCA"/>
    <w:multiLevelType w:val="hybridMultilevel"/>
    <w:lvl w:ilvl="0">
      <w:lvlJc w:val="left"/>
      <w:lvlText w:val="(%1)"/>
      <w:numFmt w:val="decimal"/>
      <w:start w:val="23"/>
    </w:lvl>
  </w:abstractNum>
  <w:abstractNum w:abstractNumId="51">
    <w:nsid w:val="6590700B"/>
    <w:multiLevelType w:val="hybridMultilevel"/>
    <w:lvl w:ilvl="0">
      <w:lvlJc w:val="left"/>
      <w:lvlText w:val="(%1)"/>
      <w:numFmt w:val="decimal"/>
      <w:start w:val="34"/>
    </w:lvl>
  </w:abstractNum>
  <w:abstractNum w:abstractNumId="52">
    <w:nsid w:val="15014ACB"/>
    <w:multiLevelType w:val="hybridMultilevel"/>
    <w:lvl w:ilvl="0">
      <w:lvlJc w:val="left"/>
      <w:lvlText w:val="(%1)"/>
      <w:numFmt w:val="decimal"/>
      <w:start w:val="2"/>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4"/>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3"/>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4"/>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decimal"/>
      <w:start w:val="2"/>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decimal"/>
      <w:start w:val="2"/>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lowerLetter"/>
      <w:start w:val="1"/>
    </w:lvl>
    <w:lvl w:ilvl="1">
      <w:lvlJc w:val="left"/>
      <w:lvlText w:val="(%2)"/>
      <w:numFmt w:val="decimal"/>
      <w:start w:val="1"/>
    </w:lvl>
  </w:abstractNum>
  <w:abstractNum w:abstractNumId="79">
    <w:nsid w:val="1A27709E"/>
    <w:multiLevelType w:val="hybridMultilevel"/>
    <w:lvl w:ilvl="0">
      <w:lvlJc w:val="left"/>
      <w:lvlText w:val="(%1)"/>
      <w:numFmt w:val="lowerRoman"/>
      <w:start w:val="1"/>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2019-12-08T18:08:59Z</dcterms:created>
  <dcterms:modified xsi:type="dcterms:W3CDTF">2019-12-08T18:08:59Z</dcterms:modified>
</cp:coreProperties>
</file>